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93" w:rsidRPr="00C652FE" w:rsidRDefault="00B13F8C" w:rsidP="00054B06">
      <w:pPr>
        <w:spacing w:before="2400" w:line="773" w:lineRule="exact"/>
        <w:jc w:val="center"/>
        <w:rPr>
          <w:rFonts w:ascii="宋体" w:eastAsia="宋体" w:hAnsi="宋体" w:cs="宋体"/>
          <w:b/>
          <w:bCs/>
          <w:sz w:val="44"/>
          <w:szCs w:val="44"/>
        </w:rPr>
      </w:pPr>
      <w:r w:rsidRPr="00C652FE">
        <w:rPr>
          <w:rFonts w:ascii="宋体" w:eastAsia="宋体" w:hAnsi="宋体" w:cs="宋体"/>
          <w:b/>
          <w:bCs/>
          <w:sz w:val="44"/>
          <w:szCs w:val="44"/>
        </w:rPr>
        <w:t>广东甘化科工股份有限公司</w:t>
      </w:r>
    </w:p>
    <w:p w:rsidR="00B13593" w:rsidRPr="00C652FE" w:rsidRDefault="00B13F8C" w:rsidP="00054B06">
      <w:pPr>
        <w:spacing w:before="1000" w:line="320" w:lineRule="exact"/>
        <w:jc w:val="center"/>
        <w:rPr>
          <w:rFonts w:ascii="宋体" w:eastAsia="宋体" w:hAnsi="宋体" w:cs="宋体"/>
          <w:b/>
          <w:bCs/>
          <w:sz w:val="44"/>
          <w:szCs w:val="44"/>
        </w:rPr>
      </w:pPr>
      <w:r w:rsidRPr="00C652FE">
        <w:rPr>
          <w:rFonts w:ascii="宋体" w:eastAsia="宋体" w:hAnsi="宋体" w:cs="宋体"/>
          <w:b/>
          <w:bCs/>
          <w:sz w:val="44"/>
          <w:szCs w:val="44"/>
        </w:rPr>
        <w:t>2023年半年度报告</w:t>
      </w:r>
    </w:p>
    <w:p w:rsidR="00C652FE" w:rsidRPr="00C652FE" w:rsidRDefault="00C652FE" w:rsidP="00054B06">
      <w:pPr>
        <w:spacing w:before="1000" w:line="320" w:lineRule="exact"/>
        <w:jc w:val="center"/>
        <w:rPr>
          <w:rFonts w:ascii="宋体" w:eastAsia="宋体" w:hAnsi="宋体" w:cs="宋体"/>
          <w:b/>
          <w:bCs/>
          <w:sz w:val="48"/>
          <w:szCs w:val="48"/>
        </w:rPr>
      </w:pPr>
    </w:p>
    <w:p w:rsidR="00B13593" w:rsidRDefault="00C652FE" w:rsidP="00054B06">
      <w:pPr>
        <w:spacing w:before="1000" w:after="1000" w:line="0" w:lineRule="atLeast"/>
        <w:jc w:val="center"/>
        <w:rPr>
          <w:rFonts w:ascii="Times New Roman" w:eastAsia="宋体" w:hAnsi="Times New Roman" w:cs="Times New Roman"/>
        </w:rPr>
      </w:pPr>
      <w:r w:rsidRPr="00C652FE">
        <w:rPr>
          <w:rFonts w:ascii="Times New Roman" w:eastAsia="宋体" w:hAnsi="Times New Roman" w:cs="Times New Roman"/>
          <w:noProof/>
        </w:rPr>
        <w:drawing>
          <wp:inline distT="0" distB="0" distL="0" distR="0">
            <wp:extent cx="4238625" cy="21657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stretch>
                      <a:fillRect/>
                    </a:stretch>
                  </pic:blipFill>
                  <pic:spPr>
                    <a:xfrm>
                      <a:off x="0" y="0"/>
                      <a:ext cx="4240444" cy="2166650"/>
                    </a:xfrm>
                    <a:prstGeom prst="rect">
                      <a:avLst/>
                    </a:prstGeom>
                  </pic:spPr>
                </pic:pic>
              </a:graphicData>
            </a:graphic>
          </wp:inline>
        </w:drawing>
      </w:r>
    </w:p>
    <w:p w:rsidR="00C652FE" w:rsidRDefault="00C652FE" w:rsidP="00054B06">
      <w:pPr>
        <w:spacing w:before="1000" w:line="360" w:lineRule="auto"/>
        <w:jc w:val="center"/>
        <w:rPr>
          <w:rFonts w:ascii="宋体" w:eastAsia="宋体" w:hAnsi="宋体" w:cs="宋体"/>
          <w:b/>
          <w:bCs/>
          <w:sz w:val="32"/>
          <w:szCs w:val="32"/>
        </w:rPr>
      </w:pPr>
    </w:p>
    <w:p w:rsidR="00C652FE" w:rsidRPr="00C652FE" w:rsidRDefault="00C652FE" w:rsidP="00054B06">
      <w:pPr>
        <w:spacing w:before="1000" w:line="360" w:lineRule="auto"/>
        <w:jc w:val="center"/>
        <w:rPr>
          <w:rFonts w:ascii="宋体" w:eastAsia="宋体" w:hAnsi="宋体" w:cs="宋体"/>
          <w:b/>
          <w:bCs/>
          <w:sz w:val="32"/>
          <w:szCs w:val="32"/>
        </w:rPr>
      </w:pPr>
      <w:r w:rsidRPr="00C652FE">
        <w:rPr>
          <w:rFonts w:ascii="宋体" w:eastAsia="宋体" w:hAnsi="宋体" w:cs="宋体"/>
          <w:b/>
          <w:bCs/>
          <w:sz w:val="32"/>
          <w:szCs w:val="32"/>
        </w:rPr>
        <w:t>202</w:t>
      </w:r>
      <w:r w:rsidRPr="00C652FE">
        <w:rPr>
          <w:rFonts w:ascii="宋体" w:eastAsia="宋体" w:hAnsi="宋体" w:cs="宋体" w:hint="eastAsia"/>
          <w:b/>
          <w:bCs/>
          <w:sz w:val="32"/>
          <w:szCs w:val="32"/>
        </w:rPr>
        <w:t>3年</w:t>
      </w:r>
      <w:r w:rsidRPr="00C652FE">
        <w:rPr>
          <w:rFonts w:ascii="宋体" w:eastAsia="宋体" w:hAnsi="宋体" w:cs="宋体"/>
          <w:b/>
          <w:bCs/>
          <w:sz w:val="32"/>
          <w:szCs w:val="32"/>
        </w:rPr>
        <w:t>08</w:t>
      </w:r>
      <w:r w:rsidRPr="00C652FE">
        <w:rPr>
          <w:rFonts w:ascii="宋体" w:eastAsia="宋体" w:hAnsi="宋体" w:cs="宋体" w:hint="eastAsia"/>
          <w:b/>
          <w:bCs/>
          <w:sz w:val="32"/>
          <w:szCs w:val="32"/>
        </w:rPr>
        <w:t>月</w:t>
      </w:r>
    </w:p>
    <w:p w:rsidR="00B13593" w:rsidRDefault="00B13F8C" w:rsidP="00054B06">
      <w: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B13593" w:rsidRPr="00622769" w:rsidRDefault="00B13F8C" w:rsidP="0063261C">
      <w:pPr>
        <w:spacing w:beforeLines="100" w:afterLines="100" w:line="560" w:lineRule="exact"/>
        <w:ind w:firstLineChars="200" w:firstLine="562"/>
        <w:rPr>
          <w:rFonts w:asciiTheme="minorEastAsia" w:hAnsiTheme="minorEastAsia" w:cs="宋体"/>
          <w:b/>
          <w:bCs/>
          <w:sz w:val="28"/>
          <w:szCs w:val="28"/>
        </w:rPr>
      </w:pPr>
      <w:r w:rsidRPr="00622769">
        <w:rPr>
          <w:rFonts w:asciiTheme="minorEastAsia" w:hAnsiTheme="minorEastAsia" w:cs="宋体"/>
          <w:b/>
          <w:bCs/>
          <w:sz w:val="28"/>
          <w:szCs w:val="28"/>
        </w:rPr>
        <w:t>公司董事会、监事会及董事、监事、高级管理人员保证半年度报告内容的真实、准确、完整，不存在虚假记载、误导性陈述或者重大遗漏，并承担个别和连带的法律责任。</w:t>
      </w:r>
    </w:p>
    <w:p w:rsidR="00B13593" w:rsidRPr="00622769" w:rsidRDefault="00B13F8C" w:rsidP="0063261C">
      <w:pPr>
        <w:spacing w:beforeLines="100" w:afterLines="100" w:line="560" w:lineRule="exact"/>
        <w:ind w:firstLineChars="200" w:firstLine="562"/>
        <w:rPr>
          <w:rFonts w:asciiTheme="minorEastAsia" w:hAnsiTheme="minorEastAsia" w:cs="宋体"/>
          <w:b/>
          <w:bCs/>
          <w:sz w:val="28"/>
          <w:szCs w:val="28"/>
        </w:rPr>
      </w:pPr>
      <w:r w:rsidRPr="00622769">
        <w:rPr>
          <w:rFonts w:asciiTheme="minorEastAsia" w:hAnsiTheme="minorEastAsia" w:cs="宋体"/>
          <w:b/>
          <w:bCs/>
          <w:sz w:val="28"/>
          <w:szCs w:val="28"/>
        </w:rPr>
        <w:t>公司负责人黄克、主管会计工作负责人陈波及会计机构负责人(会计主管人员)徐佳君声明：保证本半年度报告中财务报告的真实、准确、完整。</w:t>
      </w:r>
    </w:p>
    <w:p w:rsidR="00B13593" w:rsidRPr="00622769" w:rsidRDefault="00B13F8C" w:rsidP="0063261C">
      <w:pPr>
        <w:spacing w:beforeLines="100" w:afterLines="100" w:line="560" w:lineRule="exact"/>
        <w:ind w:firstLineChars="200" w:firstLine="562"/>
        <w:rPr>
          <w:rFonts w:asciiTheme="minorEastAsia" w:hAnsiTheme="minorEastAsia" w:cs="宋体"/>
          <w:b/>
          <w:bCs/>
          <w:sz w:val="28"/>
          <w:szCs w:val="28"/>
        </w:rPr>
      </w:pPr>
      <w:r w:rsidRPr="00622769">
        <w:rPr>
          <w:rFonts w:asciiTheme="minorEastAsia" w:hAnsiTheme="minorEastAsia" w:cs="宋体"/>
          <w:b/>
          <w:bCs/>
          <w:sz w:val="28"/>
          <w:szCs w:val="28"/>
        </w:rPr>
        <w:t>所有董事均已出席了审议本次半年报的董事会会议。</w:t>
      </w:r>
    </w:p>
    <w:p w:rsidR="00B13593" w:rsidRPr="00622769" w:rsidRDefault="00B13593" w:rsidP="0063261C">
      <w:pPr>
        <w:pStyle w:val="a3"/>
        <w:widowControl w:val="0"/>
        <w:spacing w:beforeLines="100" w:beforeAutospacing="0" w:afterLines="100" w:afterAutospacing="0" w:line="560" w:lineRule="exact"/>
        <w:ind w:firstLine="480"/>
        <w:divId w:val="2034648770"/>
        <w:rPr>
          <w:rFonts w:asciiTheme="minorEastAsia" w:eastAsiaTheme="minorEastAsia" w:hAnsiTheme="minorEastAsia"/>
          <w:b/>
          <w:bCs/>
          <w:sz w:val="28"/>
          <w:szCs w:val="28"/>
        </w:rPr>
      </w:pPr>
      <w:r w:rsidRPr="00622769">
        <w:rPr>
          <w:rFonts w:asciiTheme="minorEastAsia" w:eastAsiaTheme="minorEastAsia" w:hAnsiTheme="minorEastAsia" w:hint="eastAsia"/>
          <w:b/>
          <w:bCs/>
          <w:sz w:val="28"/>
          <w:szCs w:val="28"/>
        </w:rPr>
        <w:t>本报告中所涉及的公司未来计划等前瞻性描述不构成公司对投资者的实质承诺，投资者及相关人士均应当对此保持足够的风险认识，并且应当理解计划、预测与承诺之间的差异，敬请投资者注意投资风险。</w:t>
      </w:r>
    </w:p>
    <w:p w:rsidR="00B13593" w:rsidRPr="00622769" w:rsidRDefault="00B13593" w:rsidP="0063261C">
      <w:pPr>
        <w:pStyle w:val="a3"/>
        <w:widowControl w:val="0"/>
        <w:spacing w:beforeLines="100" w:beforeAutospacing="0" w:afterLines="100" w:afterAutospacing="0" w:line="560" w:lineRule="exact"/>
        <w:ind w:firstLine="480"/>
        <w:divId w:val="592393725"/>
        <w:rPr>
          <w:rFonts w:asciiTheme="minorEastAsia" w:eastAsiaTheme="minorEastAsia" w:hAnsiTheme="minorEastAsia"/>
          <w:b/>
          <w:bCs/>
          <w:sz w:val="28"/>
          <w:szCs w:val="28"/>
        </w:rPr>
      </w:pPr>
      <w:r w:rsidRPr="00622769">
        <w:rPr>
          <w:rFonts w:asciiTheme="minorEastAsia" w:eastAsiaTheme="minorEastAsia" w:hAnsiTheme="minorEastAsia" w:hint="eastAsia"/>
          <w:b/>
          <w:bCs/>
          <w:sz w:val="28"/>
          <w:szCs w:val="28"/>
        </w:rPr>
        <w:t>公司已在本报告的“第三节 管理层讨论与分析”之“十、公司面临的风险和应对措施”部分详细阐述了公司可能面对的主要风险，敬请投资者仔细阅读。</w:t>
      </w:r>
    </w:p>
    <w:p w:rsidR="00B13593" w:rsidRPr="00622769" w:rsidRDefault="00B13F8C" w:rsidP="0063261C">
      <w:pPr>
        <w:spacing w:beforeLines="100" w:afterLines="100" w:line="560" w:lineRule="exact"/>
        <w:ind w:firstLineChars="200" w:firstLine="562"/>
        <w:rPr>
          <w:rFonts w:asciiTheme="minorEastAsia" w:hAnsiTheme="minorEastAsia" w:cs="宋体"/>
          <w:b/>
          <w:bCs/>
          <w:sz w:val="28"/>
          <w:szCs w:val="28"/>
        </w:rPr>
      </w:pPr>
      <w:r w:rsidRPr="00622769">
        <w:rPr>
          <w:rFonts w:asciiTheme="minorEastAsia" w:hAnsiTheme="minorEastAsia" w:cs="宋体"/>
          <w:b/>
          <w:bCs/>
          <w:sz w:val="28"/>
          <w:szCs w:val="28"/>
        </w:rPr>
        <w:t>公司计划不派发现金红利，不送红股，不以公积金转增股本。</w:t>
      </w:r>
    </w:p>
    <w:p w:rsidR="00B13593" w:rsidRDefault="00B13F8C" w:rsidP="00054B06">
      <w:r>
        <w:br w:type="page"/>
      </w:r>
    </w:p>
    <w:p w:rsidR="00B13593" w:rsidRDefault="00B13F8C" w:rsidP="00054B06">
      <w:pPr>
        <w:spacing w:line="720" w:lineRule="exact"/>
        <w:jc w:val="center"/>
        <w:rPr>
          <w:rFonts w:ascii="宋体" w:eastAsia="宋体" w:hAnsi="宋体" w:cs="宋体"/>
          <w:b/>
          <w:bCs/>
          <w:sz w:val="36"/>
          <w:szCs w:val="36"/>
        </w:rPr>
      </w:pPr>
      <w:r>
        <w:rPr>
          <w:rFonts w:ascii="宋体" w:eastAsia="宋体" w:hAnsi="宋体" w:cs="宋体"/>
          <w:b/>
          <w:bCs/>
          <w:sz w:val="36"/>
          <w:szCs w:val="36"/>
        </w:rPr>
        <w:lastRenderedPageBreak/>
        <w:t>目</w:t>
      </w:r>
      <w:r w:rsidR="00C652FE">
        <w:rPr>
          <w:rFonts w:ascii="宋体" w:eastAsia="宋体" w:hAnsi="宋体" w:cs="宋体" w:hint="eastAsia"/>
          <w:b/>
          <w:bCs/>
          <w:sz w:val="36"/>
          <w:szCs w:val="36"/>
        </w:rPr>
        <w:t xml:space="preserve"> </w:t>
      </w:r>
      <w:r>
        <w:rPr>
          <w:rFonts w:ascii="宋体" w:eastAsia="宋体" w:hAnsi="宋体" w:cs="宋体"/>
          <w:b/>
          <w:bCs/>
          <w:sz w:val="36"/>
          <w:szCs w:val="36"/>
        </w:rPr>
        <w:t>录</w:t>
      </w:r>
    </w:p>
    <w:p w:rsidR="00C652FE" w:rsidRDefault="00C652FE" w:rsidP="00054B06">
      <w:pPr>
        <w:jc w:val="center"/>
        <w:rPr>
          <w:rFonts w:ascii="宋体" w:eastAsia="宋体" w:hAnsi="宋体" w:cs="宋体"/>
          <w:b/>
          <w:bCs/>
          <w:sz w:val="36"/>
          <w:szCs w:val="36"/>
        </w:rPr>
      </w:pPr>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r w:rsidRPr="00C652FE">
        <w:rPr>
          <w:rFonts w:asciiTheme="minorEastAsia" w:hAnsiTheme="minorEastAsia"/>
          <w:sz w:val="28"/>
          <w:szCs w:val="28"/>
        </w:rPr>
        <w:fldChar w:fldCharType="begin"/>
      </w:r>
      <w:r w:rsidR="00B13F8C" w:rsidRPr="00C652FE">
        <w:rPr>
          <w:rFonts w:asciiTheme="minorEastAsia" w:hAnsiTheme="minorEastAsia"/>
          <w:sz w:val="28"/>
          <w:szCs w:val="28"/>
        </w:rPr>
        <w:instrText xml:space="preserve"> </w:instrText>
      </w:r>
      <w:r w:rsidR="00B13F8C" w:rsidRPr="00C652FE">
        <w:rPr>
          <w:rFonts w:asciiTheme="minorEastAsia" w:hAnsiTheme="minorEastAsia" w:hint="eastAsia"/>
          <w:sz w:val="28"/>
          <w:szCs w:val="28"/>
        </w:rPr>
        <w:instrText>TOC \o "1-2" \h \z \u</w:instrText>
      </w:r>
      <w:r w:rsidR="00B13F8C" w:rsidRPr="00C652FE">
        <w:rPr>
          <w:rFonts w:asciiTheme="minorEastAsia" w:hAnsiTheme="minorEastAsia"/>
          <w:sz w:val="28"/>
          <w:szCs w:val="28"/>
        </w:rPr>
        <w:instrText xml:space="preserve"> </w:instrText>
      </w:r>
      <w:r w:rsidRPr="00C652FE">
        <w:rPr>
          <w:rFonts w:asciiTheme="minorEastAsia" w:hAnsiTheme="minorEastAsia"/>
          <w:sz w:val="28"/>
          <w:szCs w:val="28"/>
        </w:rPr>
        <w:fldChar w:fldCharType="separate"/>
      </w:r>
      <w:hyperlink w:anchor="_Toc988889" w:history="1">
        <w:r w:rsidR="00B13F8C" w:rsidRPr="00C652FE">
          <w:rPr>
            <w:rFonts w:asciiTheme="minorEastAsia" w:hAnsiTheme="minorEastAsia" w:hint="eastAsia"/>
            <w:bCs/>
            <w:noProof/>
            <w:sz w:val="28"/>
            <w:szCs w:val="28"/>
          </w:rPr>
          <w:t>第一节 重要提示、目录和释义</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_Toc988889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1</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890" w:history="1">
        <w:r w:rsidR="00B13F8C" w:rsidRPr="00C652FE">
          <w:rPr>
            <w:rFonts w:asciiTheme="minorEastAsia" w:hAnsiTheme="minorEastAsia" w:hint="eastAsia"/>
            <w:bCs/>
            <w:noProof/>
            <w:sz w:val="28"/>
            <w:szCs w:val="28"/>
          </w:rPr>
          <w:t>第二节 公司简介和主要财务指标</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_Toc988890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5</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02" w:history="1">
        <w:r w:rsidR="00B13F8C" w:rsidRPr="00C652FE">
          <w:rPr>
            <w:rFonts w:asciiTheme="minorEastAsia" w:hAnsiTheme="minorEastAsia" w:hint="eastAsia"/>
            <w:bCs/>
            <w:noProof/>
            <w:sz w:val="28"/>
            <w:szCs w:val="28"/>
          </w:rPr>
          <w:t>第三节 管理层讨论与分析</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_Toc988902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8</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26" w:history="1">
        <w:r w:rsidR="00B13F8C" w:rsidRPr="00C652FE">
          <w:rPr>
            <w:rFonts w:asciiTheme="minorEastAsia" w:hAnsiTheme="minorEastAsia" w:hint="eastAsia"/>
            <w:bCs/>
            <w:noProof/>
            <w:sz w:val="28"/>
            <w:szCs w:val="28"/>
          </w:rPr>
          <w:t>第四节 公司治理</w:t>
        </w:r>
        <w:r w:rsidR="00B13F8C" w:rsidRPr="00C652FE">
          <w:rPr>
            <w:rFonts w:asciiTheme="minorEastAsia" w:hAnsiTheme="minorEastAsia"/>
            <w:noProof/>
            <w:webHidden/>
            <w:sz w:val="28"/>
            <w:szCs w:val="28"/>
          </w:rPr>
          <w:tab/>
        </w:r>
        <w:r w:rsidR="00CD6CC1">
          <w:rPr>
            <w:rFonts w:asciiTheme="minorEastAsia" w:hAnsiTheme="minorEastAsia" w:hint="eastAsia"/>
            <w:noProof/>
            <w:webHidden/>
            <w:sz w:val="28"/>
            <w:szCs w:val="28"/>
          </w:rPr>
          <w:t>20</w:t>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36" w:history="1">
        <w:r w:rsidR="00B13F8C" w:rsidRPr="00C652FE">
          <w:rPr>
            <w:rFonts w:asciiTheme="minorEastAsia" w:hAnsiTheme="minorEastAsia" w:hint="eastAsia"/>
            <w:bCs/>
            <w:noProof/>
            <w:sz w:val="28"/>
            <w:szCs w:val="28"/>
          </w:rPr>
          <w:t>第五节 环境和社会责任</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_Toc988936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22</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39" w:history="1">
        <w:r w:rsidR="00B13F8C" w:rsidRPr="00C652FE">
          <w:rPr>
            <w:rFonts w:asciiTheme="minorEastAsia" w:hAnsiTheme="minorEastAsia" w:hint="eastAsia"/>
            <w:bCs/>
            <w:noProof/>
            <w:sz w:val="28"/>
            <w:szCs w:val="28"/>
          </w:rPr>
          <w:t>第六节 重要事项</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_Toc988939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25</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68" w:history="1">
        <w:r w:rsidR="00B13F8C" w:rsidRPr="00C652FE">
          <w:rPr>
            <w:rFonts w:asciiTheme="minorEastAsia" w:hAnsiTheme="minorEastAsia" w:hint="eastAsia"/>
            <w:bCs/>
            <w:noProof/>
            <w:sz w:val="28"/>
            <w:szCs w:val="28"/>
          </w:rPr>
          <w:t>第七节 股份变动及股东情况</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_Toc988968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33</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76" w:history="1">
        <w:r w:rsidR="00B13F8C" w:rsidRPr="00C652FE">
          <w:rPr>
            <w:rFonts w:asciiTheme="minorEastAsia" w:hAnsiTheme="minorEastAsia" w:hint="eastAsia"/>
            <w:bCs/>
            <w:noProof/>
            <w:sz w:val="28"/>
            <w:szCs w:val="28"/>
          </w:rPr>
          <w:t>第八节 优先股相关情况</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_Toc988976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38</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77" w:history="1">
        <w:r w:rsidR="00B13F8C" w:rsidRPr="00C652FE">
          <w:rPr>
            <w:rFonts w:asciiTheme="minorEastAsia" w:hAnsiTheme="minorEastAsia" w:hint="eastAsia"/>
            <w:bCs/>
            <w:noProof/>
            <w:sz w:val="28"/>
            <w:szCs w:val="28"/>
          </w:rPr>
          <w:t>第九节 债券相关情况</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_Toc988977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39</w:t>
        </w:r>
        <w:r w:rsidRPr="00C652FE">
          <w:rPr>
            <w:rFonts w:asciiTheme="minorEastAsia" w:hAnsiTheme="minorEastAsia"/>
            <w:noProof/>
            <w:webHidden/>
            <w:sz w:val="28"/>
            <w:szCs w:val="28"/>
          </w:rPr>
          <w:fldChar w:fldCharType="end"/>
        </w:r>
      </w:hyperlink>
    </w:p>
    <w:p w:rsidR="00B13593" w:rsidRPr="00C652FE" w:rsidRDefault="00A7088E" w:rsidP="0063261C">
      <w:pPr>
        <w:pStyle w:val="1"/>
        <w:tabs>
          <w:tab w:val="left" w:leader="dot" w:pos="9469"/>
        </w:tabs>
        <w:spacing w:beforeLines="100" w:afterLines="100" w:line="560" w:lineRule="exact"/>
        <w:rPr>
          <w:rFonts w:asciiTheme="minorEastAsia" w:hAnsiTheme="minorEastAsia"/>
          <w:noProof/>
          <w:sz w:val="28"/>
          <w:szCs w:val="28"/>
        </w:rPr>
      </w:pPr>
      <w:hyperlink w:anchor="_Toc988978" w:history="1">
        <w:r w:rsidR="00B13F8C" w:rsidRPr="00C652FE">
          <w:rPr>
            <w:rFonts w:asciiTheme="minorEastAsia" w:hAnsiTheme="minorEastAsia" w:hint="eastAsia"/>
            <w:bCs/>
            <w:noProof/>
            <w:sz w:val="28"/>
            <w:szCs w:val="28"/>
          </w:rPr>
          <w:t>第十节 财务报告</w:t>
        </w:r>
        <w:r w:rsidR="00B13F8C" w:rsidRPr="00C652FE">
          <w:rPr>
            <w:rFonts w:asciiTheme="minorEastAsia" w:hAnsiTheme="minorEastAsia"/>
            <w:noProof/>
            <w:webHidden/>
            <w:sz w:val="28"/>
            <w:szCs w:val="28"/>
          </w:rPr>
          <w:tab/>
        </w:r>
        <w:r w:rsidRPr="00C652FE">
          <w:rPr>
            <w:rFonts w:asciiTheme="minorEastAsia" w:hAnsiTheme="minorEastAsia"/>
            <w:noProof/>
            <w:webHidden/>
            <w:sz w:val="28"/>
            <w:szCs w:val="28"/>
          </w:rPr>
          <w:fldChar w:fldCharType="begin"/>
        </w:r>
        <w:r w:rsidR="00B13F8C" w:rsidRPr="00C652FE">
          <w:rPr>
            <w:rFonts w:asciiTheme="minorEastAsia" w:hAnsiTheme="minorEastAsia"/>
            <w:noProof/>
            <w:webHidden/>
            <w:sz w:val="28"/>
            <w:szCs w:val="28"/>
          </w:rPr>
          <w:instrText xml:space="preserve"> PAGEREF _Toc988978 \h </w:instrText>
        </w:r>
        <w:r w:rsidRPr="00C652FE">
          <w:rPr>
            <w:rFonts w:asciiTheme="minorEastAsia" w:hAnsiTheme="minorEastAsia"/>
            <w:noProof/>
            <w:webHidden/>
            <w:sz w:val="28"/>
            <w:szCs w:val="28"/>
          </w:rPr>
        </w:r>
        <w:r w:rsidRPr="00C652FE">
          <w:rPr>
            <w:rFonts w:asciiTheme="minorEastAsia" w:hAnsiTheme="minorEastAsia"/>
            <w:noProof/>
            <w:webHidden/>
            <w:sz w:val="28"/>
            <w:szCs w:val="28"/>
          </w:rPr>
          <w:fldChar w:fldCharType="separate"/>
        </w:r>
        <w:r w:rsidR="00595C4E">
          <w:rPr>
            <w:rFonts w:asciiTheme="minorEastAsia" w:hAnsiTheme="minorEastAsia"/>
            <w:noProof/>
            <w:webHidden/>
            <w:sz w:val="28"/>
            <w:szCs w:val="28"/>
          </w:rPr>
          <w:t>40</w:t>
        </w:r>
        <w:r w:rsidRPr="00C652FE">
          <w:rPr>
            <w:rFonts w:asciiTheme="minorEastAsia" w:hAnsiTheme="minorEastAsia"/>
            <w:noProof/>
            <w:webHidden/>
            <w:sz w:val="28"/>
            <w:szCs w:val="28"/>
          </w:rPr>
          <w:fldChar w:fldCharType="end"/>
        </w:r>
      </w:hyperlink>
      <w:r w:rsidRPr="00C652FE">
        <w:rPr>
          <w:rFonts w:asciiTheme="minorEastAsia" w:hAnsiTheme="minorEastAsia"/>
          <w:sz w:val="28"/>
          <w:szCs w:val="28"/>
        </w:rPr>
        <w:fldChar w:fldCharType="end"/>
      </w:r>
    </w:p>
    <w:p w:rsidR="00B13593" w:rsidRPr="00C652FE" w:rsidRDefault="00B13F8C" w:rsidP="0063261C">
      <w:pPr>
        <w:spacing w:beforeLines="100" w:afterLines="100" w:line="560" w:lineRule="exact"/>
        <w:rPr>
          <w:rFonts w:asciiTheme="minorEastAsia" w:hAnsiTheme="minorEastAsia"/>
        </w:rPr>
      </w:pPr>
      <w:r w:rsidRPr="00C652FE">
        <w:rPr>
          <w:rFonts w:asciiTheme="minorEastAsia" w:hAnsiTheme="minorEastAsia"/>
        </w:rPr>
        <w:br w:type="page"/>
      </w:r>
    </w:p>
    <w:p w:rsidR="00B13593" w:rsidRPr="005D7EA8" w:rsidRDefault="00B13F8C" w:rsidP="00054B06">
      <w:pPr>
        <w:spacing w:line="640" w:lineRule="exact"/>
        <w:jc w:val="center"/>
        <w:rPr>
          <w:rFonts w:ascii="宋体" w:eastAsia="宋体" w:hAnsi="宋体" w:cs="宋体"/>
          <w:b/>
          <w:bCs/>
          <w:sz w:val="32"/>
          <w:szCs w:val="32"/>
        </w:rPr>
      </w:pPr>
      <w:r w:rsidRPr="005D7EA8">
        <w:rPr>
          <w:rFonts w:ascii="宋体" w:eastAsia="宋体" w:hAnsi="宋体" w:cs="宋体"/>
          <w:b/>
          <w:bCs/>
          <w:sz w:val="32"/>
          <w:szCs w:val="32"/>
        </w:rPr>
        <w:lastRenderedPageBreak/>
        <w:t>备查文件目录</w:t>
      </w:r>
    </w:p>
    <w:p w:rsidR="005D7EA8" w:rsidRDefault="005D7EA8" w:rsidP="00054B06">
      <w:pPr>
        <w:spacing w:line="640" w:lineRule="exact"/>
        <w:jc w:val="center"/>
        <w:rPr>
          <w:rFonts w:ascii="宋体" w:eastAsia="宋体" w:hAnsi="宋体" w:cs="宋体"/>
          <w:b/>
          <w:bCs/>
          <w:sz w:val="32"/>
          <w:szCs w:val="32"/>
        </w:rPr>
      </w:pPr>
    </w:p>
    <w:p w:rsidR="00B13593" w:rsidRPr="005D7EA8" w:rsidRDefault="00B13593" w:rsidP="00054B06">
      <w:pPr>
        <w:pStyle w:val="a3"/>
        <w:widowControl w:val="0"/>
        <w:spacing w:before="0" w:beforeAutospacing="0" w:after="0" w:afterAutospacing="0" w:line="560" w:lineRule="atLeast"/>
        <w:ind w:firstLineChars="200" w:firstLine="562"/>
        <w:divId w:val="264506658"/>
        <w:rPr>
          <w:rFonts w:ascii="仿宋" w:eastAsia="仿宋" w:hAnsi="仿宋"/>
          <w:b/>
          <w:sz w:val="28"/>
          <w:szCs w:val="28"/>
        </w:rPr>
      </w:pPr>
      <w:r w:rsidRPr="005D7EA8">
        <w:rPr>
          <w:rFonts w:ascii="仿宋" w:eastAsia="仿宋" w:hAnsi="仿宋" w:hint="eastAsia"/>
          <w:b/>
          <w:sz w:val="28"/>
          <w:szCs w:val="28"/>
        </w:rPr>
        <w:t>在本公司证券事务部备有下列文件供股东查询：</w:t>
      </w:r>
    </w:p>
    <w:p w:rsidR="00B13593" w:rsidRPr="005D7EA8" w:rsidRDefault="00B13593" w:rsidP="00054B06">
      <w:pPr>
        <w:pStyle w:val="a3"/>
        <w:widowControl w:val="0"/>
        <w:spacing w:before="0" w:beforeAutospacing="0" w:after="0" w:afterAutospacing="0" w:line="560" w:lineRule="atLeast"/>
        <w:ind w:firstLineChars="200" w:firstLine="560"/>
        <w:divId w:val="264506658"/>
        <w:rPr>
          <w:rFonts w:ascii="仿宋" w:eastAsia="仿宋" w:hAnsi="仿宋"/>
          <w:sz w:val="28"/>
          <w:szCs w:val="28"/>
        </w:rPr>
      </w:pPr>
      <w:r w:rsidRPr="005D7EA8">
        <w:rPr>
          <w:rFonts w:ascii="仿宋" w:eastAsia="仿宋" w:hAnsi="仿宋" w:hint="eastAsia"/>
          <w:sz w:val="28"/>
          <w:szCs w:val="28"/>
        </w:rPr>
        <w:t>（一）载有公司负责人、主管会计工作负责人、会计机构负责人签名并盖章的财务报表；</w:t>
      </w:r>
    </w:p>
    <w:p w:rsidR="00B13593" w:rsidRPr="005D7EA8" w:rsidRDefault="00B13593" w:rsidP="00054B06">
      <w:pPr>
        <w:pStyle w:val="a3"/>
        <w:widowControl w:val="0"/>
        <w:spacing w:before="0" w:beforeAutospacing="0" w:after="0" w:afterAutospacing="0" w:line="560" w:lineRule="atLeast"/>
        <w:ind w:firstLineChars="200" w:firstLine="560"/>
        <w:divId w:val="264506658"/>
        <w:rPr>
          <w:rFonts w:ascii="仿宋" w:eastAsia="仿宋" w:hAnsi="仿宋"/>
          <w:sz w:val="28"/>
          <w:szCs w:val="28"/>
        </w:rPr>
      </w:pPr>
      <w:r w:rsidRPr="005D7EA8">
        <w:rPr>
          <w:rFonts w:ascii="仿宋" w:eastAsia="仿宋" w:hAnsi="仿宋" w:hint="eastAsia"/>
          <w:sz w:val="28"/>
          <w:szCs w:val="28"/>
        </w:rPr>
        <w:t>（二）报告期内在《中国证券报》《证券时报》《证券日报》《上海证券报》及巨潮资讯网(http://www.cninfo.com.cn)公开披露过的所有公司文件的正本及公告的原稿；</w:t>
      </w:r>
    </w:p>
    <w:p w:rsidR="00B13593" w:rsidRPr="005D7EA8" w:rsidRDefault="00B13593" w:rsidP="00054B06">
      <w:pPr>
        <w:pStyle w:val="a3"/>
        <w:widowControl w:val="0"/>
        <w:spacing w:before="0" w:beforeAutospacing="0" w:after="0" w:afterAutospacing="0" w:line="560" w:lineRule="atLeast"/>
        <w:ind w:firstLineChars="200" w:firstLine="560"/>
        <w:divId w:val="264506658"/>
        <w:rPr>
          <w:rFonts w:ascii="仿宋" w:eastAsia="仿宋" w:hAnsi="仿宋"/>
          <w:sz w:val="28"/>
          <w:szCs w:val="28"/>
        </w:rPr>
      </w:pPr>
      <w:r w:rsidRPr="005D7EA8">
        <w:rPr>
          <w:rFonts w:ascii="仿宋" w:eastAsia="仿宋" w:hAnsi="仿宋" w:hint="eastAsia"/>
          <w:sz w:val="28"/>
          <w:szCs w:val="28"/>
        </w:rPr>
        <w:t>（三）载有法定代表人签名的半年度报告。</w:t>
      </w:r>
    </w:p>
    <w:p w:rsidR="00B13593" w:rsidRPr="005D7EA8" w:rsidRDefault="00B13F8C" w:rsidP="00054B06">
      <w:pPr>
        <w:rPr>
          <w:rFonts w:ascii="仿宋" w:eastAsia="仿宋" w:hAnsi="仿宋"/>
        </w:rPr>
      </w:pPr>
      <w:r w:rsidRPr="005D7EA8">
        <w:rPr>
          <w:rFonts w:ascii="仿宋" w:eastAsia="仿宋" w:hAnsi="仿宋"/>
        </w:rPr>
        <w:br w:type="page"/>
      </w:r>
    </w:p>
    <w:p w:rsidR="00B13593" w:rsidRDefault="00B13F8C" w:rsidP="00054B06">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w:t>
      </w:r>
      <w:r w:rsidR="005D7EA8">
        <w:rPr>
          <w:rFonts w:ascii="宋体" w:eastAsia="宋体" w:hAnsi="宋体" w:cs="宋体" w:hint="eastAsia"/>
          <w:b/>
          <w:bCs/>
          <w:sz w:val="32"/>
          <w:szCs w:val="32"/>
        </w:rPr>
        <w:t xml:space="preserve"> </w:t>
      </w:r>
      <w:r>
        <w:rPr>
          <w:rFonts w:ascii="宋体" w:eastAsia="宋体" w:hAnsi="宋体" w:cs="宋体"/>
          <w:b/>
          <w:bCs/>
          <w:sz w:val="32"/>
          <w:szCs w:val="32"/>
        </w:rPr>
        <w:t>义</w:t>
      </w:r>
    </w:p>
    <w:p w:rsidR="005D7EA8" w:rsidRDefault="005D7EA8" w:rsidP="00054B06">
      <w:pPr>
        <w:jc w:val="center"/>
        <w:rPr>
          <w:rFonts w:ascii="宋体" w:eastAsia="宋体" w:hAnsi="宋体" w:cs="宋体"/>
          <w:b/>
          <w:bCs/>
          <w:sz w:val="32"/>
          <w:szCs w:val="32"/>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652"/>
        <w:gridCol w:w="1559"/>
        <w:gridCol w:w="4428"/>
      </w:tblGrid>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释义项</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释义内容</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公司、本公司、上市公司</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广东甘化科工股份有限公司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江门甘蔗化工厂（集团）股份有限公司</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公司原名</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控股股东、大股东</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德力西集团有限公司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升华电源</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公司全资子公司四川升华电源科技有限公司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沈阳含能</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公司控股子公司沈阳含能金属材料制造有限公司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沈阳非晶</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公司控股子公司沈阳非晶金属材料制造有限公司</w:t>
            </w:r>
          </w:p>
        </w:tc>
      </w:tr>
      <w:tr w:rsidR="003D3002"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3D3002" w:rsidRDefault="003D3002" w:rsidP="00054B06">
            <w:pPr>
              <w:spacing w:line="400" w:lineRule="exact"/>
              <w:rPr>
                <w:rFonts w:ascii="宋体" w:eastAsia="宋体" w:hAnsi="宋体" w:cs="宋体"/>
                <w:sz w:val="18"/>
                <w:szCs w:val="18"/>
              </w:rPr>
            </w:pPr>
            <w:r>
              <w:rPr>
                <w:rFonts w:ascii="宋体" w:eastAsia="宋体" w:hAnsi="宋体" w:cs="宋体" w:hint="eastAsia"/>
                <w:sz w:val="18"/>
                <w:szCs w:val="18"/>
              </w:rPr>
              <w:t>沈阳超能</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3D3002" w:rsidRDefault="003D3002"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3D3002" w:rsidRDefault="003D3002" w:rsidP="00054B06">
            <w:pPr>
              <w:spacing w:line="400" w:lineRule="exact"/>
              <w:rPr>
                <w:rFonts w:ascii="宋体" w:eastAsia="宋体" w:hAnsi="宋体" w:cs="宋体"/>
                <w:sz w:val="18"/>
                <w:szCs w:val="18"/>
              </w:rPr>
            </w:pPr>
            <w:r>
              <w:rPr>
                <w:rFonts w:ascii="宋体" w:eastAsia="宋体" w:hAnsi="宋体" w:cs="宋体"/>
                <w:sz w:val="18"/>
                <w:szCs w:val="18"/>
              </w:rPr>
              <w:t>沈阳超能新材科技有限公司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四川甘华、甘华电源</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公司全资子公司四川甘华电源科技有限公司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四川德芯源</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四川德芯源电子科技有限公司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升华源</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深圳升华源科技有限公司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甘科物业</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江门甘科物业管理有限公司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北京惠风</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北京惠风联合防务科技有限公司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锴威特</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苏州锴威特半导体股份有限公司</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"三旧"改造</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旧城镇、旧厂房、旧村庄改造</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中国证监会</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中国证券监督管理委员会</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深交所</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深圳证券交易所</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《公司法》</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《中华人民共和国公司法》</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《证券法》</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《中华人民共和国证券法》</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《公司章程》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2023年6月27日公司2022年度股东大会审议通过的《公司章程》</w:t>
            </w:r>
          </w:p>
        </w:tc>
      </w:tr>
      <w:tr w:rsidR="00B13593" w:rsidTr="005D7EA8">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元、万元</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400" w:lineRule="exact"/>
              <w:jc w:val="center"/>
              <w:rPr>
                <w:rFonts w:ascii="宋体" w:eastAsia="宋体" w:hAnsi="宋体" w:cs="宋体"/>
                <w:sz w:val="18"/>
                <w:szCs w:val="18"/>
              </w:rPr>
            </w:pPr>
            <w:r>
              <w:rPr>
                <w:rFonts w:ascii="宋体" w:eastAsia="宋体" w:hAnsi="宋体" w:cs="宋体"/>
                <w:sz w:val="18"/>
                <w:szCs w:val="18"/>
              </w:rPr>
              <w:t>指</w:t>
            </w:r>
          </w:p>
        </w:tc>
        <w:tc>
          <w:tcPr>
            <w:tcW w:w="44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400" w:lineRule="exact"/>
              <w:rPr>
                <w:rFonts w:ascii="宋体" w:eastAsia="宋体" w:hAnsi="宋体" w:cs="宋体"/>
                <w:sz w:val="18"/>
                <w:szCs w:val="18"/>
              </w:rPr>
            </w:pPr>
            <w:r>
              <w:rPr>
                <w:rFonts w:ascii="宋体" w:eastAsia="宋体" w:hAnsi="宋体" w:cs="宋体"/>
                <w:sz w:val="18"/>
                <w:szCs w:val="18"/>
              </w:rPr>
              <w:t>人民币元、人民币万元</w:t>
            </w:r>
          </w:p>
        </w:tc>
      </w:tr>
    </w:tbl>
    <w:p w:rsidR="00B13593" w:rsidRDefault="00B13F8C" w:rsidP="00054B06">
      <w: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B13593" w:rsidRPr="00B13F8C" w:rsidRDefault="00B13F8C" w:rsidP="00054B06">
      <w:pPr>
        <w:pStyle w:val="2"/>
        <w:spacing w:before="0" w:after="0" w:line="560" w:lineRule="exact"/>
        <w:ind w:firstLineChars="200" w:firstLine="562"/>
        <w:rPr>
          <w:rFonts w:ascii="宋体" w:eastAsia="宋体" w:hAnsi="宋体" w:cs="宋体"/>
          <w:b/>
          <w:bCs/>
          <w:sz w:val="28"/>
          <w:szCs w:val="28"/>
        </w:rPr>
      </w:pPr>
      <w:bookmarkStart w:id="2" w:name="_Toc988891"/>
      <w:r w:rsidRPr="00B13F8C">
        <w:rPr>
          <w:rFonts w:ascii="宋体" w:eastAsia="宋体" w:hAnsi="宋体" w:cs="宋体"/>
          <w:b/>
          <w:bCs/>
          <w:sz w:val="28"/>
          <w:szCs w:val="28"/>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660"/>
        <w:gridCol w:w="2551"/>
        <w:gridCol w:w="2018"/>
        <w:gridCol w:w="2410"/>
      </w:tblGrid>
      <w:tr w:rsidR="00B13593" w:rsidTr="00B13F8C">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股票简称</w:t>
            </w:r>
          </w:p>
        </w:tc>
        <w:tc>
          <w:tcPr>
            <w:tcW w:w="25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甘化科工</w:t>
            </w: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000576</w:t>
            </w:r>
          </w:p>
        </w:tc>
      </w:tr>
      <w:tr w:rsidR="00B13593" w:rsidTr="00B13F8C">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股票上市证券交易所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深圳证券交易所</w:t>
            </w:r>
          </w:p>
        </w:tc>
      </w:tr>
      <w:tr w:rsidR="00B13593" w:rsidTr="00B13F8C">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公司的中文名称</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广东甘化科工股份有限公司</w:t>
            </w:r>
          </w:p>
        </w:tc>
      </w:tr>
      <w:tr w:rsidR="00B13593" w:rsidTr="00B13F8C">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公司的中文简称（如有）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甘化科工</w:t>
            </w:r>
          </w:p>
        </w:tc>
      </w:tr>
      <w:tr w:rsidR="00B13593" w:rsidTr="00B13F8C">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公司的外文名称（如有）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Guangdong Ganhua Science &amp; Industry Co., Ltd.</w:t>
            </w:r>
          </w:p>
        </w:tc>
      </w:tr>
      <w:tr w:rsidR="00B13593" w:rsidTr="00B13F8C">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公司的外文名称缩写（如有）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GHSI</w:t>
            </w:r>
          </w:p>
        </w:tc>
      </w:tr>
      <w:tr w:rsidR="00B13593" w:rsidTr="00B13F8C">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公司的法定代表人</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黄克</w:t>
            </w:r>
          </w:p>
        </w:tc>
      </w:tr>
    </w:tbl>
    <w:p w:rsidR="00B13593" w:rsidRPr="00B13F8C" w:rsidRDefault="00B13F8C" w:rsidP="00054B06">
      <w:pPr>
        <w:pStyle w:val="2"/>
        <w:spacing w:before="0" w:after="0" w:line="560" w:lineRule="exact"/>
        <w:ind w:firstLineChars="200" w:firstLine="562"/>
        <w:rPr>
          <w:rFonts w:ascii="宋体" w:eastAsia="宋体" w:hAnsi="宋体" w:cs="宋体"/>
          <w:b/>
          <w:bCs/>
          <w:sz w:val="28"/>
          <w:szCs w:val="28"/>
        </w:rPr>
      </w:pPr>
      <w:bookmarkStart w:id="3" w:name="_Toc988892"/>
      <w:r w:rsidRPr="00B13F8C">
        <w:rPr>
          <w:rFonts w:ascii="宋体" w:eastAsia="宋体" w:hAnsi="宋体" w:cs="宋体"/>
          <w:b/>
          <w:bCs/>
          <w:sz w:val="28"/>
          <w:szCs w:val="28"/>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证券事务代表</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陈波</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龚健鹏</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广东省江门市甘化路62号</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广东省江门市甘化路62号</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（0750）3277650、3277651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（0750）3277651、3277650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（0750）3277666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（0750）3277666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cb@gdganhua.com</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gjp@gdganhua.com</w:t>
            </w:r>
          </w:p>
        </w:tc>
      </w:tr>
    </w:tbl>
    <w:p w:rsidR="00B13593" w:rsidRPr="00B13F8C" w:rsidRDefault="00B13F8C" w:rsidP="00054B06">
      <w:pPr>
        <w:pStyle w:val="2"/>
        <w:spacing w:before="0" w:after="0" w:line="560" w:lineRule="exact"/>
        <w:ind w:firstLineChars="200" w:firstLine="562"/>
        <w:rPr>
          <w:rFonts w:ascii="宋体" w:eastAsia="宋体" w:hAnsi="宋体" w:cs="宋体"/>
          <w:b/>
          <w:bCs/>
          <w:sz w:val="28"/>
          <w:szCs w:val="28"/>
        </w:rPr>
      </w:pPr>
      <w:bookmarkStart w:id="4" w:name="_Toc988893"/>
      <w:r w:rsidRPr="00B13F8C">
        <w:rPr>
          <w:rFonts w:ascii="宋体" w:eastAsia="宋体" w:hAnsi="宋体" w:cs="宋体"/>
          <w:b/>
          <w:bCs/>
          <w:sz w:val="28"/>
          <w:szCs w:val="28"/>
        </w:rPr>
        <w:t>三、其他情况</w:t>
      </w:r>
      <w:bookmarkEnd w:id="4"/>
    </w:p>
    <w:p w:rsidR="00B13593" w:rsidRPr="00B13F8C" w:rsidRDefault="00B13F8C" w:rsidP="00054B06">
      <w:pPr>
        <w:pStyle w:val="3"/>
        <w:spacing w:before="0" w:after="0" w:line="560" w:lineRule="exact"/>
        <w:ind w:firstLineChars="200" w:firstLine="562"/>
        <w:jc w:val="left"/>
        <w:rPr>
          <w:rFonts w:ascii="仿宋" w:eastAsia="仿宋" w:hAnsi="仿宋" w:cs="宋体"/>
          <w:b/>
          <w:bCs/>
          <w:sz w:val="28"/>
          <w:szCs w:val="28"/>
        </w:rPr>
      </w:pPr>
      <w:bookmarkStart w:id="5" w:name="_Toc988894"/>
      <w:r w:rsidRPr="00B13F8C">
        <w:rPr>
          <w:rFonts w:ascii="仿宋" w:eastAsia="仿宋" w:hAnsi="仿宋" w:cs="宋体"/>
          <w:b/>
          <w:bCs/>
          <w:sz w:val="28"/>
          <w:szCs w:val="28"/>
        </w:rPr>
        <w:t>1、公司联系方式</w:t>
      </w:r>
      <w:bookmarkEnd w:id="5"/>
    </w:p>
    <w:p w:rsidR="00B13593" w:rsidRPr="00B13F8C" w:rsidRDefault="00B13F8C" w:rsidP="00054B06">
      <w:pPr>
        <w:spacing w:line="560" w:lineRule="exact"/>
        <w:ind w:firstLineChars="200" w:firstLine="562"/>
        <w:rPr>
          <w:rFonts w:ascii="仿宋" w:eastAsia="仿宋" w:hAnsi="仿宋" w:cs="宋体"/>
          <w:b/>
          <w:sz w:val="28"/>
          <w:szCs w:val="28"/>
        </w:rPr>
      </w:pPr>
      <w:r w:rsidRPr="00B13F8C">
        <w:rPr>
          <w:rFonts w:ascii="仿宋" w:eastAsia="仿宋" w:hAnsi="仿宋" w:cs="宋体"/>
          <w:b/>
          <w:sz w:val="28"/>
          <w:szCs w:val="28"/>
        </w:rPr>
        <w:t>公司注册地址、公司办公地址及其邮政编码、公司网址、电子信箱等在报告期是否变化</w:t>
      </w:r>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 xml:space="preserve">□适用 </w:t>
      </w:r>
      <w:r>
        <w:rPr>
          <w:rFonts w:ascii="仿宋" w:eastAsia="仿宋" w:hAnsi="仿宋" w:cs="宋体" w:hint="eastAsia"/>
          <w:sz w:val="28"/>
          <w:szCs w:val="28"/>
        </w:rPr>
        <w:t xml:space="preserve"> </w:t>
      </w:r>
      <w:r w:rsidRPr="00B13F8C">
        <w:rPr>
          <w:rFonts w:ascii="仿宋" w:eastAsia="仿宋" w:hAnsi="仿宋" w:cs="宋体"/>
          <w:sz w:val="28"/>
          <w:szCs w:val="28"/>
        </w:rPr>
        <w:sym w:font="Wingdings 2" w:char="F052"/>
      </w:r>
      <w:r w:rsidRPr="00B13F8C">
        <w:rPr>
          <w:rFonts w:ascii="仿宋" w:eastAsia="仿宋" w:hAnsi="仿宋" w:cs="宋体"/>
          <w:sz w:val="28"/>
          <w:szCs w:val="28"/>
        </w:rPr>
        <w:t>不适用</w:t>
      </w:r>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公司注册地址、公司办公地址及其邮政编码、公司网址、电子信箱等在报告期无变化，具体可参见2022年年报。</w:t>
      </w:r>
    </w:p>
    <w:p w:rsidR="00B13593" w:rsidRPr="00B13F8C" w:rsidRDefault="00B13F8C" w:rsidP="00054B06">
      <w:pPr>
        <w:pStyle w:val="3"/>
        <w:spacing w:before="0" w:after="0" w:line="560" w:lineRule="exact"/>
        <w:ind w:firstLineChars="200" w:firstLine="562"/>
        <w:jc w:val="left"/>
        <w:rPr>
          <w:rFonts w:ascii="仿宋" w:eastAsia="仿宋" w:hAnsi="仿宋" w:cs="宋体"/>
          <w:b/>
          <w:bCs/>
          <w:sz w:val="28"/>
          <w:szCs w:val="28"/>
        </w:rPr>
      </w:pPr>
      <w:bookmarkStart w:id="6" w:name="_Toc988895"/>
      <w:r w:rsidRPr="00B13F8C">
        <w:rPr>
          <w:rFonts w:ascii="仿宋" w:eastAsia="仿宋" w:hAnsi="仿宋" w:cs="宋体"/>
          <w:b/>
          <w:bCs/>
          <w:sz w:val="28"/>
          <w:szCs w:val="28"/>
        </w:rPr>
        <w:t>2、信息披露及备置地点</w:t>
      </w:r>
      <w:bookmarkEnd w:id="6"/>
    </w:p>
    <w:p w:rsidR="00B13593" w:rsidRPr="00B13F8C" w:rsidRDefault="00B13F8C" w:rsidP="00054B06">
      <w:pPr>
        <w:spacing w:line="560" w:lineRule="exact"/>
        <w:ind w:firstLineChars="200" w:firstLine="562"/>
        <w:rPr>
          <w:rFonts w:ascii="仿宋" w:eastAsia="仿宋" w:hAnsi="仿宋" w:cs="宋体"/>
          <w:b/>
          <w:sz w:val="28"/>
          <w:szCs w:val="28"/>
        </w:rPr>
      </w:pPr>
      <w:r w:rsidRPr="00B13F8C">
        <w:rPr>
          <w:rFonts w:ascii="仿宋" w:eastAsia="仿宋" w:hAnsi="仿宋" w:cs="宋体"/>
          <w:b/>
          <w:sz w:val="28"/>
          <w:szCs w:val="28"/>
        </w:rPr>
        <w:t>信息披露及备置地点在报告期是否变化</w:t>
      </w:r>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 xml:space="preserve">□适用 </w:t>
      </w:r>
      <w:r>
        <w:rPr>
          <w:rFonts w:ascii="仿宋" w:eastAsia="仿宋" w:hAnsi="仿宋" w:cs="宋体" w:hint="eastAsia"/>
          <w:sz w:val="28"/>
          <w:szCs w:val="28"/>
        </w:rPr>
        <w:t xml:space="preserve"> </w:t>
      </w:r>
      <w:r w:rsidRPr="00B13F8C">
        <w:rPr>
          <w:rFonts w:ascii="仿宋" w:eastAsia="仿宋" w:hAnsi="仿宋" w:cs="宋体"/>
          <w:sz w:val="28"/>
          <w:szCs w:val="28"/>
        </w:rPr>
        <w:sym w:font="Wingdings 2" w:char="F052"/>
      </w:r>
      <w:r w:rsidRPr="00B13F8C">
        <w:rPr>
          <w:rFonts w:ascii="仿宋" w:eastAsia="仿宋" w:hAnsi="仿宋" w:cs="宋体"/>
          <w:sz w:val="28"/>
          <w:szCs w:val="28"/>
        </w:rPr>
        <w:t>不适用</w:t>
      </w:r>
    </w:p>
    <w:p w:rsidR="00054B06"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公司披露半年度报告的证券交易所网站和媒体名称及网址，公司半年度报告备置地在报告期无变化，具体可参见2022年年报。</w:t>
      </w:r>
      <w:bookmarkStart w:id="7" w:name="_Toc988896"/>
    </w:p>
    <w:p w:rsidR="00B13593" w:rsidRPr="00B13F8C" w:rsidRDefault="00B13F8C" w:rsidP="00054B06">
      <w:pPr>
        <w:spacing w:line="560" w:lineRule="exact"/>
        <w:ind w:firstLineChars="200" w:firstLine="562"/>
        <w:rPr>
          <w:rFonts w:ascii="仿宋" w:eastAsia="仿宋" w:hAnsi="仿宋" w:cs="宋体"/>
          <w:b/>
          <w:bCs/>
          <w:sz w:val="28"/>
          <w:szCs w:val="28"/>
        </w:rPr>
      </w:pPr>
      <w:r w:rsidRPr="00B13F8C">
        <w:rPr>
          <w:rFonts w:ascii="仿宋" w:eastAsia="仿宋" w:hAnsi="仿宋" w:cs="宋体"/>
          <w:b/>
          <w:bCs/>
          <w:sz w:val="28"/>
          <w:szCs w:val="28"/>
        </w:rPr>
        <w:t>3、其他有关资料</w:t>
      </w:r>
      <w:bookmarkEnd w:id="7"/>
    </w:p>
    <w:p w:rsidR="00B13593" w:rsidRPr="00B13F8C" w:rsidRDefault="00B13F8C" w:rsidP="00054B06">
      <w:pPr>
        <w:spacing w:line="560" w:lineRule="exact"/>
        <w:ind w:firstLineChars="200" w:firstLine="562"/>
        <w:rPr>
          <w:rFonts w:ascii="仿宋" w:eastAsia="仿宋" w:hAnsi="仿宋" w:cs="宋体"/>
          <w:b/>
          <w:sz w:val="28"/>
          <w:szCs w:val="28"/>
        </w:rPr>
      </w:pPr>
      <w:r w:rsidRPr="00B13F8C">
        <w:rPr>
          <w:rFonts w:ascii="仿宋" w:eastAsia="仿宋" w:hAnsi="仿宋" w:cs="宋体"/>
          <w:b/>
          <w:sz w:val="28"/>
          <w:szCs w:val="28"/>
        </w:rPr>
        <w:lastRenderedPageBreak/>
        <w:t>其他有关资料在报告期是否变更情况</w:t>
      </w:r>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 xml:space="preserve">□适用 </w:t>
      </w:r>
      <w:r>
        <w:rPr>
          <w:rFonts w:ascii="仿宋" w:eastAsia="仿宋" w:hAnsi="仿宋" w:cs="宋体" w:hint="eastAsia"/>
          <w:sz w:val="28"/>
          <w:szCs w:val="28"/>
        </w:rPr>
        <w:t xml:space="preserve"> </w:t>
      </w:r>
      <w:r w:rsidRPr="00B13F8C">
        <w:rPr>
          <w:rFonts w:ascii="仿宋" w:eastAsia="仿宋" w:hAnsi="仿宋" w:cs="宋体"/>
          <w:sz w:val="28"/>
          <w:szCs w:val="28"/>
        </w:rPr>
        <w:sym w:font="Wingdings 2" w:char="F052"/>
      </w:r>
      <w:r w:rsidRPr="00B13F8C">
        <w:rPr>
          <w:rFonts w:ascii="仿宋" w:eastAsia="仿宋" w:hAnsi="仿宋" w:cs="宋体"/>
          <w:sz w:val="28"/>
          <w:szCs w:val="28"/>
        </w:rPr>
        <w:t>不适用</w:t>
      </w:r>
    </w:p>
    <w:p w:rsidR="00B13593" w:rsidRPr="00B13F8C" w:rsidRDefault="00B13F8C" w:rsidP="00054B06">
      <w:pPr>
        <w:pStyle w:val="2"/>
        <w:spacing w:before="0" w:after="0" w:line="560" w:lineRule="exact"/>
        <w:ind w:firstLineChars="200" w:firstLine="562"/>
        <w:rPr>
          <w:rFonts w:ascii="宋体" w:eastAsia="宋体" w:hAnsi="宋体" w:cs="宋体"/>
          <w:b/>
          <w:bCs/>
          <w:sz w:val="28"/>
          <w:szCs w:val="28"/>
        </w:rPr>
      </w:pPr>
      <w:bookmarkStart w:id="8" w:name="_Toc988897"/>
      <w:r w:rsidRPr="00B13F8C">
        <w:rPr>
          <w:rFonts w:ascii="宋体" w:eastAsia="宋体" w:hAnsi="宋体" w:cs="宋体"/>
          <w:b/>
          <w:bCs/>
          <w:sz w:val="28"/>
          <w:szCs w:val="28"/>
        </w:rPr>
        <w:t>四、主要会计数据和财务指标</w:t>
      </w:r>
      <w:bookmarkEnd w:id="8"/>
    </w:p>
    <w:p w:rsidR="00B13593" w:rsidRPr="00B13F8C" w:rsidRDefault="00B13F8C" w:rsidP="00054B06">
      <w:pPr>
        <w:spacing w:line="560" w:lineRule="exact"/>
        <w:ind w:firstLineChars="200" w:firstLine="562"/>
        <w:rPr>
          <w:rFonts w:ascii="仿宋" w:eastAsia="仿宋" w:hAnsi="仿宋" w:cs="宋体"/>
          <w:b/>
          <w:sz w:val="28"/>
          <w:szCs w:val="28"/>
        </w:rPr>
      </w:pPr>
      <w:r w:rsidRPr="00B13F8C">
        <w:rPr>
          <w:rFonts w:ascii="仿宋" w:eastAsia="仿宋" w:hAnsi="仿宋" w:cs="宋体"/>
          <w:b/>
          <w:sz w:val="28"/>
          <w:szCs w:val="28"/>
        </w:rPr>
        <w:t>公司是否需追溯调整或重述以前年度会计数据</w:t>
      </w:r>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 xml:space="preserve">□是 </w:t>
      </w:r>
      <w:r>
        <w:rPr>
          <w:rFonts w:ascii="仿宋" w:eastAsia="仿宋" w:hAnsi="仿宋" w:cs="宋体" w:hint="eastAsia"/>
          <w:sz w:val="28"/>
          <w:szCs w:val="28"/>
        </w:rPr>
        <w:t xml:space="preserve"> </w:t>
      </w:r>
      <w:r w:rsidRPr="00B13F8C">
        <w:rPr>
          <w:rFonts w:ascii="仿宋" w:eastAsia="仿宋" w:hAnsi="仿宋" w:cs="宋体"/>
          <w:sz w:val="28"/>
          <w:szCs w:val="28"/>
        </w:rPr>
        <w:sym w:font="Wingdings 2" w:char="F052"/>
      </w:r>
      <w:r w:rsidRPr="00B13F8C">
        <w:rPr>
          <w:rFonts w:ascii="仿宋" w:eastAsia="仿宋" w:hAnsi="仿宋" w:cs="宋体"/>
          <w:sz w:val="28"/>
          <w:szCs w:val="2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369"/>
        <w:gridCol w:w="2126"/>
        <w:gridCol w:w="1734"/>
        <w:gridCol w:w="2410"/>
      </w:tblGrid>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本报告期</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营业收入（元）</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180,386,695.40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11.93%</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36,502,360.83</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33,419,174.86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9.23%</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EB1463" w:rsidP="00054B06">
            <w:pPr>
              <w:spacing w:line="320" w:lineRule="exact"/>
              <w:jc w:val="right"/>
              <w:rPr>
                <w:rFonts w:ascii="宋体" w:eastAsia="宋体" w:hAnsi="宋体" w:cs="宋体"/>
                <w:sz w:val="18"/>
                <w:szCs w:val="18"/>
              </w:rPr>
            </w:pPr>
            <w:r w:rsidRPr="000D3B58">
              <w:rPr>
                <w:rFonts w:ascii="宋体" w:eastAsia="宋体" w:hAnsi="宋体" w:cs="宋体"/>
                <w:sz w:val="18"/>
                <w:szCs w:val="18"/>
              </w:rPr>
              <w:t>32,667,498.08</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30,139,287.54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8.39%</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-59,877,077.54</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-35,936,993.79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-66.62%</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基本每股收益（元/股）</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0.0839</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0.0770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8.96%</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稀释每股收益（元/股）</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0.0836</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0.0766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9.14%</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加权平均净资产收益率</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EB1463" w:rsidP="00054B06">
            <w:pPr>
              <w:spacing w:line="320" w:lineRule="exact"/>
              <w:jc w:val="right"/>
              <w:rPr>
                <w:rFonts w:ascii="宋体" w:eastAsia="宋体" w:hAnsi="宋体" w:cs="宋体"/>
                <w:sz w:val="18"/>
                <w:szCs w:val="18"/>
              </w:rPr>
            </w:pPr>
            <w:r>
              <w:rPr>
                <w:rFonts w:ascii="宋体" w:eastAsia="宋体" w:hAnsi="宋体" w:cs="宋体"/>
                <w:sz w:val="18"/>
                <w:szCs w:val="18"/>
              </w:rPr>
              <w:t>2.06</w:t>
            </w:r>
            <w:r w:rsidR="00A65A49">
              <w:rPr>
                <w:rFonts w:ascii="宋体" w:eastAsia="宋体" w:hAnsi="宋体" w:cs="宋体" w:hint="eastAsia"/>
                <w:sz w:val="18"/>
                <w:szCs w:val="18"/>
              </w:rPr>
              <w:t>%</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EB1463">
            <w:pPr>
              <w:spacing w:line="320" w:lineRule="exact"/>
              <w:jc w:val="right"/>
              <w:rPr>
                <w:rFonts w:ascii="宋体" w:eastAsia="宋体" w:hAnsi="宋体" w:cs="宋体"/>
                <w:sz w:val="18"/>
                <w:szCs w:val="18"/>
              </w:rPr>
            </w:pPr>
            <w:r>
              <w:rPr>
                <w:rFonts w:ascii="宋体" w:eastAsia="宋体" w:hAnsi="宋体" w:cs="宋体"/>
                <w:sz w:val="18"/>
                <w:szCs w:val="18"/>
              </w:rPr>
              <w:t>0.</w:t>
            </w:r>
            <w:r w:rsidR="004D0E35">
              <w:rPr>
                <w:rFonts w:ascii="宋体" w:eastAsia="宋体" w:hAnsi="宋体" w:cs="宋体"/>
                <w:sz w:val="18"/>
                <w:szCs w:val="18"/>
              </w:rPr>
              <w:t>0</w:t>
            </w:r>
            <w:r w:rsidR="00EB1463">
              <w:rPr>
                <w:rFonts w:ascii="宋体" w:eastAsia="宋体" w:hAnsi="宋体" w:cs="宋体" w:hint="eastAsia"/>
                <w:sz w:val="18"/>
                <w:szCs w:val="18"/>
              </w:rPr>
              <w:t>3</w:t>
            </w:r>
            <w:r>
              <w:rPr>
                <w:rFonts w:ascii="宋体" w:eastAsia="宋体" w:hAnsi="宋体" w:cs="宋体"/>
                <w:sz w:val="18"/>
                <w:szCs w:val="18"/>
              </w:rPr>
              <w:t>%</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本报告期末</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总资产（元）</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2,026,853,752.31</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2,006,682,867.51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1.01%</w:t>
            </w:r>
          </w:p>
        </w:tc>
      </w:tr>
      <w:tr w:rsidR="00B13593" w:rsidTr="00B13F8C">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1,801,325,709.01</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1,754,753,747.99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2.65%</w:t>
            </w:r>
          </w:p>
        </w:tc>
      </w:tr>
    </w:tbl>
    <w:p w:rsidR="00B13593" w:rsidRPr="00B13F8C" w:rsidRDefault="00B13F8C" w:rsidP="00054B06">
      <w:pPr>
        <w:pStyle w:val="2"/>
        <w:spacing w:before="0" w:after="0" w:line="560" w:lineRule="exact"/>
        <w:ind w:firstLineChars="200" w:firstLine="562"/>
        <w:rPr>
          <w:rFonts w:ascii="宋体" w:eastAsia="宋体" w:hAnsi="宋体" w:cs="宋体"/>
          <w:b/>
          <w:bCs/>
          <w:sz w:val="28"/>
          <w:szCs w:val="28"/>
        </w:rPr>
      </w:pPr>
      <w:bookmarkStart w:id="9" w:name="_Toc988898"/>
      <w:r w:rsidRPr="00B13F8C">
        <w:rPr>
          <w:rFonts w:ascii="宋体" w:eastAsia="宋体" w:hAnsi="宋体" w:cs="宋体"/>
          <w:b/>
          <w:bCs/>
          <w:sz w:val="28"/>
          <w:szCs w:val="28"/>
        </w:rPr>
        <w:t>五、境内外会计准则下会计数据差异</w:t>
      </w:r>
      <w:bookmarkEnd w:id="9"/>
    </w:p>
    <w:p w:rsidR="00B13593" w:rsidRPr="00B13F8C" w:rsidRDefault="00B13F8C" w:rsidP="00054B06">
      <w:pPr>
        <w:spacing w:line="560" w:lineRule="exact"/>
        <w:ind w:firstLineChars="200" w:firstLine="562"/>
        <w:rPr>
          <w:rFonts w:ascii="仿宋" w:eastAsia="仿宋" w:hAnsi="仿宋" w:cs="宋体"/>
          <w:b/>
          <w:sz w:val="28"/>
          <w:szCs w:val="28"/>
        </w:rPr>
      </w:pPr>
      <w:bookmarkStart w:id="10" w:name="_Toc988899"/>
      <w:r w:rsidRPr="00B13F8C">
        <w:rPr>
          <w:rFonts w:ascii="仿宋" w:eastAsia="仿宋" w:hAnsi="仿宋" w:cs="宋体"/>
          <w:b/>
          <w:sz w:val="28"/>
          <w:szCs w:val="28"/>
        </w:rPr>
        <w:t>1、同时按照国际会计准则与按照中国会计准则披露的财务报告中净利润和净资产差异情况</w:t>
      </w:r>
      <w:bookmarkEnd w:id="10"/>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□适用</w:t>
      </w:r>
      <w:r>
        <w:rPr>
          <w:rFonts w:ascii="仿宋" w:eastAsia="仿宋" w:hAnsi="仿宋" w:cs="宋体" w:hint="eastAsia"/>
          <w:sz w:val="28"/>
          <w:szCs w:val="28"/>
        </w:rPr>
        <w:t xml:space="preserve"> </w:t>
      </w:r>
      <w:r w:rsidRPr="00B13F8C">
        <w:rPr>
          <w:rFonts w:ascii="仿宋" w:eastAsia="仿宋" w:hAnsi="仿宋" w:cs="宋体"/>
          <w:sz w:val="28"/>
          <w:szCs w:val="28"/>
        </w:rPr>
        <w:t xml:space="preserve"> </w:t>
      </w:r>
      <w:r w:rsidRPr="00B13F8C">
        <w:rPr>
          <w:rFonts w:ascii="仿宋" w:eastAsia="仿宋" w:hAnsi="仿宋" w:cs="宋体"/>
          <w:sz w:val="28"/>
          <w:szCs w:val="28"/>
        </w:rPr>
        <w:sym w:font="Wingdings 2" w:char="F052"/>
      </w:r>
      <w:r w:rsidRPr="00B13F8C">
        <w:rPr>
          <w:rFonts w:ascii="仿宋" w:eastAsia="仿宋" w:hAnsi="仿宋" w:cs="宋体"/>
          <w:sz w:val="28"/>
          <w:szCs w:val="28"/>
        </w:rPr>
        <w:t>不适用</w:t>
      </w:r>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公司报告期不存在按照国际会计准则与按照中国会计准则披露的财务报告中净利润和净资产差异情况。</w:t>
      </w:r>
    </w:p>
    <w:p w:rsidR="00B13593" w:rsidRPr="00B13F8C" w:rsidRDefault="00B13F8C" w:rsidP="00054B06">
      <w:pPr>
        <w:spacing w:line="560" w:lineRule="exact"/>
        <w:ind w:firstLineChars="200" w:firstLine="562"/>
        <w:rPr>
          <w:rFonts w:ascii="仿宋" w:eastAsia="仿宋" w:hAnsi="仿宋" w:cs="宋体"/>
          <w:b/>
          <w:sz w:val="28"/>
          <w:szCs w:val="28"/>
        </w:rPr>
      </w:pPr>
      <w:bookmarkStart w:id="11" w:name="_Toc988900"/>
      <w:r w:rsidRPr="00B13F8C">
        <w:rPr>
          <w:rFonts w:ascii="仿宋" w:eastAsia="仿宋" w:hAnsi="仿宋" w:cs="宋体"/>
          <w:b/>
          <w:sz w:val="28"/>
          <w:szCs w:val="28"/>
        </w:rPr>
        <w:t>2、同时按照境外会计准则与按照中国会计准则披露的财务报告中净利润和净资产差异情况</w:t>
      </w:r>
      <w:bookmarkEnd w:id="11"/>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□适用</w:t>
      </w:r>
      <w:r>
        <w:rPr>
          <w:rFonts w:ascii="仿宋" w:eastAsia="仿宋" w:hAnsi="仿宋" w:cs="宋体" w:hint="eastAsia"/>
          <w:sz w:val="28"/>
          <w:szCs w:val="28"/>
        </w:rPr>
        <w:t xml:space="preserve"> </w:t>
      </w:r>
      <w:r w:rsidRPr="00B13F8C">
        <w:rPr>
          <w:rFonts w:ascii="仿宋" w:eastAsia="仿宋" w:hAnsi="仿宋" w:cs="宋体"/>
          <w:sz w:val="28"/>
          <w:szCs w:val="28"/>
        </w:rPr>
        <w:t xml:space="preserve"> </w:t>
      </w:r>
      <w:r w:rsidRPr="00B13F8C">
        <w:rPr>
          <w:rFonts w:ascii="仿宋" w:eastAsia="仿宋" w:hAnsi="仿宋" w:cs="宋体"/>
          <w:sz w:val="28"/>
          <w:szCs w:val="28"/>
        </w:rPr>
        <w:sym w:font="Wingdings 2" w:char="F052"/>
      </w:r>
      <w:r w:rsidRPr="00B13F8C">
        <w:rPr>
          <w:rFonts w:ascii="仿宋" w:eastAsia="仿宋" w:hAnsi="仿宋" w:cs="宋体"/>
          <w:sz w:val="28"/>
          <w:szCs w:val="28"/>
        </w:rPr>
        <w:t>不适用</w:t>
      </w:r>
    </w:p>
    <w:p w:rsidR="00054B06"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t>公司报告期不存在按照境外会计准则与按照中国会计准则披露的财务报告中净利润和净资产差异情况。</w:t>
      </w:r>
      <w:bookmarkStart w:id="12" w:name="_Toc988901"/>
    </w:p>
    <w:p w:rsidR="00B13593" w:rsidRPr="00B13F8C" w:rsidRDefault="00B13F8C" w:rsidP="00054B06">
      <w:pPr>
        <w:spacing w:line="560" w:lineRule="exact"/>
        <w:ind w:firstLineChars="200" w:firstLine="562"/>
        <w:rPr>
          <w:rFonts w:ascii="宋体" w:eastAsia="宋体" w:hAnsi="宋体" w:cs="宋体"/>
          <w:b/>
          <w:bCs/>
          <w:sz w:val="28"/>
          <w:szCs w:val="28"/>
        </w:rPr>
      </w:pPr>
      <w:r w:rsidRPr="00B13F8C">
        <w:rPr>
          <w:rFonts w:ascii="宋体" w:eastAsia="宋体" w:hAnsi="宋体" w:cs="宋体"/>
          <w:b/>
          <w:bCs/>
          <w:sz w:val="28"/>
          <w:szCs w:val="28"/>
        </w:rPr>
        <w:t>六、非经常性损益项目及金额</w:t>
      </w:r>
      <w:bookmarkEnd w:id="12"/>
    </w:p>
    <w:p w:rsidR="00B13593" w:rsidRPr="00B13F8C" w:rsidRDefault="00B13F8C" w:rsidP="00054B06">
      <w:pPr>
        <w:spacing w:line="560" w:lineRule="exact"/>
        <w:ind w:firstLineChars="200" w:firstLine="560"/>
        <w:rPr>
          <w:rFonts w:ascii="仿宋" w:eastAsia="仿宋" w:hAnsi="仿宋" w:cs="宋体"/>
          <w:sz w:val="28"/>
          <w:szCs w:val="28"/>
        </w:rPr>
      </w:pPr>
      <w:r w:rsidRPr="00B13F8C">
        <w:rPr>
          <w:rFonts w:ascii="仿宋" w:eastAsia="仿宋" w:hAnsi="仿宋" w:cs="宋体"/>
          <w:sz w:val="28"/>
          <w:szCs w:val="28"/>
        </w:rPr>
        <w:lastRenderedPageBreak/>
        <w:sym w:font="Wingdings 2" w:char="F052"/>
      </w:r>
      <w:r w:rsidRPr="00B13F8C">
        <w:rPr>
          <w:rFonts w:ascii="仿宋" w:eastAsia="仿宋" w:hAnsi="仿宋" w:cs="宋体"/>
          <w:sz w:val="28"/>
          <w:szCs w:val="28"/>
        </w:rPr>
        <w:t>适用</w:t>
      </w:r>
      <w:r>
        <w:rPr>
          <w:rFonts w:ascii="仿宋" w:eastAsia="仿宋" w:hAnsi="仿宋" w:cs="宋体" w:hint="eastAsia"/>
          <w:sz w:val="28"/>
          <w:szCs w:val="28"/>
        </w:rPr>
        <w:t xml:space="preserve"> </w:t>
      </w:r>
      <w:r w:rsidRPr="00B13F8C">
        <w:rPr>
          <w:rFonts w:ascii="仿宋" w:eastAsia="仿宋" w:hAnsi="仿宋" w:cs="宋体"/>
          <w:sz w:val="28"/>
          <w:szCs w:val="28"/>
        </w:rPr>
        <w:t xml:space="preserve"> □不适用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11"/>
        <w:gridCol w:w="2127"/>
        <w:gridCol w:w="2301"/>
      </w:tblGrid>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说明</w:t>
            </w: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EB1463" w:rsidP="00054B06">
            <w:pPr>
              <w:spacing w:line="320" w:lineRule="exact"/>
              <w:jc w:val="right"/>
              <w:rPr>
                <w:rFonts w:ascii="宋体" w:eastAsia="宋体" w:hAnsi="宋体" w:cs="宋体"/>
                <w:sz w:val="18"/>
                <w:szCs w:val="18"/>
              </w:rPr>
            </w:pPr>
            <w:r w:rsidRPr="000D3B58">
              <w:rPr>
                <w:rFonts w:ascii="宋体" w:eastAsia="宋体" w:hAnsi="宋体" w:cs="宋体"/>
                <w:sz w:val="18"/>
                <w:szCs w:val="18"/>
              </w:rPr>
              <w:t>-4,793.19</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越权审批或无正式批准文件的税收返还、减免</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1,412,764.84</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4,020,861.15</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主要系理财收益</w:t>
            </w: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-998,353.40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对外委托贷款取得的损益</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采用公允价值模式进行后续计量的投资性房地产公允价值变动产生的损益</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根据税收、会计等法律、法规的要求对当期损益进行一次性调整对当期损益的影响</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受托经营取得的托管费收入</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858.70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262,458.18</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减：所得税影响额</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EB1463" w:rsidP="00054B06">
            <w:pPr>
              <w:spacing w:line="320" w:lineRule="exact"/>
              <w:jc w:val="right"/>
              <w:rPr>
                <w:rFonts w:ascii="宋体" w:eastAsia="宋体" w:hAnsi="宋体" w:cs="宋体"/>
                <w:sz w:val="18"/>
                <w:szCs w:val="18"/>
              </w:rPr>
            </w:pPr>
            <w:r w:rsidRPr="000D3B58">
              <w:rPr>
                <w:rFonts w:ascii="宋体" w:eastAsia="宋体" w:hAnsi="宋体" w:cs="宋体"/>
                <w:sz w:val="18"/>
                <w:szCs w:val="18"/>
              </w:rPr>
              <w:t>806,108.</w:t>
            </w:r>
            <w:r>
              <w:rPr>
                <w:rFonts w:ascii="宋体" w:eastAsia="宋体" w:hAnsi="宋体" w:cs="宋体"/>
                <w:sz w:val="18"/>
                <w:szCs w:val="18"/>
              </w:rPr>
              <w:t>39</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52,825.14</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B13F8C">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合计</w:t>
            </w:r>
          </w:p>
        </w:tc>
        <w:tc>
          <w:tcPr>
            <w:tcW w:w="2127" w:type="dxa"/>
            <w:tcBorders>
              <w:top w:val="single" w:sz="2" w:space="0" w:color="auto"/>
              <w:left w:val="single" w:sz="2" w:space="0" w:color="auto"/>
              <w:bottom w:val="single" w:sz="2" w:space="0" w:color="auto"/>
              <w:right w:val="single" w:sz="2" w:space="0" w:color="auto"/>
            </w:tcBorders>
            <w:vAlign w:val="center"/>
          </w:tcPr>
          <w:p w:rsidR="00B13593" w:rsidRDefault="00EB1463" w:rsidP="00054B06">
            <w:pPr>
              <w:spacing w:line="320" w:lineRule="exact"/>
              <w:jc w:val="right"/>
              <w:rPr>
                <w:rFonts w:ascii="宋体" w:eastAsia="宋体" w:hAnsi="宋体" w:cs="宋体"/>
                <w:sz w:val="18"/>
                <w:szCs w:val="18"/>
              </w:rPr>
            </w:pPr>
            <w:r w:rsidRPr="000D3B58">
              <w:rPr>
                <w:rFonts w:ascii="宋体" w:eastAsia="宋体" w:hAnsi="宋体" w:cs="宋体"/>
                <w:sz w:val="18"/>
                <w:szCs w:val="18"/>
              </w:rPr>
              <w:t>3,834,862.75</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r>
    </w:tbl>
    <w:p w:rsidR="00B13593" w:rsidRPr="00B13F8C" w:rsidRDefault="00B13F8C" w:rsidP="00054B06">
      <w:pPr>
        <w:spacing w:line="540" w:lineRule="exact"/>
        <w:ind w:firstLineChars="200" w:firstLine="562"/>
        <w:rPr>
          <w:rFonts w:ascii="仿宋" w:eastAsia="仿宋" w:hAnsi="仿宋" w:cs="宋体"/>
          <w:b/>
          <w:sz w:val="28"/>
          <w:szCs w:val="28"/>
        </w:rPr>
      </w:pPr>
      <w:r w:rsidRPr="00B13F8C">
        <w:rPr>
          <w:rFonts w:ascii="仿宋" w:eastAsia="仿宋" w:hAnsi="仿宋" w:cs="宋体"/>
          <w:b/>
          <w:sz w:val="28"/>
          <w:szCs w:val="28"/>
        </w:rPr>
        <w:t>其他符合非经常性损益定义的损益项目的具体情况：</w:t>
      </w:r>
    </w:p>
    <w:p w:rsidR="00B13F8C" w:rsidRDefault="00B13F8C" w:rsidP="00054B06">
      <w:pPr>
        <w:spacing w:line="540" w:lineRule="exact"/>
        <w:ind w:firstLineChars="200" w:firstLine="560"/>
        <w:rPr>
          <w:rFonts w:ascii="仿宋" w:eastAsia="仿宋" w:hAnsi="仿宋" w:cs="宋体"/>
          <w:sz w:val="28"/>
          <w:szCs w:val="28"/>
        </w:rPr>
      </w:pPr>
      <w:r w:rsidRPr="00B13F8C">
        <w:rPr>
          <w:rFonts w:ascii="仿宋" w:eastAsia="仿宋" w:hAnsi="仿宋" w:cs="宋体"/>
          <w:sz w:val="28"/>
          <w:szCs w:val="28"/>
        </w:rPr>
        <w:sym w:font="Wingdings 2" w:char="F052"/>
      </w:r>
      <w:r w:rsidRPr="00B13F8C">
        <w:rPr>
          <w:rFonts w:ascii="仿宋" w:eastAsia="仿宋" w:hAnsi="仿宋" w:cs="宋体"/>
          <w:sz w:val="28"/>
          <w:szCs w:val="28"/>
        </w:rPr>
        <w:t>适用</w:t>
      </w:r>
      <w:r>
        <w:rPr>
          <w:rFonts w:ascii="仿宋" w:eastAsia="仿宋" w:hAnsi="仿宋" w:cs="宋体" w:hint="eastAsia"/>
          <w:sz w:val="28"/>
          <w:szCs w:val="28"/>
        </w:rPr>
        <w:t xml:space="preserve"> </w:t>
      </w:r>
      <w:r w:rsidRPr="00B13F8C">
        <w:rPr>
          <w:rFonts w:ascii="仿宋" w:eastAsia="仿宋" w:hAnsi="仿宋" w:cs="宋体"/>
          <w:sz w:val="28"/>
          <w:szCs w:val="28"/>
        </w:rPr>
        <w:t xml:space="preserve"> □不适用</w:t>
      </w:r>
    </w:p>
    <w:p w:rsidR="00B13593" w:rsidRPr="00B13F8C" w:rsidRDefault="00B13593" w:rsidP="00054B06">
      <w:pPr>
        <w:spacing w:line="540" w:lineRule="exact"/>
        <w:ind w:firstLineChars="200" w:firstLine="560"/>
        <w:jc w:val="both"/>
        <w:rPr>
          <w:rFonts w:ascii="仿宋" w:eastAsia="仿宋" w:hAnsi="仿宋" w:cs="宋体"/>
          <w:sz w:val="28"/>
          <w:szCs w:val="28"/>
        </w:rPr>
      </w:pPr>
      <w:r w:rsidRPr="00B13F8C">
        <w:rPr>
          <w:rFonts w:ascii="仿宋" w:eastAsia="仿宋" w:hAnsi="仿宋" w:cs="宋体" w:hint="eastAsia"/>
          <w:sz w:val="28"/>
          <w:szCs w:val="28"/>
        </w:rPr>
        <w:t>其他符合非经常性损益定义的损益项目为个人所得税手续费返还262,458.18元。</w:t>
      </w:r>
    </w:p>
    <w:p w:rsidR="00B13593" w:rsidRPr="00B13F8C" w:rsidRDefault="00B13F8C" w:rsidP="00054B06">
      <w:pPr>
        <w:spacing w:line="540" w:lineRule="exact"/>
        <w:ind w:firstLineChars="200" w:firstLine="562"/>
        <w:rPr>
          <w:rFonts w:ascii="仿宋" w:eastAsia="仿宋" w:hAnsi="仿宋" w:cs="宋体"/>
          <w:b/>
          <w:sz w:val="28"/>
          <w:szCs w:val="28"/>
        </w:rPr>
      </w:pPr>
      <w:r w:rsidRPr="00B13F8C">
        <w:rPr>
          <w:rFonts w:ascii="仿宋" w:eastAsia="仿宋" w:hAnsi="仿宋" w:cs="宋体"/>
          <w:b/>
          <w:sz w:val="28"/>
          <w:szCs w:val="28"/>
        </w:rPr>
        <w:t>将《公开发行证券的公司信息披露解释性公告第1号——非经常性损益》中列举的非经常性损益项目界定为经常性损益项目的情况说明</w:t>
      </w:r>
    </w:p>
    <w:p w:rsidR="00B13593" w:rsidRPr="00B13F8C" w:rsidRDefault="00B13F8C" w:rsidP="00054B06">
      <w:pPr>
        <w:spacing w:line="540" w:lineRule="exact"/>
        <w:ind w:firstLineChars="200" w:firstLine="560"/>
        <w:rPr>
          <w:rFonts w:ascii="仿宋" w:eastAsia="仿宋" w:hAnsi="仿宋" w:cs="宋体"/>
          <w:sz w:val="28"/>
          <w:szCs w:val="28"/>
        </w:rPr>
      </w:pPr>
      <w:r w:rsidRPr="00B13F8C">
        <w:rPr>
          <w:rFonts w:ascii="仿宋" w:eastAsia="仿宋" w:hAnsi="仿宋" w:cs="宋体"/>
          <w:sz w:val="28"/>
          <w:szCs w:val="28"/>
        </w:rPr>
        <w:t xml:space="preserve">□适用 </w:t>
      </w:r>
      <w:r>
        <w:rPr>
          <w:rFonts w:ascii="仿宋" w:eastAsia="仿宋" w:hAnsi="仿宋" w:cs="宋体" w:hint="eastAsia"/>
          <w:sz w:val="28"/>
          <w:szCs w:val="28"/>
        </w:rPr>
        <w:t xml:space="preserve"> </w:t>
      </w:r>
      <w:r w:rsidRPr="00B13F8C">
        <w:rPr>
          <w:rFonts w:ascii="仿宋" w:eastAsia="仿宋" w:hAnsi="仿宋" w:cs="宋体"/>
          <w:sz w:val="28"/>
          <w:szCs w:val="28"/>
        </w:rPr>
        <w:sym w:font="Wingdings 2" w:char="F052"/>
      </w:r>
      <w:r w:rsidRPr="00B13F8C">
        <w:rPr>
          <w:rFonts w:ascii="仿宋" w:eastAsia="仿宋" w:hAnsi="仿宋" w:cs="宋体"/>
          <w:sz w:val="28"/>
          <w:szCs w:val="28"/>
        </w:rPr>
        <w:t>不适用</w:t>
      </w:r>
    </w:p>
    <w:p w:rsidR="00B13593" w:rsidRPr="00B13F8C" w:rsidRDefault="00B13F8C" w:rsidP="00054B06">
      <w:pPr>
        <w:spacing w:line="540" w:lineRule="exact"/>
        <w:ind w:firstLineChars="200" w:firstLine="560"/>
        <w:rPr>
          <w:rFonts w:ascii="仿宋" w:eastAsia="仿宋" w:hAnsi="仿宋" w:cs="宋体"/>
          <w:sz w:val="28"/>
          <w:szCs w:val="28"/>
        </w:rPr>
      </w:pPr>
      <w:r w:rsidRPr="00B13F8C">
        <w:rPr>
          <w:rFonts w:ascii="仿宋" w:eastAsia="仿宋" w:hAnsi="仿宋" w:cs="宋体"/>
          <w:sz w:val="28"/>
          <w:szCs w:val="28"/>
        </w:rPr>
        <w:t>公司不存在将《公开发行证券的公司信息披露解释性公告第1号——非经常性损益》中列举的非经常性损益项目界定为经常性损益的项目的情形。</w:t>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B13593" w:rsidRPr="00B13F8C" w:rsidRDefault="00B13F8C" w:rsidP="00FE3ECA">
      <w:pPr>
        <w:pStyle w:val="2"/>
        <w:spacing w:before="0" w:after="0" w:line="560" w:lineRule="exact"/>
        <w:ind w:firstLineChars="200" w:firstLine="562"/>
        <w:jc w:val="both"/>
        <w:rPr>
          <w:rFonts w:ascii="宋体" w:eastAsia="宋体" w:hAnsi="宋体" w:cs="宋体"/>
          <w:b/>
          <w:bCs/>
          <w:sz w:val="28"/>
          <w:szCs w:val="28"/>
        </w:rPr>
      </w:pPr>
      <w:bookmarkStart w:id="14" w:name="_Toc988903"/>
      <w:r w:rsidRPr="00B13F8C">
        <w:rPr>
          <w:rFonts w:ascii="宋体" w:eastAsia="宋体" w:hAnsi="宋体" w:cs="宋体"/>
          <w:b/>
          <w:bCs/>
          <w:sz w:val="28"/>
          <w:szCs w:val="28"/>
        </w:rPr>
        <w:t>一、报告期内公司从事的主要业务</w:t>
      </w:r>
      <w:bookmarkEnd w:id="14"/>
    </w:p>
    <w:p w:rsidR="00A02D1E" w:rsidRDefault="00B13593" w:rsidP="00FE3ECA">
      <w:pPr>
        <w:pStyle w:val="a3"/>
        <w:widowControl w:val="0"/>
        <w:spacing w:before="0" w:beforeAutospacing="0" w:after="0" w:afterAutospacing="0" w:line="560" w:lineRule="exact"/>
        <w:ind w:firstLineChars="200" w:firstLine="562"/>
        <w:jc w:val="both"/>
        <w:divId w:val="1691027356"/>
      </w:pPr>
      <w:r>
        <w:rPr>
          <w:rStyle w:val="a4"/>
          <w:rFonts w:ascii="仿宋" w:eastAsia="仿宋" w:hAnsi="仿宋" w:hint="eastAsia"/>
          <w:sz w:val="28"/>
          <w:szCs w:val="28"/>
        </w:rPr>
        <w:t>（一）主要业务</w:t>
      </w:r>
    </w:p>
    <w:p w:rsidR="00FE3ECA" w:rsidRPr="00A92825" w:rsidRDefault="00FE3ECA" w:rsidP="00FE3ECA">
      <w:pPr>
        <w:shd w:val="clear" w:color="auto" w:fill="FFFFFF"/>
        <w:spacing w:line="560" w:lineRule="exact"/>
        <w:ind w:firstLineChars="200" w:firstLine="560"/>
        <w:divId w:val="1691027356"/>
        <w:rPr>
          <w:rFonts w:ascii="仿宋" w:eastAsia="仿宋" w:hAnsi="仿宋" w:cs="宋体"/>
          <w:sz w:val="28"/>
          <w:szCs w:val="28"/>
        </w:rPr>
      </w:pPr>
      <w:r w:rsidRPr="00A92825">
        <w:rPr>
          <w:rFonts w:ascii="仿宋" w:eastAsia="仿宋" w:hAnsi="仿宋" w:cs="宋体"/>
          <w:sz w:val="28"/>
          <w:szCs w:val="28"/>
        </w:rPr>
        <w:t>公司主营业务为电源及相关产品、高性能特种合金材料制品等军工产品的研发、生产、销售。</w:t>
      </w:r>
    </w:p>
    <w:p w:rsidR="00FE3ECA" w:rsidRDefault="00FE3ECA" w:rsidP="00FE3ECA">
      <w:pPr>
        <w:shd w:val="clear" w:color="auto" w:fill="FFFFFF"/>
        <w:spacing w:line="560" w:lineRule="exact"/>
        <w:ind w:firstLineChars="200" w:firstLine="562"/>
        <w:divId w:val="1691027356"/>
        <w:rPr>
          <w:b/>
          <w:sz w:val="28"/>
          <w:szCs w:val="28"/>
        </w:rPr>
      </w:pPr>
      <w:r w:rsidRPr="00A92825">
        <w:rPr>
          <w:rFonts w:ascii="仿宋" w:eastAsia="仿宋" w:hAnsi="仿宋" w:hint="eastAsia"/>
          <w:b/>
          <w:bCs/>
          <w:sz w:val="28"/>
          <w:szCs w:val="28"/>
        </w:rPr>
        <w:t>1、电源及相关产品业务</w:t>
      </w:r>
    </w:p>
    <w:p w:rsidR="00FE3ECA" w:rsidRDefault="00FE3ECA" w:rsidP="00FE3ECA">
      <w:pPr>
        <w:shd w:val="clear" w:color="auto" w:fill="FFFFFF"/>
        <w:spacing w:line="560" w:lineRule="exact"/>
        <w:ind w:firstLineChars="200" w:firstLine="560"/>
        <w:divId w:val="1691027356"/>
        <w:rPr>
          <w:b/>
          <w:sz w:val="28"/>
          <w:szCs w:val="28"/>
        </w:rPr>
      </w:pPr>
      <w:r w:rsidRPr="00A92825">
        <w:rPr>
          <w:rFonts w:ascii="仿宋" w:eastAsia="仿宋" w:hAnsi="仿宋" w:cs="宋体" w:hint="eastAsia"/>
          <w:kern w:val="0"/>
          <w:sz w:val="28"/>
          <w:szCs w:val="28"/>
        </w:rPr>
        <w:t>公司电源及相关产品业务由全资子公司升华电源和四川甘华承担。</w:t>
      </w:r>
    </w:p>
    <w:p w:rsidR="00FE3ECA" w:rsidRDefault="00FE3ECA" w:rsidP="008B420D">
      <w:pPr>
        <w:shd w:val="clear" w:color="auto" w:fill="FFFFFF"/>
        <w:spacing w:line="560" w:lineRule="exact"/>
        <w:ind w:firstLineChars="200" w:firstLine="560"/>
        <w:jc w:val="both"/>
        <w:divId w:val="1691027356"/>
        <w:rPr>
          <w:b/>
          <w:sz w:val="28"/>
          <w:szCs w:val="28"/>
        </w:rPr>
      </w:pPr>
      <w:r w:rsidRPr="00A92825">
        <w:rPr>
          <w:rFonts w:ascii="仿宋" w:eastAsia="仿宋" w:hAnsi="仿宋" w:cs="宋体" w:hint="eastAsia"/>
          <w:kern w:val="0"/>
          <w:sz w:val="28"/>
          <w:szCs w:val="28"/>
        </w:rPr>
        <w:t>升华电源专业从事高效率、高可靠性、高功率密度电源产品的开发设计、生产、销售与服务，已经建成了可靠性高、质量稳定、技术先进、应用范围广泛、规格品种齐全的电源产品线，致力于为客户提供可靠优质的电源全面解决方案。升华电源生产的电源属于“电源变换器”，其作用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两大类产品，主要服务于机载、舰载、弹载等多种武器平台，主要客户涵盖国内知名军工企业、军工科研院所、军工厂等。升华电源是国家高新技术企业，国家级专精特新“小巨人”单位，四川省瞪羚企业，各项军工资质齐全，被认定为四川省企业技术中心，经过多年的技术和经验积累，已完成多类电源产品的系列化研制，部分产品性能指标达到了国际一流企业的技术水平。升华电源依靠先进的技术、优质的产品和优良的服务，形成相应的品牌优势，积累了一定的客户,具备较强的竞争实力。</w:t>
      </w:r>
    </w:p>
    <w:p w:rsidR="00FE3ECA" w:rsidRDefault="00FE3ECA" w:rsidP="00FE3ECA">
      <w:pPr>
        <w:shd w:val="clear" w:color="auto" w:fill="FFFFFF"/>
        <w:spacing w:line="560" w:lineRule="exact"/>
        <w:ind w:firstLineChars="200" w:firstLine="560"/>
        <w:divId w:val="1691027356"/>
        <w:rPr>
          <w:b/>
          <w:sz w:val="28"/>
          <w:szCs w:val="28"/>
        </w:rPr>
      </w:pPr>
      <w:r w:rsidRPr="00A92825">
        <w:rPr>
          <w:rFonts w:ascii="仿宋" w:eastAsia="仿宋" w:hAnsi="仿宋" w:cs="宋体" w:hint="eastAsia"/>
          <w:kern w:val="0"/>
          <w:sz w:val="28"/>
          <w:szCs w:val="28"/>
        </w:rPr>
        <w:t>四川甘华主要从事电力设备、蓄电池、电子元器件、电子产品及配件等产品的研发、销售业务，目前致力于电源相关产品及前瞻电源技术的研发、</w:t>
      </w:r>
      <w:r w:rsidRPr="00A92825">
        <w:rPr>
          <w:rFonts w:ascii="仿宋" w:eastAsia="仿宋" w:hAnsi="仿宋" w:cs="宋体" w:hint="eastAsia"/>
          <w:kern w:val="0"/>
          <w:sz w:val="28"/>
          <w:szCs w:val="28"/>
        </w:rPr>
        <w:lastRenderedPageBreak/>
        <w:t>推广及应用。</w:t>
      </w:r>
      <w:r w:rsidRPr="00A92825">
        <w:rPr>
          <w:rFonts w:ascii="宋体" w:eastAsia="宋体" w:hAnsi="宋体" w:cs="宋体" w:hint="eastAsia"/>
          <w:kern w:val="0"/>
          <w:sz w:val="24"/>
          <w:szCs w:val="24"/>
        </w:rPr>
        <w:t xml:space="preserve"> </w:t>
      </w:r>
    </w:p>
    <w:p w:rsidR="00FE3ECA" w:rsidRDefault="00FE3ECA" w:rsidP="00FE3ECA">
      <w:pPr>
        <w:shd w:val="clear" w:color="auto" w:fill="FFFFFF"/>
        <w:spacing w:line="560" w:lineRule="exact"/>
        <w:ind w:firstLineChars="200" w:firstLine="562"/>
        <w:divId w:val="1691027356"/>
        <w:rPr>
          <w:b/>
          <w:sz w:val="28"/>
          <w:szCs w:val="28"/>
        </w:rPr>
      </w:pPr>
      <w:r w:rsidRPr="00A92825">
        <w:rPr>
          <w:rFonts w:ascii="仿宋" w:eastAsia="仿宋" w:hAnsi="仿宋" w:cs="宋体" w:hint="eastAsia"/>
          <w:b/>
          <w:bCs/>
          <w:kern w:val="0"/>
          <w:sz w:val="28"/>
          <w:szCs w:val="28"/>
        </w:rPr>
        <w:t>2、高性能特种合金材料制品业务</w:t>
      </w:r>
    </w:p>
    <w:p w:rsidR="00FE3ECA" w:rsidRDefault="00FE3ECA" w:rsidP="00FE3ECA">
      <w:pPr>
        <w:shd w:val="clear" w:color="auto" w:fill="FFFFFF"/>
        <w:spacing w:line="560" w:lineRule="exact"/>
        <w:ind w:firstLineChars="200" w:firstLine="560"/>
        <w:divId w:val="1691027356"/>
        <w:rPr>
          <w:b/>
          <w:sz w:val="28"/>
          <w:szCs w:val="28"/>
        </w:rPr>
      </w:pPr>
      <w:r w:rsidRPr="00A92825">
        <w:rPr>
          <w:rFonts w:ascii="仿宋" w:eastAsia="仿宋" w:hAnsi="仿宋" w:cs="宋体" w:hint="eastAsia"/>
          <w:kern w:val="0"/>
          <w:sz w:val="28"/>
          <w:szCs w:val="28"/>
        </w:rPr>
        <w:t>公司高性能特种合金材料制品业务由控股子公司沈阳含能和沈阳非晶承担。</w:t>
      </w:r>
    </w:p>
    <w:p w:rsidR="00FE3ECA" w:rsidRPr="00FE3ECA" w:rsidRDefault="00FE3ECA" w:rsidP="008B420D">
      <w:pPr>
        <w:shd w:val="clear" w:color="auto" w:fill="FFFFFF"/>
        <w:spacing w:line="560" w:lineRule="exact"/>
        <w:ind w:firstLineChars="200" w:firstLine="560"/>
        <w:jc w:val="both"/>
        <w:divId w:val="1691027356"/>
        <w:rPr>
          <w:b/>
          <w:sz w:val="28"/>
          <w:szCs w:val="28"/>
        </w:rPr>
      </w:pPr>
      <w:r w:rsidRPr="00A92825">
        <w:rPr>
          <w:rFonts w:ascii="仿宋" w:eastAsia="仿宋" w:hAnsi="仿宋" w:cs="宋体" w:hint="eastAsia"/>
          <w:kern w:val="0"/>
          <w:sz w:val="28"/>
          <w:szCs w:val="28"/>
        </w:rPr>
        <w:t>沈阳含能主要承担各种规格钨合金预制破片的研发及制造，产品系列涵盖钨柱、钨环、钨球等，特性为高密度、抗拉强度大、弹性模量高、热膨胀系数低以及良好的导热性、导电性等，主要应用于国防科技领域，为海、陆、空、火箭、战略支援等多部队装备的炮弹、火箭弹及导弹产品进行配套。沈阳含能拥有军工相关资质，同时是辽宁省高新技术企业，辽宁省首批新型创新主体“瞪羚企业”。产品性能良好，获得军方认可，已与多家兵工厂建立了良好的合作关系，是部分常规炮弹及新型火箭弹预制破片的主要供应商。</w:t>
      </w:r>
    </w:p>
    <w:p w:rsidR="00FE3ECA" w:rsidRDefault="00FE3ECA" w:rsidP="008B420D">
      <w:pPr>
        <w:spacing w:line="560" w:lineRule="exact"/>
        <w:ind w:firstLineChars="200" w:firstLine="560"/>
        <w:jc w:val="both"/>
        <w:divId w:val="1691027356"/>
        <w:rPr>
          <w:rFonts w:asciiTheme="minorEastAsia" w:hAnsiTheme="minorEastAsia"/>
          <w:sz w:val="30"/>
          <w:szCs w:val="30"/>
        </w:rPr>
      </w:pPr>
      <w:r w:rsidRPr="00A92825">
        <w:rPr>
          <w:rFonts w:ascii="仿宋" w:eastAsia="仿宋" w:hAnsi="仿宋" w:hint="eastAsia"/>
          <w:sz w:val="28"/>
          <w:szCs w:val="28"/>
        </w:rPr>
        <w:t>沈阳非晶主要从事非晶合金材料研发、制造、销售等业务，产品为非晶合金复合体，主要应用于军工、航空航天、石油化工等领域。公司通过与高等院校及科研院所开展产学研合作，对非晶合金技术创新、工艺优化和应用研究方面开展深入研究，并在多个研制任务获得应用。</w:t>
      </w:r>
    </w:p>
    <w:p w:rsidR="00A02D1E" w:rsidRDefault="00B13593" w:rsidP="00FE3ECA">
      <w:pPr>
        <w:pStyle w:val="a3"/>
        <w:widowControl w:val="0"/>
        <w:spacing w:before="0" w:beforeAutospacing="0" w:after="0" w:afterAutospacing="0" w:line="560" w:lineRule="exact"/>
        <w:ind w:firstLineChars="200" w:firstLine="562"/>
        <w:jc w:val="both"/>
        <w:divId w:val="1691027356"/>
        <w:rPr>
          <w:rFonts w:ascii="Calibri" w:hAnsi="Calibri" w:cs="Calibri"/>
          <w:sz w:val="21"/>
          <w:szCs w:val="21"/>
        </w:rPr>
      </w:pPr>
      <w:r>
        <w:rPr>
          <w:rStyle w:val="a4"/>
          <w:rFonts w:ascii="仿宋" w:eastAsia="仿宋" w:hAnsi="仿宋" w:hint="eastAsia"/>
          <w:sz w:val="28"/>
          <w:szCs w:val="28"/>
        </w:rPr>
        <w:t>（二）报告期经营情况概述</w:t>
      </w:r>
    </w:p>
    <w:p w:rsidR="00FE3ECA" w:rsidRPr="00FE3ECA" w:rsidRDefault="00FE3ECA" w:rsidP="008B420D">
      <w:pPr>
        <w:spacing w:line="560" w:lineRule="exact"/>
        <w:ind w:firstLineChars="200" w:firstLine="560"/>
        <w:jc w:val="both"/>
        <w:divId w:val="1691027356"/>
        <w:rPr>
          <w:rFonts w:ascii="仿宋" w:eastAsia="仿宋" w:hAnsi="仿宋"/>
          <w:sz w:val="28"/>
          <w:szCs w:val="28"/>
        </w:rPr>
      </w:pPr>
      <w:r w:rsidRPr="009A14ED">
        <w:rPr>
          <w:rFonts w:ascii="仿宋" w:eastAsia="仿宋" w:hAnsi="仿宋"/>
          <w:sz w:val="28"/>
          <w:szCs w:val="28"/>
        </w:rPr>
        <w:t>2023</w:t>
      </w:r>
      <w:r w:rsidRPr="009A14ED">
        <w:rPr>
          <w:rFonts w:ascii="仿宋" w:eastAsia="仿宋" w:hAnsi="仿宋" w:hint="eastAsia"/>
          <w:sz w:val="28"/>
          <w:szCs w:val="28"/>
        </w:rPr>
        <w:t>年上半年，国内经济形势错综复杂，经济下行压力较大。面对严峻的经济形势，公司直面经营中的困难与阻力，在董事会的领导下，紧紧围绕</w:t>
      </w:r>
      <w:r w:rsidR="00DA67FD" w:rsidRPr="009A14ED">
        <w:rPr>
          <w:rFonts w:ascii="仿宋" w:eastAsia="仿宋" w:hAnsi="仿宋" w:hint="eastAsia"/>
          <w:sz w:val="28"/>
          <w:szCs w:val="28"/>
        </w:rPr>
        <w:t>发展</w:t>
      </w:r>
      <w:r w:rsidRPr="009A14ED">
        <w:rPr>
          <w:rFonts w:ascii="仿宋" w:eastAsia="仿宋" w:hAnsi="仿宋" w:hint="eastAsia"/>
          <w:sz w:val="28"/>
          <w:szCs w:val="28"/>
        </w:rPr>
        <w:t>规划及年度总体经营目标，扎实推进各项工作任务，</w:t>
      </w:r>
      <w:r w:rsidR="00DA67FD" w:rsidRPr="009A14ED">
        <w:rPr>
          <w:rFonts w:ascii="仿宋" w:eastAsia="仿宋" w:hAnsi="仿宋" w:hint="eastAsia"/>
          <w:sz w:val="28"/>
          <w:szCs w:val="28"/>
        </w:rPr>
        <w:t>取得</w:t>
      </w:r>
      <w:r w:rsidR="00DA67FD" w:rsidRPr="009A14ED">
        <w:rPr>
          <w:rFonts w:ascii="仿宋" w:eastAsia="仿宋" w:hAnsi="仿宋"/>
          <w:sz w:val="28"/>
          <w:szCs w:val="28"/>
        </w:rPr>
        <w:t>较好成效，</w:t>
      </w:r>
      <w:r w:rsidRPr="009A14ED">
        <w:rPr>
          <w:rFonts w:ascii="仿宋" w:eastAsia="仿宋" w:hAnsi="仿宋" w:hint="eastAsia"/>
          <w:sz w:val="28"/>
          <w:szCs w:val="28"/>
        </w:rPr>
        <w:t>保持</w:t>
      </w:r>
      <w:r w:rsidR="00DA67FD" w:rsidRPr="009A14ED">
        <w:rPr>
          <w:rFonts w:ascii="仿宋" w:eastAsia="仿宋" w:hAnsi="仿宋" w:hint="eastAsia"/>
          <w:sz w:val="28"/>
          <w:szCs w:val="28"/>
        </w:rPr>
        <w:t>了</w:t>
      </w:r>
      <w:r w:rsidRPr="009A14ED">
        <w:rPr>
          <w:rFonts w:ascii="仿宋" w:eastAsia="仿宋" w:hAnsi="仿宋" w:hint="eastAsia"/>
          <w:sz w:val="28"/>
          <w:szCs w:val="28"/>
        </w:rPr>
        <w:t>公司运营总体稳中有进的态势。</w:t>
      </w:r>
    </w:p>
    <w:p w:rsidR="00A02D1E" w:rsidRDefault="00A02D1E" w:rsidP="00FE3ECA">
      <w:pPr>
        <w:pStyle w:val="a3"/>
        <w:widowControl w:val="0"/>
        <w:spacing w:before="0" w:beforeAutospacing="0" w:after="0" w:afterAutospacing="0" w:line="560" w:lineRule="exact"/>
        <w:ind w:firstLineChars="200" w:firstLine="562"/>
        <w:jc w:val="both"/>
        <w:divId w:val="1691027356"/>
        <w:rPr>
          <w:rFonts w:ascii="Calibri" w:hAnsi="Calibri" w:cs="Calibri"/>
          <w:sz w:val="21"/>
          <w:szCs w:val="21"/>
        </w:rPr>
      </w:pPr>
      <w:r>
        <w:rPr>
          <w:rStyle w:val="a4"/>
          <w:rFonts w:ascii="仿宋" w:eastAsia="仿宋" w:hAnsi="仿宋" w:hint="eastAsia"/>
          <w:color w:val="000000"/>
          <w:sz w:val="28"/>
          <w:szCs w:val="28"/>
        </w:rPr>
        <w:t>1、</w:t>
      </w:r>
      <w:r w:rsidR="00B13593" w:rsidRPr="00B13F8C">
        <w:rPr>
          <w:rStyle w:val="a4"/>
          <w:rFonts w:ascii="仿宋" w:eastAsia="仿宋" w:hAnsi="仿宋" w:hint="eastAsia"/>
          <w:color w:val="000000"/>
          <w:sz w:val="28"/>
          <w:szCs w:val="28"/>
        </w:rPr>
        <w:t>总体经营情况</w:t>
      </w:r>
    </w:p>
    <w:p w:rsidR="00A02D1E" w:rsidRPr="00A02D1E" w:rsidRDefault="00B13593" w:rsidP="00FE3ECA">
      <w:pPr>
        <w:pStyle w:val="a3"/>
        <w:widowControl w:val="0"/>
        <w:spacing w:before="0" w:beforeAutospacing="0" w:after="0" w:afterAutospacing="0" w:line="560" w:lineRule="exact"/>
        <w:ind w:firstLineChars="200" w:firstLine="560"/>
        <w:jc w:val="both"/>
        <w:divId w:val="1691027356"/>
        <w:rPr>
          <w:rFonts w:ascii="仿宋" w:eastAsia="仿宋" w:hAnsi="仿宋" w:cs="Calibri"/>
          <w:sz w:val="28"/>
          <w:szCs w:val="28"/>
        </w:rPr>
      </w:pPr>
      <w:r w:rsidRPr="00A02D1E">
        <w:rPr>
          <w:rFonts w:ascii="仿宋" w:eastAsia="仿宋" w:hAnsi="仿宋" w:cs="Calibri" w:hint="eastAsia"/>
          <w:sz w:val="28"/>
          <w:szCs w:val="28"/>
        </w:rPr>
        <w:t>2023年上半年，公司共完成营业收入</w:t>
      </w:r>
      <w:r w:rsidR="00A02D1E" w:rsidRPr="00A02D1E">
        <w:rPr>
          <w:rFonts w:ascii="仿宋" w:eastAsia="仿宋" w:hAnsi="仿宋" w:cs="Calibri" w:hint="eastAsia"/>
          <w:sz w:val="28"/>
          <w:szCs w:val="28"/>
        </w:rPr>
        <w:t>2.02</w:t>
      </w:r>
      <w:r w:rsidRPr="00A02D1E">
        <w:rPr>
          <w:rFonts w:ascii="仿宋" w:eastAsia="仿宋" w:hAnsi="仿宋" w:cs="Calibri" w:hint="eastAsia"/>
          <w:sz w:val="28"/>
          <w:szCs w:val="28"/>
        </w:rPr>
        <w:t>亿元，同比</w:t>
      </w:r>
      <w:r w:rsidR="00A02D1E" w:rsidRPr="00A02D1E">
        <w:rPr>
          <w:rFonts w:ascii="仿宋" w:eastAsia="仿宋" w:hAnsi="仿宋" w:cs="Calibri" w:hint="eastAsia"/>
          <w:sz w:val="28"/>
          <w:szCs w:val="28"/>
        </w:rPr>
        <w:t>增长11</w:t>
      </w:r>
      <w:r w:rsidRPr="00A02D1E">
        <w:rPr>
          <w:rFonts w:ascii="仿宋" w:eastAsia="仿宋" w:hAnsi="仿宋" w:cs="Calibri" w:hint="eastAsia"/>
          <w:sz w:val="28"/>
          <w:szCs w:val="28"/>
        </w:rPr>
        <w:t>.</w:t>
      </w:r>
      <w:r w:rsidR="00A02D1E" w:rsidRPr="00A02D1E">
        <w:rPr>
          <w:rFonts w:ascii="仿宋" w:eastAsia="仿宋" w:hAnsi="仿宋" w:cs="Calibri" w:hint="eastAsia"/>
          <w:sz w:val="28"/>
          <w:szCs w:val="28"/>
        </w:rPr>
        <w:t>93</w:t>
      </w:r>
      <w:r w:rsidRPr="00A02D1E">
        <w:rPr>
          <w:rFonts w:ascii="仿宋" w:eastAsia="仿宋" w:hAnsi="仿宋" w:cs="Calibri" w:hint="eastAsia"/>
          <w:sz w:val="28"/>
          <w:szCs w:val="28"/>
        </w:rPr>
        <w:t>%</w:t>
      </w:r>
      <w:r w:rsidR="00A02D1E" w:rsidRPr="00A02D1E">
        <w:rPr>
          <w:rFonts w:ascii="仿宋" w:eastAsia="仿宋" w:hAnsi="仿宋" w:cs="Calibri" w:hint="eastAsia"/>
          <w:sz w:val="28"/>
          <w:szCs w:val="28"/>
        </w:rPr>
        <w:t>；</w:t>
      </w:r>
      <w:r w:rsidRPr="00A02D1E">
        <w:rPr>
          <w:rFonts w:ascii="仿宋" w:eastAsia="仿宋" w:hAnsi="仿宋" w:cs="Calibri" w:hint="eastAsia"/>
          <w:sz w:val="28"/>
          <w:szCs w:val="28"/>
        </w:rPr>
        <w:t>实现归属于上市公司股东的净利润</w:t>
      </w:r>
      <w:r w:rsidR="00A02D1E" w:rsidRPr="00A02D1E">
        <w:rPr>
          <w:rFonts w:ascii="仿宋" w:eastAsia="仿宋" w:hAnsi="仿宋" w:cs="Calibri" w:hint="eastAsia"/>
          <w:sz w:val="28"/>
          <w:szCs w:val="28"/>
        </w:rPr>
        <w:t>3,650.24万</w:t>
      </w:r>
      <w:r w:rsidRPr="00A02D1E">
        <w:rPr>
          <w:rFonts w:ascii="仿宋" w:eastAsia="仿宋" w:hAnsi="仿宋" w:cs="Calibri" w:hint="eastAsia"/>
          <w:sz w:val="28"/>
          <w:szCs w:val="28"/>
        </w:rPr>
        <w:t>元，同比增长</w:t>
      </w:r>
      <w:r w:rsidR="00A02D1E" w:rsidRPr="00A02D1E">
        <w:rPr>
          <w:rFonts w:ascii="仿宋" w:eastAsia="仿宋" w:hAnsi="仿宋" w:cs="Calibri" w:hint="eastAsia"/>
          <w:sz w:val="28"/>
          <w:szCs w:val="28"/>
        </w:rPr>
        <w:t>9.23</w:t>
      </w:r>
      <w:r w:rsidRPr="00A02D1E">
        <w:rPr>
          <w:rFonts w:ascii="仿宋" w:eastAsia="仿宋" w:hAnsi="仿宋" w:cs="Calibri" w:hint="eastAsia"/>
          <w:sz w:val="28"/>
          <w:szCs w:val="28"/>
        </w:rPr>
        <w:t>%。截至202</w:t>
      </w:r>
      <w:r w:rsidR="00A02D1E" w:rsidRPr="00A02D1E">
        <w:rPr>
          <w:rFonts w:ascii="仿宋" w:eastAsia="仿宋" w:hAnsi="仿宋" w:cs="Calibri" w:hint="eastAsia"/>
          <w:sz w:val="28"/>
          <w:szCs w:val="28"/>
        </w:rPr>
        <w:t>3</w:t>
      </w:r>
      <w:r w:rsidRPr="00A02D1E">
        <w:rPr>
          <w:rFonts w:ascii="仿宋" w:eastAsia="仿宋" w:hAnsi="仿宋" w:cs="Calibri" w:hint="eastAsia"/>
          <w:sz w:val="28"/>
          <w:szCs w:val="28"/>
        </w:rPr>
        <w:t>年</w:t>
      </w:r>
      <w:r w:rsidR="00A02D1E" w:rsidRPr="00A02D1E">
        <w:rPr>
          <w:rFonts w:ascii="仿宋" w:eastAsia="仿宋" w:hAnsi="仿宋" w:cs="Calibri" w:hint="eastAsia"/>
          <w:sz w:val="28"/>
          <w:szCs w:val="28"/>
        </w:rPr>
        <w:t>6</w:t>
      </w:r>
      <w:r w:rsidRPr="00A02D1E">
        <w:rPr>
          <w:rFonts w:ascii="仿宋" w:eastAsia="仿宋" w:hAnsi="仿宋" w:cs="Calibri" w:hint="eastAsia"/>
          <w:sz w:val="28"/>
          <w:szCs w:val="28"/>
        </w:rPr>
        <w:t>月</w:t>
      </w:r>
      <w:r w:rsidR="00A02D1E" w:rsidRPr="00A02D1E">
        <w:rPr>
          <w:rFonts w:ascii="仿宋" w:eastAsia="仿宋" w:hAnsi="仿宋" w:cs="Calibri" w:hint="eastAsia"/>
          <w:sz w:val="28"/>
          <w:szCs w:val="28"/>
        </w:rPr>
        <w:t>30</w:t>
      </w:r>
      <w:r w:rsidRPr="00A02D1E">
        <w:rPr>
          <w:rFonts w:ascii="仿宋" w:eastAsia="仿宋" w:hAnsi="仿宋" w:cs="Calibri" w:hint="eastAsia"/>
          <w:sz w:val="28"/>
          <w:szCs w:val="28"/>
        </w:rPr>
        <w:t>日，公司总资产20.</w:t>
      </w:r>
      <w:r w:rsidR="00A02D1E" w:rsidRPr="00A02D1E">
        <w:rPr>
          <w:rFonts w:ascii="仿宋" w:eastAsia="仿宋" w:hAnsi="仿宋" w:cs="Calibri" w:hint="eastAsia"/>
          <w:sz w:val="28"/>
          <w:szCs w:val="28"/>
        </w:rPr>
        <w:t>27</w:t>
      </w:r>
      <w:r w:rsidRPr="00A02D1E">
        <w:rPr>
          <w:rFonts w:ascii="仿宋" w:eastAsia="仿宋" w:hAnsi="仿宋" w:cs="Calibri" w:hint="eastAsia"/>
          <w:sz w:val="28"/>
          <w:szCs w:val="28"/>
        </w:rPr>
        <w:t>亿元，归属于上市公司股东的净资产</w:t>
      </w:r>
      <w:r w:rsidR="00A02D1E" w:rsidRPr="00A02D1E">
        <w:rPr>
          <w:rFonts w:ascii="仿宋" w:eastAsia="仿宋" w:hAnsi="仿宋" w:cs="Calibri" w:hint="eastAsia"/>
          <w:sz w:val="28"/>
          <w:szCs w:val="28"/>
        </w:rPr>
        <w:t>18.01</w:t>
      </w:r>
      <w:r w:rsidRPr="00A02D1E">
        <w:rPr>
          <w:rFonts w:ascii="仿宋" w:eastAsia="仿宋" w:hAnsi="仿宋" w:cs="Calibri" w:hint="eastAsia"/>
          <w:sz w:val="28"/>
          <w:szCs w:val="28"/>
        </w:rPr>
        <w:lastRenderedPageBreak/>
        <w:t>亿元。</w:t>
      </w:r>
    </w:p>
    <w:p w:rsidR="00A02D1E" w:rsidRDefault="00A02D1E" w:rsidP="00FE3ECA">
      <w:pPr>
        <w:pStyle w:val="a3"/>
        <w:widowControl w:val="0"/>
        <w:spacing w:before="0" w:beforeAutospacing="0" w:after="0" w:afterAutospacing="0" w:line="560" w:lineRule="exact"/>
        <w:ind w:firstLineChars="200" w:firstLine="562"/>
        <w:jc w:val="both"/>
        <w:divId w:val="1691027356"/>
        <w:rPr>
          <w:rFonts w:ascii="Calibri" w:hAnsi="Calibri" w:cs="Calibri"/>
          <w:sz w:val="21"/>
          <w:szCs w:val="21"/>
        </w:rPr>
      </w:pPr>
      <w:r>
        <w:rPr>
          <w:rStyle w:val="a4"/>
          <w:rFonts w:ascii="仿宋" w:eastAsia="仿宋" w:hAnsi="仿宋" w:hint="eastAsia"/>
          <w:color w:val="000000"/>
          <w:sz w:val="28"/>
          <w:szCs w:val="28"/>
        </w:rPr>
        <w:t>2、</w:t>
      </w:r>
      <w:r w:rsidR="00B13593" w:rsidRPr="00A02D1E">
        <w:rPr>
          <w:rStyle w:val="a4"/>
          <w:rFonts w:ascii="仿宋" w:eastAsia="仿宋" w:hAnsi="仿宋" w:hint="eastAsia"/>
          <w:color w:val="000000"/>
          <w:sz w:val="28"/>
          <w:szCs w:val="28"/>
        </w:rPr>
        <w:t>主要工作进展</w:t>
      </w:r>
    </w:p>
    <w:p w:rsidR="00FE3ECA" w:rsidRPr="00302009" w:rsidRDefault="00FE3ECA" w:rsidP="00FE3ECA">
      <w:pPr>
        <w:pStyle w:val="Section"/>
        <w:keepLines w:val="0"/>
        <w:snapToGrid w:val="0"/>
        <w:spacing w:before="0" w:after="0" w:line="560" w:lineRule="exact"/>
        <w:ind w:firstLineChars="196" w:firstLine="549"/>
        <w:outlineLvl w:val="2"/>
        <w:divId w:val="1691027356"/>
        <w:rPr>
          <w:rFonts w:ascii="仿宋" w:eastAsia="仿宋" w:hAnsi="仿宋"/>
          <w:b w:val="0"/>
          <w:sz w:val="28"/>
          <w:szCs w:val="28"/>
        </w:rPr>
      </w:pPr>
      <w:bookmarkStart w:id="15" w:name="_Toc988904"/>
      <w:r>
        <w:rPr>
          <w:rFonts w:ascii="仿宋" w:eastAsia="仿宋" w:hAnsi="仿宋" w:hint="eastAsia"/>
          <w:b w:val="0"/>
          <w:sz w:val="28"/>
          <w:szCs w:val="28"/>
        </w:rPr>
        <w:t>报告</w:t>
      </w:r>
      <w:r>
        <w:rPr>
          <w:rFonts w:ascii="仿宋" w:eastAsia="仿宋" w:hAnsi="仿宋"/>
          <w:b w:val="0"/>
          <w:sz w:val="28"/>
          <w:szCs w:val="28"/>
        </w:rPr>
        <w:t>期内，</w:t>
      </w:r>
      <w:r w:rsidRPr="00302009">
        <w:rPr>
          <w:rFonts w:ascii="仿宋" w:eastAsia="仿宋" w:hAnsi="仿宋" w:hint="eastAsia"/>
          <w:b w:val="0"/>
          <w:sz w:val="28"/>
          <w:szCs w:val="28"/>
        </w:rPr>
        <w:t>升华电源一方面</w:t>
      </w:r>
      <w:r w:rsidRPr="00302009">
        <w:rPr>
          <w:rFonts w:ascii="仿宋" w:eastAsia="仿宋" w:hAnsi="仿宋"/>
          <w:b w:val="0"/>
          <w:sz w:val="28"/>
          <w:szCs w:val="28"/>
        </w:rPr>
        <w:t>加强质量</w:t>
      </w:r>
      <w:r w:rsidRPr="00302009">
        <w:rPr>
          <w:rFonts w:ascii="仿宋" w:eastAsia="仿宋" w:hAnsi="仿宋" w:hint="eastAsia"/>
          <w:b w:val="0"/>
          <w:sz w:val="28"/>
          <w:szCs w:val="28"/>
        </w:rPr>
        <w:t>、</w:t>
      </w:r>
      <w:r w:rsidRPr="00302009">
        <w:rPr>
          <w:rFonts w:ascii="仿宋" w:eastAsia="仿宋" w:hAnsi="仿宋"/>
          <w:b w:val="0"/>
          <w:sz w:val="28"/>
          <w:szCs w:val="28"/>
        </w:rPr>
        <w:t>成本管控，</w:t>
      </w:r>
      <w:r w:rsidRPr="00302009">
        <w:rPr>
          <w:rFonts w:ascii="仿宋" w:eastAsia="仿宋" w:hAnsi="仿宋" w:hint="eastAsia"/>
          <w:b w:val="0"/>
          <w:sz w:val="28"/>
          <w:szCs w:val="28"/>
        </w:rPr>
        <w:t>确保产品订单及时</w:t>
      </w:r>
      <w:r w:rsidRPr="00302009">
        <w:rPr>
          <w:rFonts w:ascii="仿宋" w:eastAsia="仿宋" w:hAnsi="仿宋"/>
          <w:b w:val="0"/>
          <w:sz w:val="28"/>
          <w:szCs w:val="28"/>
        </w:rPr>
        <w:t>交付</w:t>
      </w:r>
      <w:r w:rsidRPr="00302009">
        <w:rPr>
          <w:rFonts w:ascii="仿宋" w:eastAsia="仿宋" w:hAnsi="仿宋" w:hint="eastAsia"/>
          <w:b w:val="0"/>
          <w:sz w:val="28"/>
          <w:szCs w:val="28"/>
        </w:rPr>
        <w:t>；</w:t>
      </w:r>
      <w:r w:rsidRPr="00302009">
        <w:rPr>
          <w:rFonts w:ascii="仿宋" w:eastAsia="仿宋" w:hAnsi="仿宋"/>
          <w:b w:val="0"/>
          <w:sz w:val="28"/>
          <w:szCs w:val="28"/>
        </w:rPr>
        <w:t>另一方面</w:t>
      </w:r>
      <w:r w:rsidRPr="00302009">
        <w:rPr>
          <w:rFonts w:ascii="仿宋" w:eastAsia="仿宋" w:hAnsi="仿宋" w:hint="eastAsia"/>
          <w:b w:val="0"/>
          <w:sz w:val="28"/>
          <w:szCs w:val="28"/>
        </w:rPr>
        <w:t>紧跟行业和技术发展趋势，加强</w:t>
      </w:r>
      <w:r w:rsidRPr="00302009">
        <w:rPr>
          <w:rFonts w:ascii="仿宋" w:eastAsia="仿宋" w:hAnsi="仿宋"/>
          <w:b w:val="0"/>
          <w:sz w:val="28"/>
          <w:szCs w:val="28"/>
        </w:rPr>
        <w:t>研发队伍建设，</w:t>
      </w:r>
      <w:r w:rsidRPr="00302009">
        <w:rPr>
          <w:rFonts w:ascii="仿宋" w:eastAsia="仿宋" w:hAnsi="仿宋" w:hint="eastAsia"/>
          <w:b w:val="0"/>
          <w:sz w:val="28"/>
          <w:szCs w:val="28"/>
        </w:rPr>
        <w:t>坚持自主研发和创新，增强了企业的市场竞争能力和发展后劲。</w:t>
      </w:r>
      <w:r>
        <w:rPr>
          <w:rFonts w:ascii="仿宋" w:eastAsia="仿宋" w:hAnsi="仿宋" w:hint="eastAsia"/>
          <w:b w:val="0"/>
          <w:sz w:val="28"/>
          <w:szCs w:val="28"/>
        </w:rPr>
        <w:t>沈阳</w:t>
      </w:r>
      <w:r>
        <w:rPr>
          <w:rFonts w:ascii="仿宋" w:eastAsia="仿宋" w:hAnsi="仿宋"/>
          <w:b w:val="0"/>
          <w:sz w:val="28"/>
          <w:szCs w:val="28"/>
        </w:rPr>
        <w:t>含能</w:t>
      </w:r>
      <w:r>
        <w:rPr>
          <w:rFonts w:ascii="仿宋" w:eastAsia="仿宋" w:hAnsi="仿宋" w:hint="eastAsia"/>
          <w:b w:val="0"/>
          <w:sz w:val="28"/>
          <w:szCs w:val="28"/>
        </w:rPr>
        <w:t>推行</w:t>
      </w:r>
      <w:r w:rsidRPr="00DF1389">
        <w:rPr>
          <w:rFonts w:ascii="仿宋" w:eastAsia="仿宋" w:hAnsi="仿宋" w:hint="eastAsia"/>
          <w:b w:val="0"/>
          <w:sz w:val="28"/>
          <w:szCs w:val="28"/>
        </w:rPr>
        <w:t>“躲峰用谷节电”、优化产品工艺等</w:t>
      </w:r>
      <w:r>
        <w:rPr>
          <w:rFonts w:ascii="仿宋" w:eastAsia="仿宋" w:hAnsi="仿宋"/>
          <w:b w:val="0"/>
          <w:sz w:val="28"/>
          <w:szCs w:val="28"/>
        </w:rPr>
        <w:t>降本增效措施，</w:t>
      </w:r>
      <w:r>
        <w:rPr>
          <w:rFonts w:ascii="仿宋" w:eastAsia="仿宋" w:hAnsi="仿宋" w:hint="eastAsia"/>
          <w:b w:val="0"/>
          <w:sz w:val="28"/>
          <w:szCs w:val="28"/>
        </w:rPr>
        <w:t>努力控制</w:t>
      </w:r>
      <w:r>
        <w:rPr>
          <w:rFonts w:ascii="仿宋" w:eastAsia="仿宋" w:hAnsi="仿宋"/>
          <w:b w:val="0"/>
          <w:sz w:val="28"/>
          <w:szCs w:val="28"/>
        </w:rPr>
        <w:t>生产成本；</w:t>
      </w:r>
      <w:r>
        <w:rPr>
          <w:rFonts w:ascii="仿宋" w:eastAsia="仿宋" w:hAnsi="仿宋" w:hint="eastAsia"/>
          <w:b w:val="0"/>
          <w:sz w:val="28"/>
          <w:szCs w:val="28"/>
        </w:rPr>
        <w:t>同时</w:t>
      </w:r>
      <w:r w:rsidRPr="00DF1389">
        <w:rPr>
          <w:rFonts w:ascii="仿宋" w:eastAsia="仿宋" w:hAnsi="仿宋" w:hint="eastAsia"/>
          <w:b w:val="0"/>
          <w:sz w:val="28"/>
          <w:szCs w:val="28"/>
        </w:rPr>
        <w:t>积极拓展</w:t>
      </w:r>
      <w:r w:rsidRPr="00DF1389">
        <w:rPr>
          <w:rFonts w:ascii="仿宋" w:eastAsia="仿宋" w:hAnsi="仿宋"/>
          <w:b w:val="0"/>
          <w:sz w:val="28"/>
          <w:szCs w:val="28"/>
        </w:rPr>
        <w:t>市场，向新品种</w:t>
      </w:r>
      <w:r w:rsidRPr="00DF1389">
        <w:rPr>
          <w:rFonts w:ascii="仿宋" w:eastAsia="仿宋" w:hAnsi="仿宋" w:hint="eastAsia"/>
          <w:b w:val="0"/>
          <w:sz w:val="28"/>
          <w:szCs w:val="28"/>
        </w:rPr>
        <w:t>、</w:t>
      </w:r>
      <w:r w:rsidRPr="00DF1389">
        <w:rPr>
          <w:rFonts w:ascii="仿宋" w:eastAsia="仿宋" w:hAnsi="仿宋"/>
          <w:b w:val="0"/>
          <w:sz w:val="28"/>
          <w:szCs w:val="28"/>
        </w:rPr>
        <w:t>新领域</w:t>
      </w:r>
      <w:r w:rsidRPr="00DF1389">
        <w:rPr>
          <w:rFonts w:ascii="仿宋" w:eastAsia="仿宋" w:hAnsi="仿宋" w:hint="eastAsia"/>
          <w:b w:val="0"/>
          <w:sz w:val="28"/>
          <w:szCs w:val="28"/>
        </w:rPr>
        <w:t>发力</w:t>
      </w:r>
      <w:r>
        <w:rPr>
          <w:rFonts w:ascii="仿宋" w:eastAsia="仿宋" w:hAnsi="仿宋" w:hint="eastAsia"/>
          <w:b w:val="0"/>
          <w:sz w:val="28"/>
          <w:szCs w:val="28"/>
        </w:rPr>
        <w:t>，</w:t>
      </w:r>
      <w:r>
        <w:rPr>
          <w:rFonts w:ascii="仿宋" w:eastAsia="仿宋" w:hAnsi="仿宋"/>
          <w:b w:val="0"/>
          <w:sz w:val="28"/>
          <w:szCs w:val="28"/>
        </w:rPr>
        <w:t>并取得一定成效</w:t>
      </w:r>
      <w:r w:rsidRPr="00DF1389">
        <w:rPr>
          <w:rFonts w:ascii="仿宋" w:eastAsia="仿宋" w:hAnsi="仿宋"/>
          <w:b w:val="0"/>
          <w:sz w:val="28"/>
          <w:szCs w:val="28"/>
        </w:rPr>
        <w:t>。</w:t>
      </w:r>
      <w:r>
        <w:rPr>
          <w:rFonts w:ascii="仿宋" w:eastAsia="仿宋" w:hAnsi="仿宋" w:hint="eastAsia"/>
          <w:b w:val="0"/>
          <w:sz w:val="28"/>
          <w:szCs w:val="28"/>
        </w:rPr>
        <w:t>沈阳</w:t>
      </w:r>
      <w:r>
        <w:rPr>
          <w:rFonts w:ascii="仿宋" w:eastAsia="仿宋" w:hAnsi="仿宋"/>
          <w:b w:val="0"/>
          <w:sz w:val="28"/>
          <w:szCs w:val="28"/>
        </w:rPr>
        <w:t>非晶</w:t>
      </w:r>
      <w:r>
        <w:rPr>
          <w:rFonts w:ascii="仿宋" w:eastAsia="仿宋" w:hAnsi="仿宋" w:hint="eastAsia"/>
          <w:b w:val="0"/>
          <w:sz w:val="28"/>
          <w:szCs w:val="28"/>
        </w:rPr>
        <w:t>稳步实施</w:t>
      </w:r>
      <w:r>
        <w:rPr>
          <w:rFonts w:ascii="仿宋" w:eastAsia="仿宋" w:hAnsi="仿宋"/>
          <w:b w:val="0"/>
          <w:sz w:val="28"/>
          <w:szCs w:val="28"/>
        </w:rPr>
        <w:t>科研</w:t>
      </w:r>
      <w:r>
        <w:rPr>
          <w:rFonts w:ascii="仿宋" w:eastAsia="仿宋" w:hAnsi="仿宋" w:hint="eastAsia"/>
          <w:b w:val="0"/>
          <w:sz w:val="28"/>
          <w:szCs w:val="28"/>
        </w:rPr>
        <w:t>任务</w:t>
      </w:r>
      <w:r>
        <w:rPr>
          <w:rFonts w:ascii="仿宋" w:eastAsia="仿宋" w:hAnsi="仿宋"/>
          <w:b w:val="0"/>
          <w:sz w:val="28"/>
          <w:szCs w:val="28"/>
        </w:rPr>
        <w:t>，</w:t>
      </w:r>
      <w:r w:rsidRPr="00892DAF">
        <w:rPr>
          <w:rFonts w:ascii="仿宋" w:eastAsia="仿宋" w:hAnsi="仿宋" w:hint="eastAsia"/>
          <w:b w:val="0"/>
          <w:sz w:val="28"/>
          <w:szCs w:val="28"/>
        </w:rPr>
        <w:t>推进信息化、精细化管理，提升</w:t>
      </w:r>
      <w:r w:rsidRPr="00892DAF">
        <w:rPr>
          <w:rFonts w:ascii="仿宋" w:eastAsia="仿宋" w:hAnsi="仿宋"/>
          <w:b w:val="0"/>
          <w:sz w:val="28"/>
          <w:szCs w:val="28"/>
        </w:rPr>
        <w:t>管理效能，</w:t>
      </w:r>
      <w:r w:rsidRPr="009A14ED">
        <w:rPr>
          <w:rFonts w:ascii="仿宋" w:eastAsia="仿宋" w:hAnsi="仿宋"/>
          <w:b w:val="0"/>
          <w:sz w:val="28"/>
          <w:szCs w:val="28"/>
        </w:rPr>
        <w:t>各项工作</w:t>
      </w:r>
      <w:r w:rsidR="00DA67FD" w:rsidRPr="009A14ED">
        <w:rPr>
          <w:rFonts w:ascii="仿宋" w:eastAsia="仿宋" w:hAnsi="仿宋" w:hint="eastAsia"/>
          <w:b w:val="0"/>
          <w:sz w:val="28"/>
          <w:szCs w:val="28"/>
        </w:rPr>
        <w:t>有序开展</w:t>
      </w:r>
      <w:r w:rsidRPr="009A14ED">
        <w:rPr>
          <w:rFonts w:ascii="仿宋" w:eastAsia="仿宋" w:hAnsi="仿宋"/>
          <w:b w:val="0"/>
          <w:sz w:val="28"/>
          <w:szCs w:val="28"/>
        </w:rPr>
        <w:t>。</w:t>
      </w:r>
    </w:p>
    <w:p w:rsidR="00A02D1E" w:rsidRDefault="00B13F8C" w:rsidP="00FE3ECA">
      <w:pPr>
        <w:pStyle w:val="a3"/>
        <w:widowControl w:val="0"/>
        <w:spacing w:before="0" w:beforeAutospacing="0" w:after="0" w:afterAutospacing="0" w:line="560" w:lineRule="exact"/>
        <w:ind w:firstLineChars="200" w:firstLine="562"/>
        <w:jc w:val="both"/>
        <w:divId w:val="1691027356"/>
        <w:rPr>
          <w:rFonts w:ascii="Calibri" w:hAnsi="Calibri" w:cs="Calibri"/>
          <w:sz w:val="21"/>
          <w:szCs w:val="21"/>
        </w:rPr>
      </w:pPr>
      <w:r w:rsidRPr="00A02D1E">
        <w:rPr>
          <w:b/>
          <w:bCs/>
          <w:sz w:val="28"/>
          <w:szCs w:val="28"/>
        </w:rPr>
        <w:t>二、核心竞争力分析</w:t>
      </w:r>
      <w:bookmarkEnd w:id="15"/>
    </w:p>
    <w:p w:rsidR="00A02D1E" w:rsidRPr="00A02D1E" w:rsidRDefault="00FE3ECA" w:rsidP="00FE3ECA">
      <w:pPr>
        <w:pStyle w:val="a3"/>
        <w:widowControl w:val="0"/>
        <w:spacing w:before="0" w:beforeAutospacing="0" w:after="0" w:afterAutospacing="0" w:line="560" w:lineRule="exact"/>
        <w:ind w:firstLineChars="200" w:firstLine="560"/>
        <w:jc w:val="both"/>
        <w:divId w:val="1691027356"/>
        <w:rPr>
          <w:rFonts w:ascii="仿宋" w:eastAsia="仿宋" w:hAnsi="仿宋" w:cs="Calibri"/>
          <w:sz w:val="28"/>
          <w:szCs w:val="28"/>
        </w:rPr>
      </w:pPr>
      <w:r w:rsidRPr="00A92825">
        <w:rPr>
          <w:rFonts w:ascii="仿宋" w:eastAsia="仿宋" w:hAnsi="仿宋" w:hint="eastAsia"/>
          <w:sz w:val="28"/>
          <w:szCs w:val="28"/>
        </w:rPr>
        <w:t>报告期内，公司主营业务为电源及相关产品、高性能特种合金材料制品的研制、销售</w:t>
      </w:r>
      <w:r>
        <w:rPr>
          <w:rFonts w:ascii="仿宋" w:eastAsia="仿宋" w:hAnsi="仿宋" w:hint="eastAsia"/>
          <w:sz w:val="28"/>
          <w:szCs w:val="28"/>
        </w:rPr>
        <w:t>等</w:t>
      </w:r>
      <w:r>
        <w:rPr>
          <w:rFonts w:ascii="仿宋" w:eastAsia="仿宋" w:hAnsi="仿宋"/>
          <w:sz w:val="28"/>
          <w:szCs w:val="28"/>
        </w:rPr>
        <w:t>军品业务</w:t>
      </w:r>
      <w:r w:rsidRPr="00A92825">
        <w:rPr>
          <w:rFonts w:ascii="仿宋" w:eastAsia="仿宋" w:hAnsi="仿宋" w:hint="eastAsia"/>
          <w:sz w:val="28"/>
          <w:szCs w:val="28"/>
        </w:rPr>
        <w:t>。公司承担军品业务的子公司分别为升华电源、沈阳含能和沈阳非晶。</w:t>
      </w:r>
      <w:r w:rsidR="00A02D1E" w:rsidRPr="00A02D1E">
        <w:rPr>
          <w:rFonts w:ascii="仿宋" w:eastAsia="仿宋" w:hAnsi="仿宋" w:cs="Calibri" w:hint="eastAsia"/>
          <w:sz w:val="28"/>
          <w:szCs w:val="28"/>
        </w:rPr>
        <w:t>报告期期内，公司</w:t>
      </w:r>
      <w:r w:rsidR="00B13593" w:rsidRPr="00A02D1E">
        <w:rPr>
          <w:rFonts w:ascii="仿宋" w:eastAsia="仿宋" w:hAnsi="仿宋" w:cs="Calibri" w:hint="eastAsia"/>
          <w:sz w:val="28"/>
          <w:szCs w:val="28"/>
        </w:rPr>
        <w:t>核心竞争力未发生重大变化。</w:t>
      </w:r>
    </w:p>
    <w:p w:rsidR="00FE3ECA" w:rsidRPr="00A92825" w:rsidRDefault="00FE3ECA" w:rsidP="00DA67FD">
      <w:pPr>
        <w:spacing w:line="560" w:lineRule="exact"/>
        <w:ind w:firstLine="561"/>
        <w:jc w:val="both"/>
        <w:rPr>
          <w:rFonts w:ascii="仿宋" w:eastAsia="仿宋" w:hAnsi="仿宋" w:cs="宋体"/>
          <w:color w:val="000000"/>
          <w:kern w:val="0"/>
          <w:sz w:val="28"/>
          <w:szCs w:val="28"/>
        </w:rPr>
      </w:pPr>
      <w:bookmarkStart w:id="16" w:name="_Toc988905"/>
      <w:r w:rsidRPr="00A92825">
        <w:rPr>
          <w:rFonts w:ascii="仿宋" w:eastAsia="仿宋" w:hAnsi="仿宋" w:cs="宋体"/>
          <w:color w:val="000000"/>
          <w:kern w:val="0"/>
          <w:sz w:val="28"/>
          <w:szCs w:val="28"/>
        </w:rPr>
        <w:t>1、升华电源是国内领先的特种电源供应商，拥有10余年的深厚技术基础沉淀，技术水平高，自主创新能力强，拥有多项发明专利和实用新型专利，拥有一批高素质、高水平、充满活力、具有创新精神的专业人才，具有高水平的技术研发能力，完善的技术平台和高品质的制造优势，拥有国内多家军工企业、军工科研院所、军工厂等优质客户，产品配套国内主战型号装备。随着国家对装备“自主可控”要求的提升，全国产化产品需求强烈，升华电源也积极布局全国产化电源市场，致力于为客户提供专业化、个性化的电源产品，其中高效率、高可靠性、高功率密度的模块电源、定制电源产品深受客户认可。</w:t>
      </w:r>
    </w:p>
    <w:p w:rsidR="00FE3ECA" w:rsidRPr="00A92825" w:rsidRDefault="00FE3ECA" w:rsidP="00FE3ECA">
      <w:pPr>
        <w:spacing w:line="560" w:lineRule="exact"/>
        <w:ind w:firstLine="561"/>
        <w:rPr>
          <w:rFonts w:ascii="宋体" w:eastAsia="宋体" w:hAnsi="宋体" w:cs="宋体"/>
          <w:kern w:val="0"/>
          <w:sz w:val="24"/>
          <w:szCs w:val="24"/>
        </w:rPr>
      </w:pPr>
      <w:r w:rsidRPr="00A92825">
        <w:rPr>
          <w:rFonts w:ascii="仿宋" w:eastAsia="仿宋" w:hAnsi="仿宋" w:cs="宋体" w:hint="eastAsia"/>
          <w:kern w:val="0"/>
          <w:sz w:val="28"/>
          <w:szCs w:val="28"/>
        </w:rPr>
        <w:t>2、沈阳含能通过引进先进生产技术和研究成果，推动新材料、新工艺、新产品的开发与应用，保证了公司的产品质量和工艺水平的领先，在钨合金预制破片领域具有相对稳定的竞争优势。</w:t>
      </w:r>
    </w:p>
    <w:p w:rsidR="00FE3ECA" w:rsidRPr="00A92825" w:rsidRDefault="00FE3ECA" w:rsidP="00DA67FD">
      <w:pPr>
        <w:widowControl/>
        <w:spacing w:line="560" w:lineRule="exact"/>
        <w:ind w:firstLine="561"/>
        <w:jc w:val="both"/>
        <w:rPr>
          <w:rFonts w:ascii="宋体" w:eastAsia="宋体" w:hAnsi="宋体" w:cs="宋体"/>
          <w:kern w:val="0"/>
          <w:sz w:val="24"/>
          <w:szCs w:val="24"/>
        </w:rPr>
      </w:pPr>
      <w:r w:rsidRPr="00A92825">
        <w:rPr>
          <w:rFonts w:ascii="仿宋" w:eastAsia="仿宋" w:hAnsi="仿宋" w:cs="宋体" w:hint="eastAsia"/>
          <w:kern w:val="0"/>
          <w:sz w:val="28"/>
          <w:szCs w:val="28"/>
        </w:rPr>
        <w:lastRenderedPageBreak/>
        <w:t>3、沈阳非晶目前处于成长期，为新型亚稳金属材料研发与产业化的军民融合型国家高新技术企业。非晶合金材料是一类具有冲击诱发化学反应的先进活性材料，具有高强度、高硬度的特点，在国防领域，对装备设计、打击能力具有颠覆性作用。近年来，我国进行了系列非晶活性材料的研究、仿制，沈阳非晶将非晶合金材料作为多功能含能金属材料使用的技术为国内领先，通过与国内重点军工企业、科研院所及高等院校深化战略合作，将非晶合金先进核心技术实现产业化转化，部分材料已在装备配套中应用，并在试验过程中表现出优异的性能。</w:t>
      </w:r>
    </w:p>
    <w:p w:rsidR="00FE3ECA" w:rsidRDefault="00FE3ECA" w:rsidP="00DA67FD">
      <w:pPr>
        <w:widowControl/>
        <w:spacing w:line="560" w:lineRule="exact"/>
        <w:ind w:firstLineChars="200" w:firstLine="560"/>
        <w:jc w:val="both"/>
        <w:rPr>
          <w:rFonts w:ascii="仿宋" w:eastAsia="仿宋" w:hAnsi="仿宋" w:cs="宋体"/>
          <w:kern w:val="0"/>
          <w:sz w:val="28"/>
          <w:szCs w:val="28"/>
        </w:rPr>
      </w:pPr>
      <w:r w:rsidRPr="009A14ED">
        <w:rPr>
          <w:rFonts w:ascii="仿宋" w:eastAsia="仿宋" w:hAnsi="仿宋" w:cs="宋体"/>
          <w:kern w:val="0"/>
          <w:sz w:val="28"/>
          <w:szCs w:val="28"/>
        </w:rPr>
        <w:t>截至</w:t>
      </w:r>
      <w:r w:rsidRPr="009A14ED">
        <w:rPr>
          <w:rFonts w:ascii="仿宋" w:eastAsia="仿宋" w:hAnsi="仿宋" w:cs="宋体" w:hint="eastAsia"/>
          <w:kern w:val="0"/>
          <w:sz w:val="28"/>
          <w:szCs w:val="28"/>
        </w:rPr>
        <w:t>2</w:t>
      </w:r>
      <w:r w:rsidRPr="009A14ED">
        <w:rPr>
          <w:rFonts w:ascii="仿宋" w:eastAsia="仿宋" w:hAnsi="仿宋" w:cs="宋体"/>
          <w:kern w:val="0"/>
          <w:sz w:val="28"/>
          <w:szCs w:val="28"/>
        </w:rPr>
        <w:t>023</w:t>
      </w:r>
      <w:r w:rsidRPr="009A14ED">
        <w:rPr>
          <w:rFonts w:ascii="仿宋" w:eastAsia="仿宋" w:hAnsi="仿宋" w:cs="宋体" w:hint="eastAsia"/>
          <w:kern w:val="0"/>
          <w:sz w:val="28"/>
          <w:szCs w:val="28"/>
        </w:rPr>
        <w:t>年</w:t>
      </w:r>
      <w:r w:rsidRPr="009A14ED">
        <w:rPr>
          <w:rFonts w:ascii="仿宋" w:eastAsia="仿宋" w:hAnsi="仿宋" w:cs="宋体"/>
          <w:kern w:val="0"/>
          <w:sz w:val="28"/>
          <w:szCs w:val="28"/>
        </w:rPr>
        <w:t>半年度末，</w:t>
      </w:r>
      <w:r w:rsidRPr="009A14ED">
        <w:rPr>
          <w:rFonts w:ascii="仿宋" w:eastAsia="仿宋" w:hAnsi="仿宋" w:cs="宋体" w:hint="eastAsia"/>
          <w:kern w:val="0"/>
          <w:sz w:val="28"/>
          <w:szCs w:val="28"/>
        </w:rPr>
        <w:t>公司3家</w:t>
      </w:r>
      <w:r w:rsidRPr="009A14ED">
        <w:rPr>
          <w:rFonts w:ascii="仿宋" w:eastAsia="仿宋" w:hAnsi="仿宋" w:cs="宋体"/>
          <w:kern w:val="0"/>
          <w:sz w:val="28"/>
          <w:szCs w:val="28"/>
        </w:rPr>
        <w:t>主要</w:t>
      </w:r>
      <w:r w:rsidR="00DA67FD" w:rsidRPr="009A14ED">
        <w:rPr>
          <w:rFonts w:ascii="仿宋" w:eastAsia="仿宋" w:hAnsi="仿宋" w:cs="宋体" w:hint="eastAsia"/>
          <w:kern w:val="0"/>
          <w:sz w:val="28"/>
          <w:szCs w:val="28"/>
        </w:rPr>
        <w:t>控股</w:t>
      </w:r>
      <w:r w:rsidRPr="009A14ED">
        <w:rPr>
          <w:rFonts w:ascii="仿宋" w:eastAsia="仿宋" w:hAnsi="仿宋" w:cs="宋体"/>
          <w:kern w:val="0"/>
          <w:sz w:val="28"/>
          <w:szCs w:val="28"/>
        </w:rPr>
        <w:t>子公司</w:t>
      </w:r>
      <w:r w:rsidRPr="009A14ED">
        <w:rPr>
          <w:rFonts w:ascii="仿宋" w:eastAsia="仿宋" w:hAnsi="仿宋" w:cs="宋体" w:hint="eastAsia"/>
          <w:kern w:val="0"/>
          <w:sz w:val="28"/>
          <w:szCs w:val="28"/>
        </w:rPr>
        <w:t>共</w:t>
      </w:r>
      <w:r w:rsidRPr="009A14ED">
        <w:rPr>
          <w:rFonts w:ascii="仿宋" w:eastAsia="仿宋" w:hAnsi="仿宋" w:cs="宋体"/>
          <w:kern w:val="0"/>
          <w:sz w:val="28"/>
          <w:szCs w:val="28"/>
        </w:rPr>
        <w:t>拥有</w:t>
      </w:r>
      <w:r w:rsidRPr="009A14ED">
        <w:rPr>
          <w:rFonts w:ascii="仿宋" w:eastAsia="仿宋" w:hAnsi="仿宋" w:cs="宋体" w:hint="eastAsia"/>
          <w:kern w:val="0"/>
          <w:sz w:val="28"/>
          <w:szCs w:val="28"/>
        </w:rPr>
        <w:t>发明</w:t>
      </w:r>
      <w:r w:rsidRPr="009A14ED">
        <w:rPr>
          <w:rFonts w:ascii="仿宋" w:eastAsia="仿宋" w:hAnsi="仿宋" w:cs="宋体"/>
          <w:kern w:val="0"/>
          <w:sz w:val="28"/>
          <w:szCs w:val="28"/>
        </w:rPr>
        <w:t>专利</w:t>
      </w:r>
      <w:r w:rsidRPr="009A14ED">
        <w:rPr>
          <w:rFonts w:ascii="仿宋" w:eastAsia="仿宋" w:hAnsi="仿宋" w:cs="宋体" w:hint="eastAsia"/>
          <w:kern w:val="0"/>
          <w:sz w:val="28"/>
          <w:szCs w:val="28"/>
        </w:rPr>
        <w:t>、</w:t>
      </w:r>
      <w:r w:rsidRPr="009A14ED">
        <w:rPr>
          <w:rFonts w:ascii="仿宋" w:eastAsia="仿宋" w:hAnsi="仿宋" w:cs="宋体"/>
          <w:kern w:val="0"/>
          <w:sz w:val="28"/>
          <w:szCs w:val="28"/>
        </w:rPr>
        <w:t>实用新型专利及软件著作权</w:t>
      </w:r>
      <w:r w:rsidRPr="009A14ED">
        <w:rPr>
          <w:rFonts w:ascii="仿宋" w:eastAsia="仿宋" w:hAnsi="仿宋" w:cs="宋体" w:hint="eastAsia"/>
          <w:kern w:val="0"/>
          <w:sz w:val="28"/>
          <w:szCs w:val="28"/>
        </w:rPr>
        <w:t>等合计139项。升华电源、沈阳含能和沈阳非晶均具备国家认证的从事军工产品研发和生产所需的各项资质证书，建立了完备的质量管理体系，与多所企业科研院所等相关单位深入合作，自主研发能力不断提升，升华电源、沈阳含能和沈阳非晶的产品已经在军工众多项目中应用，稳定可靠的产品品质获得了广泛的认可。</w:t>
      </w:r>
    </w:p>
    <w:p w:rsidR="00FE3ECA" w:rsidRDefault="00FE3ECA" w:rsidP="00DA67FD">
      <w:pPr>
        <w:spacing w:line="560" w:lineRule="exact"/>
        <w:ind w:firstLineChars="200" w:firstLine="560"/>
        <w:jc w:val="both"/>
        <w:rPr>
          <w:rFonts w:ascii="仿宋" w:eastAsia="仿宋" w:hAnsi="仿宋"/>
          <w:sz w:val="28"/>
          <w:szCs w:val="28"/>
        </w:rPr>
      </w:pPr>
      <w:r w:rsidRPr="00A92825">
        <w:rPr>
          <w:rFonts w:ascii="仿宋" w:eastAsia="仿宋" w:hAnsi="仿宋" w:hint="eastAsia"/>
          <w:sz w:val="28"/>
          <w:szCs w:val="28"/>
        </w:rPr>
        <w:t>公司一方面通过与子公司搭建协同发展平台，针对军品客户和民用客户对产品进行个性化定制和技术的敏捷开发，形成了一系列电源产品和高性能特种合金材料制品的专有技术和提供解决方案的能力；另一方面贯彻公司发展战略，积极拓展对外投资业务，以此来丰富现有产品结构，推动产业升级，提升公司竞争能力。公司将继续贯彻公司发展战略，利用上市公司平台优势，把握机遇，整合资源，聚焦电源及相关产品、高性能特种合金材料制品为核心的重点产业，在资金、人员等资源配置方面倾斜，全力支持军工科研生产活动，不断提升其综合竞争实力，驱动公司盈利水平的提升。</w:t>
      </w:r>
    </w:p>
    <w:p w:rsidR="00B13593" w:rsidRPr="00A02D1E" w:rsidRDefault="00B13F8C" w:rsidP="00FE3ECA">
      <w:pPr>
        <w:pStyle w:val="a3"/>
        <w:widowControl w:val="0"/>
        <w:spacing w:before="0" w:beforeAutospacing="0" w:after="0" w:afterAutospacing="0" w:line="560" w:lineRule="exact"/>
        <w:ind w:firstLineChars="200" w:firstLine="562"/>
        <w:jc w:val="both"/>
        <w:rPr>
          <w:b/>
          <w:bCs/>
          <w:sz w:val="28"/>
          <w:szCs w:val="28"/>
        </w:rPr>
      </w:pPr>
      <w:r w:rsidRPr="00A02D1E">
        <w:rPr>
          <w:b/>
          <w:bCs/>
          <w:sz w:val="28"/>
          <w:szCs w:val="28"/>
        </w:rPr>
        <w:t>三、主营业务分析</w:t>
      </w:r>
      <w:bookmarkEnd w:id="16"/>
    </w:p>
    <w:p w:rsidR="00B13593" w:rsidRPr="00A02D1E" w:rsidRDefault="00B13F8C" w:rsidP="00FE3ECA">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A02D1E">
        <w:rPr>
          <w:rFonts w:ascii="仿宋" w:eastAsia="仿宋" w:hAnsi="仿宋" w:cs="Calibri"/>
          <w:b/>
          <w:sz w:val="28"/>
          <w:szCs w:val="28"/>
        </w:rPr>
        <w:t>概述</w:t>
      </w:r>
    </w:p>
    <w:p w:rsidR="00B13593" w:rsidRPr="00A02D1E" w:rsidRDefault="00B13F8C" w:rsidP="00FE3ECA">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A02D1E">
        <w:rPr>
          <w:rFonts w:ascii="仿宋" w:eastAsia="仿宋" w:hAnsi="仿宋" w:cs="Calibri"/>
          <w:sz w:val="28"/>
          <w:szCs w:val="28"/>
        </w:rPr>
        <w:lastRenderedPageBreak/>
        <w:t>参见“一、报告期内公司从事的主要业务”相关内容。</w:t>
      </w:r>
    </w:p>
    <w:p w:rsidR="00B13593" w:rsidRPr="00A02D1E" w:rsidRDefault="00B13F8C" w:rsidP="00FE3ECA">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A02D1E">
        <w:rPr>
          <w:rFonts w:ascii="仿宋" w:eastAsia="仿宋" w:hAnsi="仿宋" w:cs="Calibri"/>
          <w:b/>
          <w:sz w:val="28"/>
          <w:szCs w:val="28"/>
        </w:rPr>
        <w:t>主要财务数据同比变动情况</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变动原因</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180,386,695.40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11.93%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78,605,006.64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81,512,834.09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-3.57%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15,962,655.41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22,551,943.79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-29.22%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25,384,119.48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26,159,193.84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-2.96%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-29,10</w:t>
            </w:r>
            <w:bookmarkStart w:id="17" w:name="_GoBack"/>
            <w:bookmarkEnd w:id="17"/>
            <w:r>
              <w:rPr>
                <w:rFonts w:ascii="宋体" w:eastAsia="宋体" w:hAnsi="宋体" w:cs="宋体"/>
                <w:sz w:val="18"/>
                <w:szCs w:val="18"/>
              </w:rPr>
              <w:t>1.59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369,774.50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-107.87%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本期存款利息收入增加。</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1,597,103.46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4,667,322.27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-65.78%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1、本期研发费用加计扣除增加，所得税费用减少；2、甘化母公司因亏损计提递延所得税资产增加。</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研发投入</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43,385,491.34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21,305,764.55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103.63%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本期加大研发投入，提升技术竞争力。</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-59,877,077.54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-35,936,993.79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DE41C5" w:rsidP="00054B06">
            <w:pPr>
              <w:spacing w:line="320" w:lineRule="exact"/>
              <w:jc w:val="right"/>
              <w:rPr>
                <w:rFonts w:ascii="宋体" w:eastAsia="宋体" w:hAnsi="宋体" w:cs="宋体"/>
                <w:sz w:val="18"/>
                <w:szCs w:val="18"/>
              </w:rPr>
            </w:pPr>
            <w:r>
              <w:rPr>
                <w:rFonts w:ascii="宋体" w:eastAsia="宋体" w:hAnsi="宋体" w:cs="宋体" w:hint="eastAsia"/>
                <w:sz w:val="18"/>
                <w:szCs w:val="18"/>
              </w:rPr>
              <w:t>-</w:t>
            </w:r>
            <w:r w:rsidR="00B13F8C">
              <w:rPr>
                <w:rFonts w:ascii="宋体" w:eastAsia="宋体" w:hAnsi="宋体" w:cs="宋体"/>
                <w:sz w:val="18"/>
                <w:szCs w:val="18"/>
              </w:rPr>
              <w:t>107.61%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A66407">
            <w:pPr>
              <w:spacing w:line="320" w:lineRule="exact"/>
              <w:rPr>
                <w:rFonts w:ascii="宋体" w:eastAsia="宋体" w:hAnsi="宋体" w:cs="宋体"/>
                <w:sz w:val="18"/>
                <w:szCs w:val="18"/>
              </w:rPr>
            </w:pPr>
            <w:r>
              <w:rPr>
                <w:rFonts w:ascii="宋体" w:eastAsia="宋体" w:hAnsi="宋体" w:cs="宋体"/>
                <w:sz w:val="18"/>
                <w:szCs w:val="18"/>
              </w:rPr>
              <w:t>本期支付的各项税费金额增加。</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132,883,164.89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108,033,777.78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23.00%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-5,264,468.18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-308,557.43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DE41C5" w:rsidP="00054B06">
            <w:pPr>
              <w:spacing w:line="320" w:lineRule="exact"/>
              <w:jc w:val="right"/>
              <w:rPr>
                <w:rFonts w:ascii="宋体" w:eastAsia="宋体" w:hAnsi="宋体" w:cs="宋体"/>
                <w:sz w:val="18"/>
                <w:szCs w:val="18"/>
              </w:rPr>
            </w:pPr>
            <w:r>
              <w:rPr>
                <w:rFonts w:ascii="宋体" w:eastAsia="宋体" w:hAnsi="宋体" w:cs="宋体" w:hint="eastAsia"/>
                <w:sz w:val="18"/>
                <w:szCs w:val="18"/>
              </w:rPr>
              <w:t>-</w:t>
            </w:r>
            <w:r w:rsidR="00B13F8C">
              <w:rPr>
                <w:rFonts w:ascii="宋体" w:eastAsia="宋体" w:hAnsi="宋体" w:cs="宋体"/>
                <w:sz w:val="18"/>
                <w:szCs w:val="18"/>
              </w:rPr>
              <w:t>1,606.16%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上期收到员工股权激励认缴款，筹资活动流入金额增加，本期无此事项。</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67,752,010.79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71,801,600.72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Pr="00DE41C5" w:rsidRDefault="00B13F8C" w:rsidP="00054B06">
            <w:pPr>
              <w:spacing w:line="320" w:lineRule="exact"/>
              <w:jc w:val="right"/>
              <w:rPr>
                <w:rFonts w:ascii="宋体" w:eastAsia="宋体" w:hAnsi="宋体" w:cs="宋体"/>
                <w:sz w:val="18"/>
                <w:szCs w:val="18"/>
              </w:rPr>
            </w:pPr>
            <w:r w:rsidRPr="00DE41C5">
              <w:rPr>
                <w:rFonts w:ascii="宋体" w:eastAsia="宋体" w:hAnsi="宋体" w:cs="宋体"/>
                <w:sz w:val="18"/>
                <w:szCs w:val="18"/>
              </w:rPr>
              <w:t>-5.64%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Pr="00DE41C5" w:rsidRDefault="00B13593" w:rsidP="00054B06">
            <w:pPr>
              <w:spacing w:line="320" w:lineRule="exact"/>
              <w:rPr>
                <w:rFonts w:ascii="宋体" w:eastAsia="宋体" w:hAnsi="宋体" w:cs="宋体"/>
                <w:sz w:val="18"/>
                <w:szCs w:val="18"/>
              </w:rPr>
            </w:pPr>
          </w:p>
        </w:tc>
      </w:tr>
    </w:tbl>
    <w:p w:rsidR="00B13593" w:rsidRPr="00A02D1E"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A02D1E">
        <w:rPr>
          <w:rFonts w:ascii="仿宋" w:eastAsia="仿宋" w:hAnsi="仿宋" w:cs="Calibri"/>
          <w:b/>
          <w:sz w:val="28"/>
          <w:szCs w:val="28"/>
        </w:rPr>
        <w:t>公司报告期利润构成或利润来源发生重大变动</w:t>
      </w:r>
    </w:p>
    <w:p w:rsidR="00B13593" w:rsidRPr="00A02D1E"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A02D1E">
        <w:rPr>
          <w:rFonts w:ascii="仿宋" w:eastAsia="仿宋" w:hAnsi="仿宋" w:cs="Calibri"/>
          <w:sz w:val="28"/>
          <w:szCs w:val="28"/>
        </w:rPr>
        <w:t>□适用</w:t>
      </w:r>
      <w:r w:rsidR="00A02D1E">
        <w:rPr>
          <w:rFonts w:ascii="仿宋" w:eastAsia="仿宋" w:hAnsi="仿宋" w:cs="Calibri" w:hint="eastAsia"/>
          <w:sz w:val="28"/>
          <w:szCs w:val="28"/>
        </w:rPr>
        <w:t xml:space="preserve"> </w:t>
      </w:r>
      <w:r w:rsidRPr="00A02D1E">
        <w:rPr>
          <w:rFonts w:ascii="仿宋" w:eastAsia="仿宋" w:hAnsi="仿宋" w:cs="Calibri"/>
          <w:sz w:val="28"/>
          <w:szCs w:val="28"/>
        </w:rPr>
        <w:t xml:space="preserve"> </w:t>
      </w:r>
      <w:r w:rsidRPr="00A02D1E">
        <w:rPr>
          <w:rFonts w:ascii="仿宋" w:eastAsia="仿宋" w:hAnsi="仿宋" w:cs="Calibri"/>
          <w:sz w:val="28"/>
          <w:szCs w:val="28"/>
        </w:rPr>
        <w:sym w:font="Wingdings 2" w:char="F052"/>
      </w:r>
      <w:r w:rsidRPr="00A02D1E">
        <w:rPr>
          <w:rFonts w:ascii="仿宋" w:eastAsia="仿宋" w:hAnsi="仿宋" w:cs="Calibri"/>
          <w:sz w:val="28"/>
          <w:szCs w:val="28"/>
        </w:rPr>
        <w:t>不适用</w:t>
      </w:r>
    </w:p>
    <w:p w:rsidR="00B13593" w:rsidRPr="00A02D1E"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A02D1E">
        <w:rPr>
          <w:rFonts w:ascii="仿宋" w:eastAsia="仿宋" w:hAnsi="仿宋" w:cs="Calibri"/>
          <w:sz w:val="28"/>
          <w:szCs w:val="28"/>
        </w:rPr>
        <w:t>公司报告期利润构成或利润来源没有发生重大变动。</w:t>
      </w:r>
    </w:p>
    <w:p w:rsidR="00B13593" w:rsidRPr="00A02D1E"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A02D1E">
        <w:rPr>
          <w:rFonts w:ascii="仿宋" w:eastAsia="仿宋" w:hAnsi="仿宋" w:cs="Calibri"/>
          <w:b/>
          <w:sz w:val="28"/>
          <w:szCs w:val="28"/>
        </w:rPr>
        <w:t>营业收入构成</w:t>
      </w:r>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7"/>
        <w:gridCol w:w="1606"/>
        <w:gridCol w:w="1607"/>
        <w:gridCol w:w="1607"/>
      </w:tblGrid>
      <w:tr w:rsidR="00B13593">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同比增减</w:t>
            </w:r>
          </w:p>
        </w:tc>
      </w:tr>
      <w:tr w:rsidR="00B13593">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180,386,695.40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11.93%</w:t>
            </w:r>
          </w:p>
        </w:tc>
      </w:tr>
      <w:tr w:rsidR="00B13593">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分行业</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制造业</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198,744,351.82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98.44%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147,094,650.71</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81.54%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35.11%</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贸易</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28,483,620.72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15.79%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-100.00%</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lastRenderedPageBreak/>
              <w:t>其他</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3,156,861.84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4,808,423.97</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2.67%</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-34.35%</w:t>
            </w:r>
          </w:p>
        </w:tc>
      </w:tr>
      <w:tr w:rsidR="00B13593">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分产品</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制糖产品</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27,632,780.43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15.32%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-100.00%</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高性能特种合金材料制品</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62,017,073.86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30.72%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40,099,165.96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22.23%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54.66%</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电源及相关产品</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136,727,277.96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67.72%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107,846,325.04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59.79%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26.78%</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3,156,861.84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4,808,423.97</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2.67%</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-34.35%</w:t>
            </w:r>
          </w:p>
        </w:tc>
      </w:tr>
      <w:tr w:rsidR="00B13593">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分地区</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国内</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180,386,695.40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11.93%</w:t>
            </w:r>
          </w:p>
        </w:tc>
      </w:tr>
    </w:tbl>
    <w:p w:rsidR="00B13593" w:rsidRPr="00A02D1E"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A02D1E">
        <w:rPr>
          <w:rFonts w:ascii="仿宋" w:eastAsia="仿宋" w:hAnsi="仿宋" w:cs="Calibri"/>
          <w:b/>
          <w:sz w:val="28"/>
          <w:szCs w:val="28"/>
        </w:rPr>
        <w:t>占公司营业收入或营业利润10%以上的行业、产品或地区情况</w:t>
      </w:r>
    </w:p>
    <w:p w:rsidR="00B13593" w:rsidRPr="00A02D1E"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A02D1E">
        <w:rPr>
          <w:rFonts w:ascii="仿宋" w:eastAsia="仿宋" w:hAnsi="仿宋" w:cs="Calibri"/>
          <w:sz w:val="28"/>
          <w:szCs w:val="28"/>
        </w:rPr>
        <w:sym w:font="Wingdings 2" w:char="F052"/>
      </w:r>
      <w:r w:rsidRPr="00A02D1E">
        <w:rPr>
          <w:rFonts w:ascii="仿宋" w:eastAsia="仿宋" w:hAnsi="仿宋" w:cs="Calibri"/>
          <w:sz w:val="28"/>
          <w:szCs w:val="28"/>
        </w:rPr>
        <w:t>适用</w:t>
      </w:r>
      <w:r w:rsidR="00A02D1E" w:rsidRPr="00A02D1E">
        <w:rPr>
          <w:rFonts w:ascii="仿宋" w:eastAsia="仿宋" w:hAnsi="仿宋" w:cs="Calibri" w:hint="eastAsia"/>
          <w:sz w:val="28"/>
          <w:szCs w:val="28"/>
        </w:rPr>
        <w:t xml:space="preserve"> </w:t>
      </w:r>
      <w:r w:rsidRPr="00A02D1E">
        <w:rPr>
          <w:rFonts w:ascii="仿宋" w:eastAsia="仿宋" w:hAnsi="仿宋" w:cs="Calibri"/>
          <w:sz w:val="28"/>
          <w:szCs w:val="28"/>
        </w:rPr>
        <w:t xml:space="preserve"> □不适用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566"/>
        <w:gridCol w:w="1560"/>
        <w:gridCol w:w="850"/>
        <w:gridCol w:w="1559"/>
        <w:gridCol w:w="1560"/>
        <w:gridCol w:w="1167"/>
      </w:tblGrid>
      <w:tr w:rsidR="00B13593" w:rsidTr="008B60F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156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营业收入</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营业成本</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毛利率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B13593">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分行业</w:t>
            </w:r>
          </w:p>
        </w:tc>
      </w:tr>
      <w:tr w:rsidR="00B13593" w:rsidTr="008B60F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制造业</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198,744,351.82</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77,282,995.27</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61.11%</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81012C" w:rsidP="00054B06">
            <w:pPr>
              <w:spacing w:line="320" w:lineRule="exact"/>
              <w:jc w:val="right"/>
              <w:rPr>
                <w:rFonts w:ascii="宋体" w:eastAsia="宋体" w:hAnsi="宋体" w:cs="宋体"/>
                <w:sz w:val="18"/>
                <w:szCs w:val="18"/>
              </w:rPr>
            </w:pPr>
            <w:r w:rsidRPr="0081012C">
              <w:rPr>
                <w:rFonts w:ascii="宋体" w:eastAsia="宋体" w:hAnsi="宋体" w:cs="宋体"/>
                <w:sz w:val="18"/>
                <w:szCs w:val="18"/>
              </w:rPr>
              <w:t>35.11%</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81012C" w:rsidP="00054B06">
            <w:pPr>
              <w:spacing w:line="320" w:lineRule="exact"/>
              <w:jc w:val="right"/>
              <w:rPr>
                <w:rFonts w:ascii="宋体" w:eastAsia="宋体" w:hAnsi="宋体" w:cs="宋体"/>
                <w:sz w:val="18"/>
                <w:szCs w:val="18"/>
              </w:rPr>
            </w:pPr>
            <w:r w:rsidRPr="0081012C">
              <w:rPr>
                <w:rFonts w:ascii="宋体" w:eastAsia="宋体" w:hAnsi="宋体" w:cs="宋体"/>
                <w:sz w:val="18"/>
                <w:szCs w:val="18"/>
              </w:rPr>
              <w:t>51.49%</w:t>
            </w:r>
          </w:p>
        </w:tc>
        <w:tc>
          <w:tcPr>
            <w:tcW w:w="116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-4.21%</w:t>
            </w:r>
          </w:p>
        </w:tc>
      </w:tr>
      <w:tr w:rsidR="00B13593">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分产品</w:t>
            </w:r>
          </w:p>
        </w:tc>
      </w:tr>
      <w:tr w:rsidR="00B13593" w:rsidTr="008B60F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高性能特种合金材料制品</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62,017,073.86</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44,147,490.37</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28.81%</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54.66%</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81012C" w:rsidP="00054B06">
            <w:pPr>
              <w:spacing w:line="320" w:lineRule="exact"/>
              <w:jc w:val="right"/>
              <w:rPr>
                <w:rFonts w:ascii="宋体" w:eastAsia="宋体" w:hAnsi="宋体" w:cs="宋体"/>
                <w:sz w:val="18"/>
                <w:szCs w:val="18"/>
              </w:rPr>
            </w:pPr>
            <w:r w:rsidRPr="0081012C">
              <w:rPr>
                <w:rFonts w:ascii="宋体" w:eastAsia="宋体" w:hAnsi="宋体" w:cs="宋体"/>
                <w:sz w:val="18"/>
                <w:szCs w:val="18"/>
              </w:rPr>
              <w:t>66.04%</w:t>
            </w:r>
          </w:p>
        </w:tc>
        <w:tc>
          <w:tcPr>
            <w:tcW w:w="1167"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-4.88%</w:t>
            </w:r>
          </w:p>
        </w:tc>
      </w:tr>
      <w:tr w:rsidR="00B13593" w:rsidTr="008B60F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电源及相关产品</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136,727,277.96</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33,135,504.90</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75.77%</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26.78%</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81012C" w:rsidP="00054B06">
            <w:pPr>
              <w:spacing w:line="320" w:lineRule="exact"/>
              <w:jc w:val="right"/>
              <w:rPr>
                <w:rFonts w:ascii="宋体" w:eastAsia="宋体" w:hAnsi="宋体" w:cs="宋体"/>
                <w:sz w:val="18"/>
                <w:szCs w:val="18"/>
              </w:rPr>
            </w:pPr>
            <w:r w:rsidRPr="0081012C">
              <w:rPr>
                <w:rFonts w:ascii="宋体" w:eastAsia="宋体" w:hAnsi="宋体" w:cs="宋体"/>
                <w:sz w:val="18"/>
                <w:szCs w:val="18"/>
              </w:rPr>
              <w:t>31.97%</w:t>
            </w:r>
          </w:p>
        </w:tc>
        <w:tc>
          <w:tcPr>
            <w:tcW w:w="1167" w:type="dxa"/>
            <w:tcBorders>
              <w:top w:val="single" w:sz="2" w:space="0" w:color="auto"/>
              <w:left w:val="single" w:sz="2" w:space="0" w:color="auto"/>
              <w:bottom w:val="single" w:sz="2" w:space="0" w:color="auto"/>
              <w:right w:val="single" w:sz="2" w:space="0" w:color="auto"/>
            </w:tcBorders>
            <w:vAlign w:val="center"/>
          </w:tcPr>
          <w:p w:rsidR="00B13593" w:rsidRDefault="009937C0" w:rsidP="00054B06">
            <w:pPr>
              <w:spacing w:line="320" w:lineRule="exact"/>
              <w:jc w:val="right"/>
              <w:rPr>
                <w:rFonts w:ascii="宋体" w:eastAsia="宋体" w:hAnsi="宋体" w:cs="宋体"/>
                <w:sz w:val="18"/>
                <w:szCs w:val="18"/>
              </w:rPr>
            </w:pPr>
            <w:r w:rsidRPr="009937C0">
              <w:rPr>
                <w:rFonts w:ascii="宋体" w:eastAsia="宋体" w:hAnsi="宋体" w:cs="宋体"/>
                <w:sz w:val="18"/>
                <w:szCs w:val="18"/>
              </w:rPr>
              <w:t>-0.95%</w:t>
            </w:r>
          </w:p>
        </w:tc>
      </w:tr>
      <w:tr w:rsidR="00B13593">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分地区</w:t>
            </w:r>
          </w:p>
        </w:tc>
      </w:tr>
      <w:tr w:rsidR="00B13593" w:rsidTr="008B60F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国内</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78,605,006.64</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61.07%</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81012C" w:rsidP="00054B06">
            <w:pPr>
              <w:spacing w:line="320" w:lineRule="exact"/>
              <w:jc w:val="right"/>
              <w:rPr>
                <w:rFonts w:ascii="宋体" w:eastAsia="宋体" w:hAnsi="宋体" w:cs="宋体"/>
                <w:sz w:val="18"/>
                <w:szCs w:val="18"/>
              </w:rPr>
            </w:pPr>
            <w:r w:rsidRPr="0081012C">
              <w:rPr>
                <w:rFonts w:ascii="宋体" w:eastAsia="宋体" w:hAnsi="宋体" w:cs="宋体"/>
                <w:sz w:val="18"/>
                <w:szCs w:val="18"/>
              </w:rPr>
              <w:t>14.99%</w:t>
            </w:r>
          </w:p>
        </w:tc>
        <w:tc>
          <w:tcPr>
            <w:tcW w:w="1560" w:type="dxa"/>
            <w:tcBorders>
              <w:top w:val="single" w:sz="2" w:space="0" w:color="auto"/>
              <w:left w:val="single" w:sz="2" w:space="0" w:color="auto"/>
              <w:bottom w:val="single" w:sz="2" w:space="0" w:color="auto"/>
              <w:right w:val="single" w:sz="2" w:space="0" w:color="auto"/>
            </w:tcBorders>
            <w:vAlign w:val="center"/>
          </w:tcPr>
          <w:p w:rsidR="00B13593" w:rsidRDefault="0081012C" w:rsidP="00054B06">
            <w:pPr>
              <w:spacing w:line="320" w:lineRule="exact"/>
              <w:jc w:val="right"/>
              <w:rPr>
                <w:rFonts w:ascii="宋体" w:eastAsia="宋体" w:hAnsi="宋体" w:cs="宋体"/>
                <w:sz w:val="18"/>
                <w:szCs w:val="18"/>
              </w:rPr>
            </w:pPr>
            <w:r w:rsidRPr="0081012C">
              <w:rPr>
                <w:rFonts w:ascii="宋体" w:eastAsia="宋体" w:hAnsi="宋体" w:cs="宋体"/>
                <w:sz w:val="18"/>
                <w:szCs w:val="18"/>
              </w:rPr>
              <w:t>-0.49%</w:t>
            </w:r>
          </w:p>
        </w:tc>
        <w:tc>
          <w:tcPr>
            <w:tcW w:w="116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6.06%</w:t>
            </w:r>
          </w:p>
        </w:tc>
      </w:tr>
    </w:tbl>
    <w:p w:rsidR="00B13593" w:rsidRPr="008B60FC"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8B60FC">
        <w:rPr>
          <w:rFonts w:ascii="仿宋" w:eastAsia="仿宋" w:hAnsi="仿宋" w:cs="Calibri"/>
          <w:b/>
          <w:sz w:val="28"/>
          <w:szCs w:val="28"/>
        </w:rPr>
        <w:t>公司主营业务数据统计口径在报告期发生调整的情况下，公司最近1期按报告期末口径调整后的主营业务数据</w:t>
      </w:r>
    </w:p>
    <w:p w:rsidR="00B13593" w:rsidRPr="008B60FC"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B60FC">
        <w:rPr>
          <w:rFonts w:ascii="仿宋" w:eastAsia="仿宋" w:hAnsi="仿宋" w:cs="Calibri"/>
          <w:sz w:val="28"/>
          <w:szCs w:val="28"/>
        </w:rPr>
        <w:t xml:space="preserve">□适用 </w:t>
      </w:r>
      <w:r w:rsidR="008B60FC" w:rsidRPr="008B60FC">
        <w:rPr>
          <w:rFonts w:ascii="仿宋" w:eastAsia="仿宋" w:hAnsi="仿宋" w:cs="Calibri" w:hint="eastAsia"/>
          <w:sz w:val="28"/>
          <w:szCs w:val="28"/>
        </w:rPr>
        <w:t xml:space="preserve"> </w:t>
      </w:r>
      <w:r w:rsidRPr="008B60FC">
        <w:rPr>
          <w:rFonts w:ascii="仿宋" w:eastAsia="仿宋" w:hAnsi="仿宋" w:cs="Calibri"/>
          <w:sz w:val="28"/>
          <w:szCs w:val="28"/>
        </w:rPr>
        <w:sym w:font="Wingdings 2" w:char="F052"/>
      </w:r>
      <w:r w:rsidRPr="008B60FC">
        <w:rPr>
          <w:rFonts w:ascii="仿宋" w:eastAsia="仿宋" w:hAnsi="仿宋" w:cs="Calibri"/>
          <w:sz w:val="28"/>
          <w:szCs w:val="28"/>
        </w:rPr>
        <w:t>不适用</w:t>
      </w:r>
    </w:p>
    <w:p w:rsidR="00B13593" w:rsidRPr="00F00017"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18" w:name="_Toc988906"/>
      <w:r w:rsidRPr="00F00017">
        <w:rPr>
          <w:b/>
          <w:bCs/>
          <w:sz w:val="28"/>
          <w:szCs w:val="28"/>
        </w:rPr>
        <w:t>四、非主营业务分析</w:t>
      </w:r>
      <w:bookmarkEnd w:id="18"/>
    </w:p>
    <w:p w:rsidR="00B13593"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sym w:font="Wingdings 2" w:char="F052"/>
      </w:r>
      <w:r w:rsidRPr="00F00017">
        <w:rPr>
          <w:rFonts w:ascii="仿宋" w:eastAsia="仿宋" w:hAnsi="仿宋" w:cs="Calibri"/>
          <w:sz w:val="28"/>
          <w:szCs w:val="28"/>
        </w:rPr>
        <w:t xml:space="preserve">适用 </w:t>
      </w:r>
      <w:r w:rsidR="00F00017">
        <w:rPr>
          <w:rFonts w:ascii="仿宋" w:eastAsia="仿宋" w:hAnsi="仿宋" w:cs="Calibri" w:hint="eastAsia"/>
          <w:sz w:val="28"/>
          <w:szCs w:val="28"/>
        </w:rPr>
        <w:t xml:space="preserve"> </w:t>
      </w:r>
      <w:r w:rsidRPr="00F00017">
        <w:rPr>
          <w:rFonts w:ascii="仿宋" w:eastAsia="仿宋" w:hAnsi="仿宋" w:cs="Calibri"/>
          <w:sz w:val="28"/>
          <w:szCs w:val="28"/>
        </w:rPr>
        <w:t>□不适用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2122"/>
        <w:gridCol w:w="1734"/>
      </w:tblGrid>
      <w:tr w:rsidR="00B13593" w:rsidTr="00F0001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占利润总额比例</w:t>
            </w:r>
          </w:p>
        </w:tc>
        <w:tc>
          <w:tcPr>
            <w:tcW w:w="212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形成原因说明</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是否具有可持续性</w:t>
            </w:r>
          </w:p>
        </w:tc>
      </w:tr>
      <w:tr w:rsidR="00B13593" w:rsidTr="00F0001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7,945,546.65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21.16%</w:t>
            </w:r>
          </w:p>
        </w:tc>
        <w:tc>
          <w:tcPr>
            <w:tcW w:w="212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主要系银行理财收益和权益法公司投资收益。</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否</w:t>
            </w:r>
          </w:p>
        </w:tc>
      </w:tr>
      <w:tr w:rsidR="00B13593" w:rsidTr="00F0001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公允价值变动损益</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-997,719.19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-2.66%</w:t>
            </w:r>
          </w:p>
        </w:tc>
        <w:tc>
          <w:tcPr>
            <w:tcW w:w="212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主要系结转上期银行理财浮盈。</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否</w:t>
            </w:r>
          </w:p>
        </w:tc>
      </w:tr>
      <w:tr w:rsidR="00B13593" w:rsidTr="00F0001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资产减值</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-3,396,387.54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-9.04%</w:t>
            </w:r>
          </w:p>
        </w:tc>
        <w:tc>
          <w:tcPr>
            <w:tcW w:w="212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本期对库龄较长的存货计提跌价准备所致。</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否</w:t>
            </w:r>
          </w:p>
        </w:tc>
      </w:tr>
      <w:tr w:rsidR="00B13593" w:rsidTr="00F0001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lastRenderedPageBreak/>
              <w:t>营业外收入</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29,470.56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0.08%</w:t>
            </w:r>
          </w:p>
        </w:tc>
        <w:tc>
          <w:tcPr>
            <w:tcW w:w="212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否</w:t>
            </w:r>
          </w:p>
        </w:tc>
      </w:tr>
      <w:tr w:rsidR="00B13593" w:rsidTr="00F0001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31,414.03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0.08%</w:t>
            </w:r>
          </w:p>
        </w:tc>
        <w:tc>
          <w:tcPr>
            <w:tcW w:w="212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否</w:t>
            </w:r>
          </w:p>
        </w:tc>
      </w:tr>
      <w:tr w:rsidR="00B13593" w:rsidTr="00F0001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资产处置收益</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-4,793.19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-0.01%</w:t>
            </w:r>
          </w:p>
        </w:tc>
        <w:tc>
          <w:tcPr>
            <w:tcW w:w="212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否</w:t>
            </w:r>
          </w:p>
        </w:tc>
      </w:tr>
    </w:tbl>
    <w:p w:rsidR="00B13593" w:rsidRPr="00F00017"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19" w:name="_Toc988907"/>
      <w:r w:rsidRPr="00F00017">
        <w:rPr>
          <w:b/>
          <w:bCs/>
          <w:sz w:val="28"/>
          <w:szCs w:val="28"/>
        </w:rPr>
        <w:t>五、资产及负债状况分析</w:t>
      </w:r>
      <w:bookmarkEnd w:id="19"/>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20" w:name="_Toc988908"/>
      <w:r w:rsidRPr="00F00017">
        <w:rPr>
          <w:rFonts w:ascii="仿宋" w:eastAsia="仿宋" w:hAnsi="仿宋" w:cs="Calibri"/>
          <w:b/>
          <w:sz w:val="28"/>
          <w:szCs w:val="28"/>
        </w:rPr>
        <w:t>1、资产构成重大变动情况</w:t>
      </w:r>
      <w:bookmarkEnd w:id="2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26"/>
        <w:gridCol w:w="1559"/>
        <w:gridCol w:w="1134"/>
        <w:gridCol w:w="1701"/>
        <w:gridCol w:w="1134"/>
        <w:gridCol w:w="992"/>
        <w:gridCol w:w="1593"/>
      </w:tblGrid>
      <w:tr w:rsidR="00B13593" w:rsidTr="00F00017">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本报告期末</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上年末</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比重增减</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重大变动说明</w:t>
            </w:r>
          </w:p>
        </w:tc>
      </w:tr>
      <w:tr w:rsidR="00B13593" w:rsidTr="00F00017">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占总资产比例</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占总资产比例</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20" w:lineRule="exact"/>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货币资金</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223,985,361.36</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11.05%</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141,639,744.87</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7.06%</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3.99%</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本期购买</w:t>
            </w:r>
            <w:r w:rsidR="007F5A5A">
              <w:rPr>
                <w:rFonts w:ascii="宋体" w:eastAsia="宋体" w:hAnsi="宋体" w:cs="宋体" w:hint="eastAsia"/>
                <w:sz w:val="18"/>
                <w:szCs w:val="18"/>
              </w:rPr>
              <w:t>存单</w:t>
            </w:r>
            <w:r>
              <w:rPr>
                <w:rFonts w:ascii="宋体" w:eastAsia="宋体" w:hAnsi="宋体" w:cs="宋体"/>
                <w:sz w:val="18"/>
                <w:szCs w:val="18"/>
              </w:rPr>
              <w:t>金额增加。</w:t>
            </w: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应收账款</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246,862,379.10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12.18%</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151,471,551.63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7.55%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4.63%</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本期军品收入规模增长，应收账款相应增加。</w:t>
            </w: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存货</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150,939,344.30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7.45%</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159,144,000.01</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7.93%</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-0.48%</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投资性房地产</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22,217,779.57</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1.10%</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22,577,561.65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1.13%</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-0.03%</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长期股权投资</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183,358,681.07</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9.05%</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164,439,177.20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8.19%</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0.86%</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固定资产</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66,982,010.45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3.30%</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57,770,822.39</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2.88%</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0.42%</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在建工程</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273,451.33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0.01%</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-0.01%</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使用权资产</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55,544,507.31</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2.74%</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57,660,520.15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2.87%</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-0.13%</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合同负债</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2,759,559.19</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0.14%</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5,520,477.18</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0.28%</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-0.14%</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租赁负债</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58,939,430.29</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2.91%</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60,071,068.19</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2.99%</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-0.08%</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交易性金融资产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111,192,320.68</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5.49%</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292,231,491.07</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14.56%</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-9.07%</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本期赎回理财产品金额增加。</w:t>
            </w: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应收票据</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136,973,213.71</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6.76%</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156,156,288.85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7.78%</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-1.02%</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r w:rsidR="00B13593" w:rsidTr="00F0001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商誉</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718,624,779.20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35.46%</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718,624,779.20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35.81%</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-0.35%</w:t>
            </w: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bl>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21" w:name="_Toc988909"/>
      <w:r w:rsidRPr="00F00017">
        <w:rPr>
          <w:rFonts w:ascii="仿宋" w:eastAsia="仿宋" w:hAnsi="仿宋" w:cs="Calibri"/>
          <w:b/>
          <w:sz w:val="28"/>
          <w:szCs w:val="28"/>
        </w:rPr>
        <w:t>2、主要境外资产情况</w:t>
      </w:r>
      <w:bookmarkEnd w:id="21"/>
    </w:p>
    <w:p w:rsidR="00B13593"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t>□适用</w:t>
      </w:r>
      <w:r w:rsidR="00F00017" w:rsidRPr="00F00017">
        <w:rPr>
          <w:rFonts w:ascii="仿宋" w:eastAsia="仿宋" w:hAnsi="仿宋" w:cs="Calibri" w:hint="eastAsia"/>
          <w:sz w:val="28"/>
          <w:szCs w:val="28"/>
        </w:rPr>
        <w:t xml:space="preserve"> </w:t>
      </w:r>
      <w:r w:rsidRPr="00F00017">
        <w:rPr>
          <w:rFonts w:ascii="仿宋" w:eastAsia="仿宋" w:hAnsi="仿宋" w:cs="Calibri"/>
          <w:sz w:val="28"/>
          <w:szCs w:val="28"/>
        </w:rPr>
        <w:t xml:space="preserve"> </w:t>
      </w:r>
      <w:r w:rsidRPr="00F00017">
        <w:rPr>
          <w:rFonts w:ascii="仿宋" w:eastAsia="仿宋" w:hAnsi="仿宋" w:cs="Calibri"/>
          <w:sz w:val="28"/>
          <w:szCs w:val="28"/>
        </w:rPr>
        <w:sym w:font="Wingdings 2" w:char="F052"/>
      </w:r>
      <w:r w:rsidRPr="00F00017">
        <w:rPr>
          <w:rFonts w:ascii="仿宋" w:eastAsia="仿宋" w:hAnsi="仿宋" w:cs="Calibri"/>
          <w:sz w:val="28"/>
          <w:szCs w:val="28"/>
        </w:rPr>
        <w:t>不适用</w:t>
      </w:r>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22" w:name="_Toc988910"/>
      <w:r w:rsidRPr="00F00017">
        <w:rPr>
          <w:rFonts w:ascii="仿宋" w:eastAsia="仿宋" w:hAnsi="仿宋" w:cs="Calibri"/>
          <w:b/>
          <w:sz w:val="28"/>
          <w:szCs w:val="28"/>
        </w:rPr>
        <w:t>3、以公允价值计量的资产和负债</w:t>
      </w:r>
      <w:bookmarkEnd w:id="22"/>
    </w:p>
    <w:p w:rsidR="00B13593"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sym w:font="Wingdings 2" w:char="F052"/>
      </w:r>
      <w:r w:rsidRPr="00F00017">
        <w:rPr>
          <w:rFonts w:ascii="仿宋" w:eastAsia="仿宋" w:hAnsi="仿宋" w:cs="Calibri"/>
          <w:sz w:val="28"/>
          <w:szCs w:val="28"/>
        </w:rPr>
        <w:t xml:space="preserve">适用 </w:t>
      </w:r>
      <w:r w:rsidR="00F00017">
        <w:rPr>
          <w:rFonts w:ascii="仿宋" w:eastAsia="仿宋" w:hAnsi="仿宋" w:cs="Calibri" w:hint="eastAsia"/>
          <w:sz w:val="28"/>
          <w:szCs w:val="28"/>
        </w:rPr>
        <w:t xml:space="preserve"> </w:t>
      </w:r>
      <w:r w:rsidRPr="00F00017">
        <w:rPr>
          <w:rFonts w:ascii="仿宋" w:eastAsia="仿宋" w:hAnsi="仿宋" w:cs="Calibri"/>
          <w:sz w:val="28"/>
          <w:szCs w:val="28"/>
        </w:rPr>
        <w:t>□不适用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71"/>
        <w:gridCol w:w="1071"/>
        <w:gridCol w:w="1227"/>
        <w:gridCol w:w="1134"/>
        <w:gridCol w:w="852"/>
        <w:gridCol w:w="1071"/>
        <w:gridCol w:w="1071"/>
        <w:gridCol w:w="1071"/>
        <w:gridCol w:w="1071"/>
      </w:tblGrid>
      <w:tr w:rsidR="00B13593" w:rsidTr="00F000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期初数</w:t>
            </w:r>
          </w:p>
        </w:tc>
        <w:tc>
          <w:tcPr>
            <w:tcW w:w="12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8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期末数</w:t>
            </w:r>
          </w:p>
        </w:tc>
      </w:tr>
      <w:tr w:rsidR="00B1359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F000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交易性金融资产（不含衍</w:t>
            </w:r>
            <w:r>
              <w:rPr>
                <w:rFonts w:ascii="宋体" w:eastAsia="宋体" w:hAnsi="宋体" w:cs="宋体"/>
                <w:sz w:val="18"/>
                <w:szCs w:val="18"/>
              </w:rPr>
              <w:lastRenderedPageBreak/>
              <w:t>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lastRenderedPageBreak/>
              <w:t>292,231,491.07</w:t>
            </w:r>
          </w:p>
        </w:tc>
        <w:tc>
          <w:tcPr>
            <w:tcW w:w="12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-997,719.19</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486,850,000.00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669,236,848.59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2,345,397.39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111,192,320.68</w:t>
            </w:r>
          </w:p>
        </w:tc>
      </w:tr>
      <w:tr w:rsidR="00B13593" w:rsidTr="00F000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22,000,000.00</w:t>
            </w:r>
          </w:p>
        </w:tc>
        <w:tc>
          <w:tcPr>
            <w:tcW w:w="122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22,000,000.00</w:t>
            </w:r>
          </w:p>
        </w:tc>
      </w:tr>
      <w:tr w:rsidR="00B13593" w:rsidTr="00F000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金融资产小计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314,231,491.07</w:t>
            </w:r>
          </w:p>
        </w:tc>
        <w:tc>
          <w:tcPr>
            <w:tcW w:w="12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-997,719.19</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8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486,850,000.00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669,236,848.59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2,345,397.39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133,192,320.68</w:t>
            </w:r>
          </w:p>
        </w:tc>
      </w:tr>
      <w:tr w:rsidR="00B13593" w:rsidTr="00F000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314,231,491.07</w:t>
            </w:r>
          </w:p>
        </w:tc>
        <w:tc>
          <w:tcPr>
            <w:tcW w:w="12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-997,719.19</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8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486,850,000.00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669,236,848.59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2,345,397.39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133,192,320.68</w:t>
            </w:r>
          </w:p>
        </w:tc>
      </w:tr>
      <w:tr w:rsidR="00B13593" w:rsidTr="00F0001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22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85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r>
    </w:tbl>
    <w:p w:rsid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F00017">
        <w:rPr>
          <w:rFonts w:ascii="仿宋" w:eastAsia="仿宋" w:hAnsi="仿宋" w:cs="Calibri"/>
          <w:b/>
          <w:sz w:val="28"/>
          <w:szCs w:val="28"/>
        </w:rPr>
        <w:t>其他变动的内容</w:t>
      </w:r>
    </w:p>
    <w:p w:rsidR="00B13593" w:rsidRPr="00F00017" w:rsidRDefault="00B13593" w:rsidP="00054B06">
      <w:pPr>
        <w:pStyle w:val="a3"/>
        <w:widowControl w:val="0"/>
        <w:spacing w:before="0" w:beforeAutospacing="0" w:after="0" w:afterAutospacing="0" w:line="560" w:lineRule="exact"/>
        <w:ind w:firstLineChars="200" w:firstLine="560"/>
        <w:jc w:val="both"/>
        <w:rPr>
          <w:rFonts w:ascii="仿宋" w:eastAsia="仿宋" w:hAnsi="仿宋" w:cs="Calibri"/>
          <w:b/>
          <w:sz w:val="28"/>
          <w:szCs w:val="28"/>
        </w:rPr>
      </w:pPr>
      <w:r w:rsidRPr="00F00017">
        <w:rPr>
          <w:rFonts w:ascii="仿宋" w:eastAsia="仿宋" w:hAnsi="仿宋" w:cs="Calibri" w:hint="eastAsia"/>
          <w:sz w:val="28"/>
          <w:szCs w:val="28"/>
        </w:rPr>
        <w:t>本期将沈阳超能纳入合并范围，购买日沈阳超能账面有交易性金融资产2,345,397.39元，在“其他变动”列示。</w:t>
      </w:r>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F00017">
        <w:rPr>
          <w:rFonts w:ascii="仿宋" w:eastAsia="仿宋" w:hAnsi="仿宋" w:cs="Calibri"/>
          <w:b/>
          <w:sz w:val="28"/>
          <w:szCs w:val="28"/>
        </w:rPr>
        <w:t>报告期内公司主要资产计量属性是否发生重大变化</w:t>
      </w:r>
    </w:p>
    <w:p w:rsidR="00B13593"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t xml:space="preserve">□是 </w:t>
      </w:r>
      <w:r w:rsidRPr="00F00017">
        <w:rPr>
          <w:rFonts w:ascii="仿宋" w:eastAsia="仿宋" w:hAnsi="仿宋" w:cs="Calibri"/>
          <w:sz w:val="28"/>
          <w:szCs w:val="28"/>
        </w:rPr>
        <w:sym w:font="Wingdings 2" w:char="F052"/>
      </w:r>
      <w:r w:rsidRPr="00F00017">
        <w:rPr>
          <w:rFonts w:ascii="仿宋" w:eastAsia="仿宋" w:hAnsi="仿宋" w:cs="Calibri"/>
          <w:sz w:val="28"/>
          <w:szCs w:val="28"/>
        </w:rPr>
        <w:t>否</w:t>
      </w:r>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23" w:name="_Toc988911"/>
      <w:r w:rsidRPr="00F00017">
        <w:rPr>
          <w:rFonts w:ascii="仿宋" w:eastAsia="仿宋" w:hAnsi="仿宋" w:cs="Calibri"/>
          <w:b/>
          <w:sz w:val="28"/>
          <w:szCs w:val="28"/>
        </w:rPr>
        <w:t>4、截至报告期末的资产权利受限情况</w:t>
      </w:r>
      <w:bookmarkEnd w:id="23"/>
    </w:p>
    <w:tbl>
      <w:tblPr>
        <w:tblW w:w="8844" w:type="dxa"/>
        <w:tblCellMar>
          <w:left w:w="0" w:type="dxa"/>
          <w:right w:w="0" w:type="dxa"/>
        </w:tblCellMar>
        <w:tblLook w:val="04A0"/>
      </w:tblPr>
      <w:tblGrid>
        <w:gridCol w:w="1996"/>
        <w:gridCol w:w="3118"/>
        <w:gridCol w:w="3730"/>
      </w:tblGrid>
      <w:tr w:rsidR="00B13593" w:rsidTr="008B1188">
        <w:trPr>
          <w:divId w:val="489105518"/>
          <w:trHeight w:val="369"/>
        </w:trPr>
        <w:tc>
          <w:tcPr>
            <w:tcW w:w="1128" w:type="pct"/>
            <w:tcBorders>
              <w:top w:val="single" w:sz="8" w:space="0" w:color="auto"/>
              <w:left w:val="single" w:sz="8" w:space="0" w:color="auto"/>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b/>
                <w:sz w:val="24"/>
                <w:szCs w:val="24"/>
              </w:rPr>
            </w:pPr>
            <w:r w:rsidRPr="00F00017">
              <w:rPr>
                <w:rFonts w:asciiTheme="minorEastAsia" w:hAnsiTheme="minorEastAsia"/>
                <w:b/>
                <w:szCs w:val="21"/>
              </w:rPr>
              <w:t>项</w:t>
            </w:r>
            <w:r w:rsidRPr="00F00017">
              <w:rPr>
                <w:rFonts w:asciiTheme="minorEastAsia" w:hAnsiTheme="minorEastAsia" w:cs="Times New Roman"/>
                <w:b/>
                <w:color w:val="000000"/>
                <w:szCs w:val="21"/>
              </w:rPr>
              <w:t>  </w:t>
            </w:r>
            <w:r w:rsidRPr="00F00017">
              <w:rPr>
                <w:rFonts w:asciiTheme="minorEastAsia" w:hAnsiTheme="minorEastAsia" w:hint="eastAsia"/>
                <w:b/>
                <w:color w:val="000000"/>
                <w:szCs w:val="21"/>
              </w:rPr>
              <w:t>目</w:t>
            </w:r>
          </w:p>
        </w:tc>
        <w:tc>
          <w:tcPr>
            <w:tcW w:w="1763"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b/>
                <w:sz w:val="24"/>
                <w:szCs w:val="24"/>
              </w:rPr>
            </w:pPr>
            <w:r w:rsidRPr="00F00017">
              <w:rPr>
                <w:rFonts w:asciiTheme="minorEastAsia" w:hAnsiTheme="minorEastAsia" w:cs="Times New Roman"/>
                <w:b/>
                <w:szCs w:val="21"/>
              </w:rPr>
              <w:t>2023</w:t>
            </w:r>
            <w:r w:rsidRPr="00F00017">
              <w:rPr>
                <w:rFonts w:asciiTheme="minorEastAsia" w:hAnsiTheme="minorEastAsia" w:cs="Times New Roman" w:hint="eastAsia"/>
                <w:b/>
                <w:color w:val="000000"/>
                <w:szCs w:val="21"/>
              </w:rPr>
              <w:t>年</w:t>
            </w:r>
            <w:r w:rsidRPr="00F00017">
              <w:rPr>
                <w:rFonts w:asciiTheme="minorEastAsia" w:hAnsiTheme="minorEastAsia" w:cs="Times New Roman"/>
                <w:b/>
                <w:color w:val="000000"/>
                <w:szCs w:val="21"/>
              </w:rPr>
              <w:t>6</w:t>
            </w:r>
            <w:r w:rsidRPr="00F00017">
              <w:rPr>
                <w:rFonts w:asciiTheme="minorEastAsia" w:hAnsiTheme="minorEastAsia" w:cs="Times New Roman" w:hint="eastAsia"/>
                <w:b/>
                <w:color w:val="000000"/>
                <w:szCs w:val="21"/>
              </w:rPr>
              <w:t>月</w:t>
            </w:r>
            <w:r w:rsidRPr="00F00017">
              <w:rPr>
                <w:rFonts w:asciiTheme="minorEastAsia" w:hAnsiTheme="minorEastAsia" w:cs="Times New Roman"/>
                <w:b/>
                <w:color w:val="000000"/>
                <w:szCs w:val="21"/>
              </w:rPr>
              <w:t>30</w:t>
            </w:r>
            <w:r w:rsidRPr="00F00017">
              <w:rPr>
                <w:rFonts w:asciiTheme="minorEastAsia" w:hAnsiTheme="minorEastAsia" w:cs="Times New Roman" w:hint="eastAsia"/>
                <w:b/>
                <w:color w:val="000000"/>
                <w:szCs w:val="21"/>
              </w:rPr>
              <w:t>日账面价值</w:t>
            </w:r>
          </w:p>
        </w:tc>
        <w:tc>
          <w:tcPr>
            <w:tcW w:w="2109"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b/>
                <w:sz w:val="24"/>
                <w:szCs w:val="24"/>
              </w:rPr>
            </w:pPr>
            <w:r w:rsidRPr="00F00017">
              <w:rPr>
                <w:rFonts w:asciiTheme="minorEastAsia" w:hAnsiTheme="minorEastAsia"/>
                <w:b/>
                <w:szCs w:val="21"/>
              </w:rPr>
              <w:t>受限原因</w:t>
            </w:r>
          </w:p>
        </w:tc>
      </w:tr>
      <w:tr w:rsidR="00B13593" w:rsidTr="00F00017">
        <w:trPr>
          <w:divId w:val="489105518"/>
          <w:trHeight w:val="369"/>
        </w:trPr>
        <w:tc>
          <w:tcPr>
            <w:tcW w:w="1128"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rPr>
                <w:rFonts w:asciiTheme="minorEastAsia" w:hAnsiTheme="minorEastAsia" w:cs="宋体"/>
                <w:sz w:val="24"/>
                <w:szCs w:val="24"/>
              </w:rPr>
            </w:pPr>
            <w:r w:rsidRPr="00F00017">
              <w:rPr>
                <w:rFonts w:asciiTheme="minorEastAsia" w:hAnsiTheme="minorEastAsia"/>
                <w:szCs w:val="21"/>
              </w:rPr>
              <w:t>货币资金</w:t>
            </w:r>
          </w:p>
        </w:tc>
        <w:tc>
          <w:tcPr>
            <w:tcW w:w="176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right"/>
              <w:rPr>
                <w:rFonts w:asciiTheme="minorEastAsia" w:hAnsiTheme="minorEastAsia" w:cs="宋体"/>
                <w:sz w:val="24"/>
                <w:szCs w:val="24"/>
              </w:rPr>
            </w:pPr>
            <w:r w:rsidRPr="00F00017">
              <w:rPr>
                <w:rFonts w:asciiTheme="minorEastAsia" w:hAnsiTheme="minorEastAsia" w:cs="Times New Roman"/>
                <w:szCs w:val="21"/>
              </w:rPr>
              <w:t>61,887,970.86</w:t>
            </w:r>
          </w:p>
        </w:tc>
        <w:tc>
          <w:tcPr>
            <w:tcW w:w="2109"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sz w:val="24"/>
                <w:szCs w:val="24"/>
              </w:rPr>
            </w:pPr>
            <w:r w:rsidRPr="00F00017">
              <w:rPr>
                <w:rFonts w:asciiTheme="minorEastAsia" w:hAnsiTheme="minorEastAsia"/>
                <w:szCs w:val="21"/>
              </w:rPr>
              <w:t>票据保证金、定期存款</w:t>
            </w:r>
          </w:p>
        </w:tc>
      </w:tr>
      <w:tr w:rsidR="00B13593" w:rsidTr="00F00017">
        <w:trPr>
          <w:divId w:val="489105518"/>
          <w:trHeight w:val="492"/>
        </w:trPr>
        <w:tc>
          <w:tcPr>
            <w:tcW w:w="1128"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B13593" w:rsidRPr="00F00017" w:rsidRDefault="00B13593" w:rsidP="00054B06">
            <w:pPr>
              <w:spacing w:line="320" w:lineRule="exact"/>
              <w:rPr>
                <w:rFonts w:asciiTheme="minorEastAsia" w:hAnsiTheme="minorEastAsia" w:cs="宋体"/>
                <w:color w:val="000000"/>
                <w:szCs w:val="21"/>
              </w:rPr>
            </w:pPr>
            <w:r w:rsidRPr="00F00017">
              <w:rPr>
                <w:rFonts w:asciiTheme="minorEastAsia" w:hAnsiTheme="minorEastAsia" w:hint="eastAsia"/>
                <w:color w:val="000000"/>
                <w:szCs w:val="21"/>
              </w:rPr>
              <w:t>应收票据</w:t>
            </w:r>
          </w:p>
        </w:tc>
        <w:tc>
          <w:tcPr>
            <w:tcW w:w="1763"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B13593" w:rsidRPr="00F00017" w:rsidRDefault="00B13593" w:rsidP="00054B06">
            <w:pPr>
              <w:spacing w:line="320" w:lineRule="exact"/>
              <w:jc w:val="right"/>
              <w:rPr>
                <w:rFonts w:asciiTheme="minorEastAsia" w:hAnsiTheme="minorEastAsia" w:cs="Times New Roman"/>
                <w:color w:val="000000"/>
                <w:szCs w:val="21"/>
              </w:rPr>
            </w:pPr>
            <w:r w:rsidRPr="00F00017">
              <w:rPr>
                <w:rFonts w:asciiTheme="minorEastAsia" w:hAnsiTheme="minorEastAsia" w:cs="Times New Roman"/>
                <w:color w:val="000000"/>
                <w:szCs w:val="21"/>
              </w:rPr>
              <w:t>5,606,462.00</w:t>
            </w:r>
          </w:p>
        </w:tc>
        <w:tc>
          <w:tcPr>
            <w:tcW w:w="2109"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B13593" w:rsidRPr="00F00017" w:rsidRDefault="00B13593" w:rsidP="00054B06">
            <w:pPr>
              <w:spacing w:line="320" w:lineRule="exact"/>
              <w:jc w:val="center"/>
              <w:rPr>
                <w:rFonts w:asciiTheme="minorEastAsia" w:hAnsiTheme="minorEastAsia" w:cs="宋体"/>
                <w:color w:val="000000"/>
                <w:szCs w:val="21"/>
              </w:rPr>
            </w:pPr>
            <w:r w:rsidRPr="00F00017">
              <w:rPr>
                <w:rFonts w:asciiTheme="minorEastAsia" w:hAnsiTheme="minorEastAsia" w:hint="eastAsia"/>
                <w:color w:val="000000"/>
                <w:szCs w:val="21"/>
              </w:rPr>
              <w:t>票据质押</w:t>
            </w:r>
          </w:p>
        </w:tc>
      </w:tr>
      <w:tr w:rsidR="00B13593" w:rsidTr="00F00017">
        <w:trPr>
          <w:divId w:val="489105518"/>
          <w:trHeight w:val="369"/>
        </w:trPr>
        <w:tc>
          <w:tcPr>
            <w:tcW w:w="1128"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rPr>
                <w:rFonts w:asciiTheme="minorEastAsia" w:hAnsiTheme="minorEastAsia" w:cs="宋体"/>
                <w:sz w:val="24"/>
                <w:szCs w:val="24"/>
              </w:rPr>
            </w:pPr>
            <w:r w:rsidRPr="00F00017">
              <w:rPr>
                <w:rFonts w:asciiTheme="minorEastAsia" w:hAnsiTheme="minorEastAsia"/>
                <w:szCs w:val="21"/>
              </w:rPr>
              <w:t>固定资产</w:t>
            </w:r>
          </w:p>
        </w:tc>
        <w:tc>
          <w:tcPr>
            <w:tcW w:w="176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right"/>
              <w:rPr>
                <w:rFonts w:asciiTheme="minorEastAsia" w:hAnsiTheme="minorEastAsia" w:cs="宋体"/>
                <w:sz w:val="24"/>
                <w:szCs w:val="24"/>
              </w:rPr>
            </w:pPr>
            <w:r w:rsidRPr="00F00017">
              <w:rPr>
                <w:rFonts w:asciiTheme="minorEastAsia" w:hAnsiTheme="minorEastAsia" w:cs="Times New Roman"/>
                <w:szCs w:val="21"/>
              </w:rPr>
              <w:t>13,910,025.88</w:t>
            </w:r>
          </w:p>
        </w:tc>
        <w:tc>
          <w:tcPr>
            <w:tcW w:w="2109"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sz w:val="24"/>
                <w:szCs w:val="24"/>
              </w:rPr>
            </w:pPr>
            <w:r w:rsidRPr="00F00017">
              <w:rPr>
                <w:rFonts w:asciiTheme="minorEastAsia" w:hAnsiTheme="minorEastAsia"/>
                <w:szCs w:val="21"/>
              </w:rPr>
              <w:t>银行贷款额度抵押（期末无借款）</w:t>
            </w:r>
          </w:p>
        </w:tc>
      </w:tr>
      <w:tr w:rsidR="00B13593" w:rsidTr="00F00017">
        <w:trPr>
          <w:divId w:val="489105518"/>
          <w:trHeight w:val="369"/>
        </w:trPr>
        <w:tc>
          <w:tcPr>
            <w:tcW w:w="1128"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rPr>
                <w:rFonts w:asciiTheme="minorEastAsia" w:hAnsiTheme="minorEastAsia" w:cs="宋体"/>
                <w:sz w:val="24"/>
                <w:szCs w:val="24"/>
              </w:rPr>
            </w:pPr>
            <w:r w:rsidRPr="00F00017">
              <w:rPr>
                <w:rFonts w:asciiTheme="minorEastAsia" w:hAnsiTheme="minorEastAsia"/>
                <w:szCs w:val="21"/>
              </w:rPr>
              <w:t>无形资产</w:t>
            </w:r>
          </w:p>
        </w:tc>
        <w:tc>
          <w:tcPr>
            <w:tcW w:w="176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right"/>
              <w:rPr>
                <w:rFonts w:asciiTheme="minorEastAsia" w:hAnsiTheme="minorEastAsia" w:cs="宋体"/>
                <w:sz w:val="24"/>
                <w:szCs w:val="24"/>
              </w:rPr>
            </w:pPr>
            <w:r w:rsidRPr="00F00017">
              <w:rPr>
                <w:rFonts w:asciiTheme="minorEastAsia" w:hAnsiTheme="minorEastAsia" w:cs="Times New Roman"/>
                <w:szCs w:val="21"/>
              </w:rPr>
              <w:t>625,814.00</w:t>
            </w:r>
          </w:p>
        </w:tc>
        <w:tc>
          <w:tcPr>
            <w:tcW w:w="2109"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sz w:val="24"/>
                <w:szCs w:val="24"/>
              </w:rPr>
            </w:pPr>
            <w:r w:rsidRPr="00F00017">
              <w:rPr>
                <w:rFonts w:asciiTheme="minorEastAsia" w:hAnsiTheme="minorEastAsia"/>
                <w:szCs w:val="21"/>
              </w:rPr>
              <w:t>银行贷款额度抵押（期末无借款）</w:t>
            </w:r>
          </w:p>
        </w:tc>
      </w:tr>
      <w:tr w:rsidR="00B13593" w:rsidTr="00F00017">
        <w:trPr>
          <w:divId w:val="489105518"/>
          <w:trHeight w:val="369"/>
        </w:trPr>
        <w:tc>
          <w:tcPr>
            <w:tcW w:w="1128"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rPr>
                <w:rFonts w:asciiTheme="minorEastAsia" w:hAnsiTheme="minorEastAsia" w:cs="宋体"/>
                <w:sz w:val="24"/>
                <w:szCs w:val="24"/>
              </w:rPr>
            </w:pPr>
            <w:r w:rsidRPr="00F00017">
              <w:rPr>
                <w:rFonts w:asciiTheme="minorEastAsia" w:hAnsiTheme="minorEastAsia"/>
                <w:szCs w:val="21"/>
              </w:rPr>
              <w:t>投资性房地产</w:t>
            </w:r>
          </w:p>
        </w:tc>
        <w:tc>
          <w:tcPr>
            <w:tcW w:w="176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right"/>
              <w:rPr>
                <w:rFonts w:asciiTheme="minorEastAsia" w:hAnsiTheme="minorEastAsia" w:cs="宋体"/>
                <w:sz w:val="24"/>
                <w:szCs w:val="24"/>
              </w:rPr>
            </w:pPr>
            <w:r w:rsidRPr="00F00017">
              <w:rPr>
                <w:rFonts w:asciiTheme="minorEastAsia" w:hAnsiTheme="minorEastAsia" w:cs="Times New Roman"/>
                <w:szCs w:val="21"/>
              </w:rPr>
              <w:t>21,529,733.97</w:t>
            </w:r>
          </w:p>
        </w:tc>
        <w:tc>
          <w:tcPr>
            <w:tcW w:w="2109"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sz w:val="24"/>
                <w:szCs w:val="24"/>
              </w:rPr>
            </w:pPr>
            <w:r w:rsidRPr="00F00017">
              <w:rPr>
                <w:rFonts w:asciiTheme="minorEastAsia" w:hAnsiTheme="minorEastAsia"/>
                <w:szCs w:val="21"/>
              </w:rPr>
              <w:t>银行贷款额度抵押（期末无借款）</w:t>
            </w:r>
          </w:p>
        </w:tc>
      </w:tr>
      <w:tr w:rsidR="00B13593" w:rsidTr="00F00017">
        <w:trPr>
          <w:divId w:val="489105518"/>
          <w:trHeight w:val="369"/>
        </w:trPr>
        <w:tc>
          <w:tcPr>
            <w:tcW w:w="1128"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rPr>
                <w:rFonts w:asciiTheme="minorEastAsia" w:hAnsiTheme="minorEastAsia" w:cs="宋体"/>
                <w:sz w:val="24"/>
                <w:szCs w:val="24"/>
              </w:rPr>
            </w:pPr>
            <w:r w:rsidRPr="00F00017">
              <w:rPr>
                <w:rFonts w:asciiTheme="minorEastAsia" w:hAnsiTheme="minorEastAsia"/>
                <w:szCs w:val="21"/>
              </w:rPr>
              <w:t>合计</w:t>
            </w:r>
          </w:p>
        </w:tc>
        <w:tc>
          <w:tcPr>
            <w:tcW w:w="176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right"/>
              <w:rPr>
                <w:rFonts w:asciiTheme="minorEastAsia" w:hAnsiTheme="minorEastAsia" w:cs="宋体"/>
                <w:sz w:val="24"/>
                <w:szCs w:val="24"/>
              </w:rPr>
            </w:pPr>
            <w:r w:rsidRPr="00F00017">
              <w:rPr>
                <w:rFonts w:asciiTheme="minorEastAsia" w:hAnsiTheme="minorEastAsia" w:cs="Times New Roman"/>
                <w:szCs w:val="21"/>
              </w:rPr>
              <w:t>103,560,006.71</w:t>
            </w:r>
          </w:p>
        </w:tc>
        <w:tc>
          <w:tcPr>
            <w:tcW w:w="2109"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B13593" w:rsidRPr="00F00017" w:rsidRDefault="00B13593" w:rsidP="00054B06">
            <w:pPr>
              <w:spacing w:line="320" w:lineRule="exact"/>
              <w:jc w:val="center"/>
              <w:rPr>
                <w:rFonts w:asciiTheme="minorEastAsia" w:hAnsiTheme="minorEastAsia" w:cs="宋体"/>
                <w:sz w:val="24"/>
                <w:szCs w:val="24"/>
              </w:rPr>
            </w:pPr>
            <w:r w:rsidRPr="00F00017">
              <w:rPr>
                <w:rFonts w:asciiTheme="minorEastAsia" w:hAnsiTheme="minorEastAsia" w:cs="Times New Roman"/>
                <w:szCs w:val="21"/>
              </w:rPr>
              <w:t>/</w:t>
            </w:r>
          </w:p>
        </w:tc>
      </w:tr>
    </w:tbl>
    <w:p w:rsidR="00F00017" w:rsidRDefault="00B13F8C" w:rsidP="00F66490">
      <w:pPr>
        <w:pStyle w:val="a3"/>
        <w:widowControl w:val="0"/>
        <w:spacing w:before="0" w:beforeAutospacing="0" w:after="0" w:afterAutospacing="0" w:line="560" w:lineRule="exact"/>
        <w:ind w:firstLineChars="200" w:firstLine="562"/>
        <w:rPr>
          <w:b/>
          <w:bCs/>
          <w:sz w:val="28"/>
          <w:szCs w:val="28"/>
        </w:rPr>
      </w:pPr>
      <w:bookmarkStart w:id="24" w:name="_Toc988912"/>
      <w:r w:rsidRPr="00F00017">
        <w:rPr>
          <w:b/>
          <w:bCs/>
          <w:sz w:val="28"/>
          <w:szCs w:val="28"/>
        </w:rPr>
        <w:t>六、投资状况分析</w:t>
      </w:r>
      <w:bookmarkStart w:id="25" w:name="_Toc988913"/>
      <w:bookmarkEnd w:id="24"/>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F00017">
        <w:rPr>
          <w:rFonts w:ascii="仿宋" w:eastAsia="仿宋" w:hAnsi="仿宋" w:cs="Calibri"/>
          <w:b/>
          <w:sz w:val="28"/>
          <w:szCs w:val="28"/>
        </w:rPr>
        <w:t>1、总体情况</w:t>
      </w:r>
      <w:bookmarkEnd w:id="25"/>
    </w:p>
    <w:p w:rsidR="00F00017"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t xml:space="preserve">□适用 </w:t>
      </w:r>
      <w:r w:rsidR="00F00017">
        <w:rPr>
          <w:rFonts w:ascii="仿宋" w:eastAsia="仿宋" w:hAnsi="仿宋" w:cs="Calibri" w:hint="eastAsia"/>
          <w:sz w:val="28"/>
          <w:szCs w:val="28"/>
        </w:rPr>
        <w:t xml:space="preserve"> </w:t>
      </w:r>
      <w:r w:rsidRPr="00F00017">
        <w:rPr>
          <w:rFonts w:ascii="仿宋" w:eastAsia="仿宋" w:hAnsi="仿宋" w:cs="Calibri"/>
          <w:sz w:val="28"/>
          <w:szCs w:val="28"/>
        </w:rPr>
        <w:sym w:font="Wingdings 2" w:char="F052"/>
      </w:r>
      <w:r w:rsidRPr="00F00017">
        <w:rPr>
          <w:rFonts w:ascii="仿宋" w:eastAsia="仿宋" w:hAnsi="仿宋" w:cs="Calibri"/>
          <w:sz w:val="28"/>
          <w:szCs w:val="28"/>
        </w:rPr>
        <w:t>不适用</w:t>
      </w:r>
      <w:bookmarkStart w:id="26" w:name="_Toc988914"/>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F00017">
        <w:rPr>
          <w:rFonts w:ascii="仿宋" w:eastAsia="仿宋" w:hAnsi="仿宋" w:cs="Calibri"/>
          <w:b/>
          <w:sz w:val="28"/>
          <w:szCs w:val="28"/>
        </w:rPr>
        <w:t>2、报告期内获取的重大的股权投资情况</w:t>
      </w:r>
      <w:bookmarkEnd w:id="26"/>
    </w:p>
    <w:p w:rsidR="00B13593"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t xml:space="preserve">□适用 </w:t>
      </w:r>
      <w:r w:rsidR="00F00017">
        <w:rPr>
          <w:rFonts w:ascii="仿宋" w:eastAsia="仿宋" w:hAnsi="仿宋" w:cs="Calibri" w:hint="eastAsia"/>
          <w:sz w:val="28"/>
          <w:szCs w:val="28"/>
        </w:rPr>
        <w:t xml:space="preserve"> </w:t>
      </w:r>
      <w:r w:rsidRPr="00F00017">
        <w:rPr>
          <w:rFonts w:ascii="仿宋" w:eastAsia="仿宋" w:hAnsi="仿宋" w:cs="Calibri"/>
          <w:sz w:val="28"/>
          <w:szCs w:val="28"/>
        </w:rPr>
        <w:sym w:font="Wingdings 2" w:char="F052"/>
      </w:r>
      <w:r w:rsidRPr="00F00017">
        <w:rPr>
          <w:rFonts w:ascii="仿宋" w:eastAsia="仿宋" w:hAnsi="仿宋" w:cs="Calibri"/>
          <w:sz w:val="28"/>
          <w:szCs w:val="28"/>
        </w:rPr>
        <w:t>不适用</w:t>
      </w:r>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27" w:name="_Toc988915"/>
      <w:r w:rsidRPr="00F00017">
        <w:rPr>
          <w:rFonts w:ascii="仿宋" w:eastAsia="仿宋" w:hAnsi="仿宋" w:cs="Calibri"/>
          <w:b/>
          <w:sz w:val="28"/>
          <w:szCs w:val="28"/>
        </w:rPr>
        <w:t>3、报告期内正在进行的重大的非股权投资情况</w:t>
      </w:r>
      <w:bookmarkEnd w:id="27"/>
    </w:p>
    <w:p w:rsidR="00B13593"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t>□适用</w:t>
      </w:r>
      <w:r w:rsidR="00F00017">
        <w:rPr>
          <w:rFonts w:ascii="仿宋" w:eastAsia="仿宋" w:hAnsi="仿宋" w:cs="Calibri" w:hint="eastAsia"/>
          <w:sz w:val="28"/>
          <w:szCs w:val="28"/>
        </w:rPr>
        <w:t xml:space="preserve"> </w:t>
      </w:r>
      <w:r w:rsidRPr="00F00017">
        <w:rPr>
          <w:rFonts w:ascii="仿宋" w:eastAsia="仿宋" w:hAnsi="仿宋" w:cs="Calibri"/>
          <w:sz w:val="28"/>
          <w:szCs w:val="28"/>
        </w:rPr>
        <w:t xml:space="preserve"> </w:t>
      </w:r>
      <w:r w:rsidRPr="00F00017">
        <w:rPr>
          <w:rFonts w:ascii="仿宋" w:eastAsia="仿宋" w:hAnsi="仿宋" w:cs="Calibri"/>
          <w:sz w:val="28"/>
          <w:szCs w:val="28"/>
        </w:rPr>
        <w:sym w:font="Wingdings 2" w:char="F052"/>
      </w:r>
      <w:r w:rsidRPr="00F00017">
        <w:rPr>
          <w:rFonts w:ascii="仿宋" w:eastAsia="仿宋" w:hAnsi="仿宋" w:cs="Calibri"/>
          <w:sz w:val="28"/>
          <w:szCs w:val="28"/>
        </w:rPr>
        <w:t>不适用</w:t>
      </w:r>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28" w:name="_Toc988916"/>
      <w:r w:rsidRPr="00F00017">
        <w:rPr>
          <w:rFonts w:ascii="仿宋" w:eastAsia="仿宋" w:hAnsi="仿宋" w:cs="Calibri"/>
          <w:b/>
          <w:sz w:val="28"/>
          <w:szCs w:val="28"/>
        </w:rPr>
        <w:t>4、金融资产投资</w:t>
      </w:r>
      <w:bookmarkEnd w:id="28"/>
    </w:p>
    <w:p w:rsidR="00B13593" w:rsidRPr="00F00017"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29" w:name="_Toc988917"/>
      <w:r w:rsidRPr="00F00017">
        <w:rPr>
          <w:rFonts w:ascii="仿宋" w:eastAsia="仿宋" w:hAnsi="仿宋" w:cs="Calibri"/>
          <w:b/>
          <w:sz w:val="28"/>
          <w:szCs w:val="28"/>
        </w:rPr>
        <w:lastRenderedPageBreak/>
        <w:t>（1） 证券投资情况</w:t>
      </w:r>
      <w:bookmarkEnd w:id="29"/>
    </w:p>
    <w:p w:rsidR="00B13593" w:rsidRPr="00F00017"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F00017">
        <w:rPr>
          <w:rFonts w:ascii="仿宋" w:eastAsia="仿宋" w:hAnsi="仿宋" w:cs="Calibri"/>
          <w:sz w:val="28"/>
          <w:szCs w:val="28"/>
        </w:rPr>
        <w:sym w:font="Wingdings 2" w:char="F052"/>
      </w:r>
      <w:r w:rsidRPr="00F00017">
        <w:rPr>
          <w:rFonts w:ascii="仿宋" w:eastAsia="仿宋" w:hAnsi="仿宋" w:cs="Calibri"/>
          <w:sz w:val="28"/>
          <w:szCs w:val="28"/>
        </w:rPr>
        <w:t>适用</w:t>
      </w:r>
      <w:r w:rsidR="00F00017">
        <w:rPr>
          <w:rFonts w:ascii="仿宋" w:eastAsia="仿宋" w:hAnsi="仿宋" w:cs="Calibri" w:hint="eastAsia"/>
          <w:sz w:val="28"/>
          <w:szCs w:val="28"/>
        </w:rPr>
        <w:t xml:space="preserve"> </w:t>
      </w:r>
      <w:r w:rsidRPr="00F00017">
        <w:rPr>
          <w:rFonts w:ascii="仿宋" w:eastAsia="仿宋" w:hAnsi="仿宋" w:cs="Calibri"/>
          <w:sz w:val="28"/>
          <w:szCs w:val="28"/>
        </w:rPr>
        <w:t xml:space="preserve"> □不适用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9"/>
        <w:gridCol w:w="689"/>
        <w:gridCol w:w="689"/>
        <w:gridCol w:w="689"/>
        <w:gridCol w:w="689"/>
        <w:gridCol w:w="689"/>
        <w:gridCol w:w="689"/>
        <w:gridCol w:w="688"/>
        <w:gridCol w:w="688"/>
        <w:gridCol w:w="688"/>
        <w:gridCol w:w="688"/>
        <w:gridCol w:w="688"/>
        <w:gridCol w:w="688"/>
        <w:gridCol w:w="688"/>
      </w:tblGrid>
      <w:tr w:rsidR="00B13593">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资金来源</w:t>
            </w:r>
          </w:p>
        </w:tc>
      </w:tr>
      <w:tr w:rsidR="00B13593">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601398</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工商银行</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484.00</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429.56</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-54.44</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自有资金</w:t>
            </w:r>
          </w:p>
        </w:tc>
      </w:tr>
      <w:tr w:rsidR="00B13593">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期末持有的其他证券投资</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r>
      <w:tr w:rsidR="00B13593">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484.00</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429.56</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-54.44</w:t>
            </w:r>
          </w:p>
        </w:tc>
        <w:tc>
          <w:tcPr>
            <w:tcW w:w="68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r>
    </w:tbl>
    <w:p w:rsidR="00B13593" w:rsidRP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30" w:name="_Toc988918"/>
      <w:r w:rsidRPr="008D7FE1">
        <w:rPr>
          <w:rFonts w:ascii="仿宋" w:eastAsia="仿宋" w:hAnsi="仿宋" w:cs="Calibri"/>
          <w:b/>
          <w:sz w:val="28"/>
          <w:szCs w:val="28"/>
        </w:rPr>
        <w:t>（2） 衍生品投资情况</w:t>
      </w:r>
      <w:bookmarkEnd w:id="30"/>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 xml:space="preserve">□适用 </w:t>
      </w:r>
      <w:r w:rsidR="008D7FE1">
        <w:rPr>
          <w:rFonts w:ascii="仿宋" w:eastAsia="仿宋" w:hAnsi="仿宋" w:cs="Calibri" w:hint="eastAsia"/>
          <w:sz w:val="28"/>
          <w:szCs w:val="28"/>
        </w:rPr>
        <w:t xml:space="preserve"> </w:t>
      </w:r>
      <w:r w:rsidRPr="008D7FE1">
        <w:rPr>
          <w:rFonts w:ascii="仿宋" w:eastAsia="仿宋" w:hAnsi="仿宋" w:cs="Calibri"/>
          <w:sz w:val="28"/>
          <w:szCs w:val="28"/>
        </w:rPr>
        <w:sym w:font="Wingdings 2" w:char="F052"/>
      </w:r>
      <w:r w:rsidRPr="008D7FE1">
        <w:rPr>
          <w:rFonts w:ascii="仿宋" w:eastAsia="仿宋" w:hAnsi="仿宋" w:cs="Calibri"/>
          <w:sz w:val="28"/>
          <w:szCs w:val="28"/>
        </w:rPr>
        <w:t>不适用</w:t>
      </w:r>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公司报告期不存在衍生品投资。</w:t>
      </w:r>
    </w:p>
    <w:p w:rsidR="00B13593" w:rsidRP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31" w:name="_Toc988919"/>
      <w:r w:rsidRPr="008D7FE1">
        <w:rPr>
          <w:rFonts w:ascii="仿宋" w:eastAsia="仿宋" w:hAnsi="仿宋" w:cs="Calibri"/>
          <w:b/>
          <w:sz w:val="28"/>
          <w:szCs w:val="28"/>
        </w:rPr>
        <w:t>5、募集资金使用情况</w:t>
      </w:r>
      <w:bookmarkEnd w:id="31"/>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□适用</w:t>
      </w:r>
      <w:r w:rsidR="008D7FE1" w:rsidRPr="008D7FE1">
        <w:rPr>
          <w:rFonts w:ascii="仿宋" w:eastAsia="仿宋" w:hAnsi="仿宋" w:cs="Calibri" w:hint="eastAsia"/>
          <w:sz w:val="28"/>
          <w:szCs w:val="28"/>
        </w:rPr>
        <w:t xml:space="preserve"> </w:t>
      </w:r>
      <w:r w:rsidRPr="008D7FE1">
        <w:rPr>
          <w:rFonts w:ascii="仿宋" w:eastAsia="仿宋" w:hAnsi="仿宋" w:cs="Calibri"/>
          <w:sz w:val="28"/>
          <w:szCs w:val="28"/>
        </w:rPr>
        <w:t xml:space="preserve"> </w:t>
      </w:r>
      <w:r w:rsidRPr="008D7FE1">
        <w:rPr>
          <w:rFonts w:ascii="仿宋" w:eastAsia="仿宋" w:hAnsi="仿宋" w:cs="Calibri"/>
          <w:sz w:val="28"/>
          <w:szCs w:val="28"/>
        </w:rPr>
        <w:sym w:font="Wingdings 2" w:char="F052"/>
      </w:r>
      <w:r w:rsidRPr="008D7FE1">
        <w:rPr>
          <w:rFonts w:ascii="仿宋" w:eastAsia="仿宋" w:hAnsi="仿宋" w:cs="Calibri"/>
          <w:sz w:val="28"/>
          <w:szCs w:val="28"/>
        </w:rPr>
        <w:t>不适用</w:t>
      </w:r>
    </w:p>
    <w:p w:rsid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公司报告期无募集资金使用情况。</w:t>
      </w:r>
      <w:bookmarkStart w:id="32" w:name="_Toc988920"/>
    </w:p>
    <w:p w:rsidR="00B13593" w:rsidRP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sz w:val="28"/>
          <w:szCs w:val="28"/>
        </w:rPr>
      </w:pPr>
      <w:r w:rsidRPr="008D7FE1">
        <w:rPr>
          <w:b/>
          <w:bCs/>
          <w:sz w:val="28"/>
          <w:szCs w:val="28"/>
        </w:rPr>
        <w:t>七、重大资产和股权出售</w:t>
      </w:r>
      <w:bookmarkEnd w:id="32"/>
    </w:p>
    <w:p w:rsid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33" w:name="_Toc988921"/>
      <w:r w:rsidRPr="008D7FE1">
        <w:rPr>
          <w:rFonts w:ascii="仿宋" w:eastAsia="仿宋" w:hAnsi="仿宋" w:cs="Calibri"/>
          <w:b/>
          <w:sz w:val="28"/>
          <w:szCs w:val="28"/>
        </w:rPr>
        <w:t>1、出售重大资产情况</w:t>
      </w:r>
      <w:bookmarkEnd w:id="33"/>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□适用</w:t>
      </w:r>
      <w:r w:rsidR="008D7FE1">
        <w:rPr>
          <w:rFonts w:ascii="仿宋" w:eastAsia="仿宋" w:hAnsi="仿宋" w:cs="Calibri" w:hint="eastAsia"/>
          <w:sz w:val="28"/>
          <w:szCs w:val="28"/>
        </w:rPr>
        <w:t xml:space="preserve"> </w:t>
      </w:r>
      <w:r w:rsidRPr="008D7FE1">
        <w:rPr>
          <w:rFonts w:ascii="仿宋" w:eastAsia="仿宋" w:hAnsi="仿宋" w:cs="Calibri"/>
          <w:sz w:val="28"/>
          <w:szCs w:val="28"/>
        </w:rPr>
        <w:t xml:space="preserve"> </w:t>
      </w:r>
      <w:r w:rsidRPr="008D7FE1">
        <w:rPr>
          <w:rFonts w:ascii="仿宋" w:eastAsia="仿宋" w:hAnsi="仿宋" w:cs="Calibri"/>
          <w:sz w:val="28"/>
          <w:szCs w:val="28"/>
        </w:rPr>
        <w:sym w:font="Wingdings 2" w:char="F052"/>
      </w:r>
      <w:r w:rsidRPr="008D7FE1">
        <w:rPr>
          <w:rFonts w:ascii="仿宋" w:eastAsia="仿宋" w:hAnsi="仿宋" w:cs="Calibri"/>
          <w:sz w:val="28"/>
          <w:szCs w:val="28"/>
        </w:rPr>
        <w:t>不适用</w:t>
      </w:r>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公司报告期未出售重大资产。</w:t>
      </w:r>
    </w:p>
    <w:p w:rsidR="00B13593" w:rsidRP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bookmarkStart w:id="34" w:name="_Toc988922"/>
      <w:r w:rsidRPr="008D7FE1">
        <w:rPr>
          <w:rFonts w:ascii="仿宋" w:eastAsia="仿宋" w:hAnsi="仿宋" w:cs="Calibri"/>
          <w:b/>
          <w:sz w:val="28"/>
          <w:szCs w:val="28"/>
        </w:rPr>
        <w:t>2、出售重大股权情况</w:t>
      </w:r>
      <w:bookmarkEnd w:id="34"/>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□适用</w:t>
      </w:r>
      <w:r w:rsidR="008D7FE1" w:rsidRPr="008D7FE1">
        <w:rPr>
          <w:rFonts w:ascii="仿宋" w:eastAsia="仿宋" w:hAnsi="仿宋" w:cs="Calibri" w:hint="eastAsia"/>
          <w:sz w:val="28"/>
          <w:szCs w:val="28"/>
        </w:rPr>
        <w:t xml:space="preserve"> </w:t>
      </w:r>
      <w:r w:rsidRPr="008D7FE1">
        <w:rPr>
          <w:rFonts w:ascii="仿宋" w:eastAsia="仿宋" w:hAnsi="仿宋" w:cs="Calibri"/>
          <w:sz w:val="28"/>
          <w:szCs w:val="28"/>
        </w:rPr>
        <w:t xml:space="preserve"> </w:t>
      </w:r>
      <w:r w:rsidRPr="008D7FE1">
        <w:rPr>
          <w:rFonts w:ascii="仿宋" w:eastAsia="仿宋" w:hAnsi="仿宋" w:cs="Calibri"/>
          <w:sz w:val="28"/>
          <w:szCs w:val="28"/>
        </w:rPr>
        <w:sym w:font="Wingdings 2" w:char="F052"/>
      </w:r>
      <w:r w:rsidRPr="008D7FE1">
        <w:rPr>
          <w:rFonts w:ascii="仿宋" w:eastAsia="仿宋" w:hAnsi="仿宋" w:cs="Calibri"/>
          <w:sz w:val="28"/>
          <w:szCs w:val="28"/>
        </w:rPr>
        <w:t>不适用</w:t>
      </w:r>
    </w:p>
    <w:p w:rsidR="00B13593" w:rsidRPr="008D7FE1"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35" w:name="_Toc988923"/>
      <w:r w:rsidRPr="008D7FE1">
        <w:rPr>
          <w:b/>
          <w:bCs/>
          <w:sz w:val="28"/>
          <w:szCs w:val="28"/>
        </w:rPr>
        <w:t>八、主要控股参股公司分析</w:t>
      </w:r>
      <w:bookmarkEnd w:id="35"/>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lastRenderedPageBreak/>
        <w:sym w:font="Wingdings 2" w:char="F052"/>
      </w:r>
      <w:r w:rsidRPr="008D7FE1">
        <w:rPr>
          <w:rFonts w:ascii="仿宋" w:eastAsia="仿宋" w:hAnsi="仿宋" w:cs="Calibri"/>
          <w:sz w:val="28"/>
          <w:szCs w:val="28"/>
        </w:rPr>
        <w:t xml:space="preserve">适用 </w:t>
      </w:r>
      <w:r w:rsidR="008D7FE1">
        <w:rPr>
          <w:rFonts w:ascii="仿宋" w:eastAsia="仿宋" w:hAnsi="仿宋" w:cs="Calibri" w:hint="eastAsia"/>
          <w:sz w:val="28"/>
          <w:szCs w:val="28"/>
        </w:rPr>
        <w:t xml:space="preserve"> </w:t>
      </w:r>
      <w:r w:rsidRPr="008D7FE1">
        <w:rPr>
          <w:rFonts w:ascii="仿宋" w:eastAsia="仿宋" w:hAnsi="仿宋" w:cs="Calibri"/>
          <w:sz w:val="28"/>
          <w:szCs w:val="28"/>
        </w:rPr>
        <w:t>□不适用</w:t>
      </w:r>
    </w:p>
    <w:p w:rsidR="00B13593" w:rsidRP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8D7FE1">
        <w:rPr>
          <w:rFonts w:ascii="仿宋" w:eastAsia="仿宋" w:hAnsi="仿宋" w:cs="Calibri"/>
          <w:b/>
          <w:sz w:val="28"/>
          <w:szCs w:val="28"/>
        </w:rPr>
        <w:t>主要子公司及对公司净利润影响达10%以上的参股公司情况</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71"/>
        <w:gridCol w:w="880"/>
        <w:gridCol w:w="1276"/>
        <w:gridCol w:w="1057"/>
        <w:gridCol w:w="1071"/>
        <w:gridCol w:w="1071"/>
        <w:gridCol w:w="1071"/>
        <w:gridCol w:w="1071"/>
        <w:gridCol w:w="1071"/>
      </w:tblGrid>
      <w:tr w:rsidR="00B13593" w:rsidTr="008D7FE1">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88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5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B13593" w:rsidTr="008D7FE1">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88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子公司</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有色金属合金制造、仪器仪表制造、粉末冶金制品制造及销售</w:t>
            </w:r>
          </w:p>
        </w:tc>
        <w:tc>
          <w:tcPr>
            <w:tcW w:w="105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163,826,122.09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126,366,837.30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50,318,181.63</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9,424,647.91</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8,024,551.17</w:t>
            </w:r>
          </w:p>
        </w:tc>
      </w:tr>
      <w:tr w:rsidR="00B13593" w:rsidTr="008D7FE1">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四川升华电源科技有限公司</w:t>
            </w:r>
          </w:p>
        </w:tc>
        <w:tc>
          <w:tcPr>
            <w:tcW w:w="88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子公司</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电源变换器、电源模板、电子元器件</w:t>
            </w:r>
          </w:p>
        </w:tc>
        <w:tc>
          <w:tcPr>
            <w:tcW w:w="105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578,168,836.20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435,981,057.32</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136,727,277.96</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35,770,216.21</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33,793,231.60</w:t>
            </w:r>
          </w:p>
        </w:tc>
      </w:tr>
      <w:tr w:rsidR="00B13593" w:rsidTr="008D7FE1">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沈阳非晶金属材料有限公司</w:t>
            </w:r>
          </w:p>
        </w:tc>
        <w:tc>
          <w:tcPr>
            <w:tcW w:w="88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子公司</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非晶合金制品的研发、生产、销售</w:t>
            </w:r>
          </w:p>
        </w:tc>
        <w:tc>
          <w:tcPr>
            <w:tcW w:w="105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56,541,821.87</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29,335,469.79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12,794,381.68</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-2,523,348.26</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-2,524,784.36</w:t>
            </w:r>
          </w:p>
        </w:tc>
      </w:tr>
      <w:tr w:rsidR="00B13593" w:rsidTr="008D7FE1">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88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集成电路开发与销售</w:t>
            </w:r>
          </w:p>
        </w:tc>
        <w:tc>
          <w:tcPr>
            <w:tcW w:w="105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55,263,158.00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054B06">
            <w:pPr>
              <w:spacing w:line="240" w:lineRule="exact"/>
              <w:jc w:val="right"/>
              <w:rPr>
                <w:rFonts w:ascii="宋体" w:eastAsia="宋体" w:hAnsi="宋体" w:cs="宋体"/>
                <w:sz w:val="18"/>
                <w:szCs w:val="18"/>
              </w:rPr>
            </w:pPr>
            <w:r w:rsidRPr="00996D5F">
              <w:rPr>
                <w:rFonts w:ascii="宋体" w:eastAsia="宋体" w:hAnsi="宋体" w:cs="宋体"/>
                <w:sz w:val="18"/>
                <w:szCs w:val="18"/>
              </w:rPr>
              <w:t>483,855,421.19</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054B06">
            <w:pPr>
              <w:spacing w:line="240" w:lineRule="exact"/>
              <w:jc w:val="right"/>
              <w:rPr>
                <w:rFonts w:ascii="宋体" w:eastAsia="宋体" w:hAnsi="宋体" w:cs="宋体"/>
                <w:sz w:val="18"/>
                <w:szCs w:val="18"/>
              </w:rPr>
            </w:pPr>
            <w:r w:rsidRPr="00996D5F">
              <w:rPr>
                <w:rFonts w:ascii="宋体" w:eastAsia="宋体" w:hAnsi="宋体" w:cs="宋体"/>
                <w:sz w:val="18"/>
                <w:szCs w:val="18"/>
              </w:rPr>
              <w:t>369,041,767.41</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054B06">
            <w:pPr>
              <w:spacing w:line="240" w:lineRule="exact"/>
              <w:jc w:val="right"/>
              <w:rPr>
                <w:rFonts w:ascii="宋体" w:eastAsia="宋体" w:hAnsi="宋体" w:cs="宋体"/>
                <w:sz w:val="18"/>
                <w:szCs w:val="18"/>
              </w:rPr>
            </w:pPr>
            <w:r w:rsidRPr="00996D5F">
              <w:rPr>
                <w:rFonts w:ascii="宋体" w:eastAsia="宋体" w:hAnsi="宋体" w:cs="宋体"/>
                <w:sz w:val="18"/>
                <w:szCs w:val="18"/>
              </w:rPr>
              <w:t>133,287,340.72</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054B06">
            <w:pPr>
              <w:spacing w:line="240" w:lineRule="exact"/>
              <w:jc w:val="right"/>
              <w:rPr>
                <w:rFonts w:ascii="宋体" w:eastAsia="宋体" w:hAnsi="宋体" w:cs="宋体"/>
                <w:sz w:val="18"/>
                <w:szCs w:val="18"/>
              </w:rPr>
            </w:pPr>
            <w:r w:rsidRPr="00996D5F">
              <w:rPr>
                <w:rFonts w:ascii="宋体" w:eastAsia="宋体" w:hAnsi="宋体" w:cs="宋体"/>
                <w:sz w:val="18"/>
                <w:szCs w:val="18"/>
              </w:rPr>
              <w:t>31,726,007.73</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054B06">
            <w:pPr>
              <w:spacing w:line="240" w:lineRule="exact"/>
              <w:jc w:val="right"/>
              <w:rPr>
                <w:rFonts w:ascii="宋体" w:eastAsia="宋体" w:hAnsi="宋体" w:cs="宋体"/>
                <w:sz w:val="18"/>
                <w:szCs w:val="18"/>
              </w:rPr>
            </w:pPr>
            <w:r w:rsidRPr="00996D5F">
              <w:rPr>
                <w:rFonts w:ascii="宋体" w:eastAsia="宋体" w:hAnsi="宋体" w:cs="宋体"/>
                <w:sz w:val="18"/>
                <w:szCs w:val="18"/>
              </w:rPr>
              <w:t>29,317,591.15</w:t>
            </w:r>
          </w:p>
        </w:tc>
      </w:tr>
    </w:tbl>
    <w:p w:rsidR="00B13593" w:rsidRP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cs="Calibri"/>
          <w:b/>
          <w:sz w:val="28"/>
          <w:szCs w:val="28"/>
        </w:rPr>
      </w:pPr>
      <w:r w:rsidRPr="008D7FE1">
        <w:rPr>
          <w:rFonts w:ascii="仿宋" w:eastAsia="仿宋" w:hAnsi="仿宋" w:cs="Calibri"/>
          <w:b/>
          <w:sz w:val="28"/>
          <w:szCs w:val="28"/>
        </w:rPr>
        <w:t>报告期内取得和处置子公司的情况</w:t>
      </w:r>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sym w:font="Wingdings 2" w:char="F052"/>
      </w:r>
      <w:r w:rsidRPr="008D7FE1">
        <w:rPr>
          <w:rFonts w:ascii="仿宋" w:eastAsia="仿宋" w:hAnsi="仿宋" w:cs="Calibri"/>
          <w:sz w:val="28"/>
          <w:szCs w:val="28"/>
        </w:rPr>
        <w:t>适用</w:t>
      </w:r>
      <w:r w:rsidR="008D7FE1">
        <w:rPr>
          <w:rFonts w:ascii="仿宋" w:eastAsia="仿宋" w:hAnsi="仿宋" w:cs="Calibri" w:hint="eastAsia"/>
          <w:sz w:val="28"/>
          <w:szCs w:val="28"/>
        </w:rPr>
        <w:t xml:space="preserve"> </w:t>
      </w:r>
      <w:r w:rsidRPr="008D7FE1">
        <w:rPr>
          <w:rFonts w:ascii="仿宋" w:eastAsia="仿宋" w:hAnsi="仿宋" w:cs="Calibri"/>
          <w:sz w:val="28"/>
          <w:szCs w:val="28"/>
        </w:rPr>
        <w:t xml:space="preserve">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对整体生产经营和业绩的影响</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沈阳超能新材科技有限公司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收购</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不会对公司本期和未来财务状况、经营成果和现金流造成重大影响</w:t>
            </w:r>
          </w:p>
        </w:tc>
      </w:tr>
    </w:tbl>
    <w:p w:rsidR="00B13593" w:rsidRPr="008D7FE1"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36" w:name="_Toc988924"/>
      <w:r w:rsidRPr="008D7FE1">
        <w:rPr>
          <w:b/>
          <w:bCs/>
          <w:sz w:val="28"/>
          <w:szCs w:val="28"/>
        </w:rPr>
        <w:t>九、公司控制的结构化主体情况</w:t>
      </w:r>
      <w:bookmarkEnd w:id="36"/>
    </w:p>
    <w:p w:rsidR="00B13593" w:rsidRPr="008D7FE1" w:rsidRDefault="00B13F8C" w:rsidP="00054B06">
      <w:pPr>
        <w:pStyle w:val="a3"/>
        <w:widowControl w:val="0"/>
        <w:spacing w:before="0" w:beforeAutospacing="0" w:after="0" w:afterAutospacing="0" w:line="560" w:lineRule="exact"/>
        <w:ind w:firstLineChars="200" w:firstLine="560"/>
        <w:jc w:val="both"/>
        <w:rPr>
          <w:rFonts w:ascii="仿宋" w:eastAsia="仿宋" w:hAnsi="仿宋" w:cs="Calibri"/>
          <w:sz w:val="28"/>
          <w:szCs w:val="28"/>
        </w:rPr>
      </w:pPr>
      <w:r w:rsidRPr="008D7FE1">
        <w:rPr>
          <w:rFonts w:ascii="仿宋" w:eastAsia="仿宋" w:hAnsi="仿宋" w:cs="Calibri"/>
          <w:sz w:val="28"/>
          <w:szCs w:val="28"/>
        </w:rPr>
        <w:t>□适用</w:t>
      </w:r>
      <w:r w:rsidR="008D7FE1">
        <w:rPr>
          <w:rFonts w:ascii="仿宋" w:eastAsia="仿宋" w:hAnsi="仿宋" w:cs="Calibri" w:hint="eastAsia"/>
          <w:sz w:val="28"/>
          <w:szCs w:val="28"/>
        </w:rPr>
        <w:t xml:space="preserve"> </w:t>
      </w:r>
      <w:r w:rsidRPr="008D7FE1">
        <w:rPr>
          <w:rFonts w:ascii="仿宋" w:eastAsia="仿宋" w:hAnsi="仿宋" w:cs="Calibri"/>
          <w:sz w:val="28"/>
          <w:szCs w:val="28"/>
        </w:rPr>
        <w:t xml:space="preserve"> </w:t>
      </w:r>
      <w:r w:rsidRPr="008D7FE1">
        <w:rPr>
          <w:rFonts w:ascii="仿宋" w:eastAsia="仿宋" w:hAnsi="仿宋" w:cs="Calibri"/>
          <w:sz w:val="28"/>
          <w:szCs w:val="28"/>
        </w:rPr>
        <w:sym w:font="Wingdings 2" w:char="F052"/>
      </w:r>
      <w:r w:rsidRPr="008D7FE1">
        <w:rPr>
          <w:rFonts w:ascii="仿宋" w:eastAsia="仿宋" w:hAnsi="仿宋" w:cs="Calibri"/>
          <w:sz w:val="28"/>
          <w:szCs w:val="28"/>
        </w:rPr>
        <w:t>不适用</w:t>
      </w:r>
    </w:p>
    <w:p w:rsidR="00B13593" w:rsidRPr="008D7FE1" w:rsidRDefault="00B13F8C" w:rsidP="00FE3ECA">
      <w:pPr>
        <w:pStyle w:val="a3"/>
        <w:widowControl w:val="0"/>
        <w:spacing w:before="0" w:beforeAutospacing="0" w:after="0" w:afterAutospacing="0" w:line="560" w:lineRule="exact"/>
        <w:ind w:firstLineChars="200" w:firstLine="562"/>
        <w:jc w:val="both"/>
        <w:rPr>
          <w:b/>
          <w:bCs/>
          <w:sz w:val="28"/>
          <w:szCs w:val="28"/>
        </w:rPr>
      </w:pPr>
      <w:bookmarkStart w:id="37" w:name="_Toc988925"/>
      <w:r w:rsidRPr="008D7FE1">
        <w:rPr>
          <w:b/>
          <w:bCs/>
          <w:sz w:val="28"/>
          <w:szCs w:val="28"/>
        </w:rPr>
        <w:t>十、公司面临的风险和应对措施</w:t>
      </w:r>
      <w:bookmarkEnd w:id="37"/>
    </w:p>
    <w:p w:rsidR="00FE3ECA" w:rsidRPr="00980BC4" w:rsidRDefault="00FE3ECA" w:rsidP="00FE3ECA">
      <w:pPr>
        <w:pStyle w:val="a3"/>
        <w:spacing w:before="0" w:beforeAutospacing="0" w:after="0" w:afterAutospacing="0" w:line="560" w:lineRule="exact"/>
        <w:ind w:firstLine="562"/>
        <w:jc w:val="both"/>
        <w:rPr>
          <w:color w:val="000000" w:themeColor="text1"/>
        </w:rPr>
      </w:pPr>
      <w:bookmarkStart w:id="38" w:name="_Toc988926"/>
      <w:r>
        <w:rPr>
          <w:rStyle w:val="a4"/>
          <w:rFonts w:ascii="仿宋" w:eastAsia="仿宋" w:hAnsi="仿宋" w:hint="eastAsia"/>
          <w:color w:val="000000" w:themeColor="text1"/>
          <w:sz w:val="28"/>
          <w:szCs w:val="28"/>
        </w:rPr>
        <w:t>1</w:t>
      </w:r>
      <w:r w:rsidR="00076208">
        <w:rPr>
          <w:rStyle w:val="a4"/>
          <w:rFonts w:ascii="仿宋" w:eastAsia="仿宋" w:hAnsi="仿宋" w:hint="eastAsia"/>
          <w:color w:val="000000" w:themeColor="text1"/>
          <w:sz w:val="28"/>
          <w:szCs w:val="28"/>
        </w:rPr>
        <w:t>、</w:t>
      </w:r>
      <w:r w:rsidRPr="00980BC4">
        <w:rPr>
          <w:rStyle w:val="a4"/>
          <w:rFonts w:ascii="仿宋" w:eastAsia="仿宋" w:hAnsi="仿宋" w:hint="eastAsia"/>
          <w:color w:val="000000" w:themeColor="text1"/>
          <w:sz w:val="28"/>
          <w:szCs w:val="28"/>
        </w:rPr>
        <w:t>军品业务市场风险</w:t>
      </w:r>
    </w:p>
    <w:p w:rsidR="00FE3ECA" w:rsidRDefault="00FE3ECA" w:rsidP="00FE3ECA">
      <w:pPr>
        <w:pStyle w:val="a3"/>
        <w:spacing w:before="0" w:beforeAutospacing="0" w:after="0" w:afterAutospacing="0" w:line="560" w:lineRule="exact"/>
        <w:ind w:firstLine="570"/>
        <w:jc w:val="both"/>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公司子公司升华电源、沈阳含能及沈阳非晶的产品应用于通信、航空、航天、武器装备等领域，且其产品下游客户的最终用户主要为军方，军方采购受国防支出预算、国际国内环境、军方政策影响较大，具有一定的不确定性；同时用户对产品有着严格的试验、检验要求，单个订单的执行周期可能较长，也可能存在突发订单增加、订单延迟甚至订单取消的情况，从而使子公司出现业绩同比大幅波动的风险。</w:t>
      </w:r>
    </w:p>
    <w:p w:rsidR="00FE3ECA" w:rsidRDefault="00FE3ECA" w:rsidP="00FE3ECA">
      <w:pPr>
        <w:pStyle w:val="a3"/>
        <w:spacing w:before="0" w:beforeAutospacing="0" w:after="0" w:afterAutospacing="0" w:line="560" w:lineRule="exact"/>
        <w:ind w:firstLine="570"/>
        <w:jc w:val="both"/>
        <w:rPr>
          <w:rFonts w:ascii="仿宋" w:eastAsia="仿宋" w:hAnsi="仿宋"/>
          <w:color w:val="000000" w:themeColor="text1"/>
          <w:sz w:val="28"/>
          <w:szCs w:val="28"/>
        </w:rPr>
      </w:pPr>
      <w:r w:rsidRPr="009A14ED">
        <w:rPr>
          <w:rFonts w:ascii="仿宋" w:eastAsia="仿宋" w:hAnsi="仿宋" w:hint="eastAsia"/>
          <w:b/>
          <w:color w:val="000000" w:themeColor="text1"/>
          <w:sz w:val="28"/>
          <w:szCs w:val="28"/>
        </w:rPr>
        <w:lastRenderedPageBreak/>
        <w:t>应对措施</w:t>
      </w:r>
      <w:r w:rsidRPr="009A14ED">
        <w:rPr>
          <w:rFonts w:ascii="仿宋" w:eastAsia="仿宋" w:hAnsi="仿宋"/>
          <w:b/>
          <w:color w:val="000000" w:themeColor="text1"/>
          <w:sz w:val="28"/>
          <w:szCs w:val="28"/>
        </w:rPr>
        <w:t>：</w:t>
      </w:r>
      <w:r w:rsidRPr="009A14ED">
        <w:rPr>
          <w:rFonts w:ascii="仿宋" w:eastAsia="仿宋" w:hAnsi="仿宋" w:hint="eastAsia"/>
          <w:color w:val="000000" w:themeColor="text1"/>
          <w:sz w:val="28"/>
          <w:szCs w:val="28"/>
        </w:rPr>
        <w:t>紧跟军委装备发展的政策变化及部署，紧随部队装备的更新换代和产品升级，继续稳定与主要客户的良好业务关系，依靠产品竞争优势，切入重要武器准备平台及重点型号产品；通过</w:t>
      </w:r>
      <w:r w:rsidR="00167391" w:rsidRPr="009A14ED">
        <w:rPr>
          <w:rFonts w:ascii="仿宋" w:eastAsia="仿宋" w:hAnsi="仿宋" w:hint="eastAsia"/>
          <w:color w:val="000000" w:themeColor="text1"/>
          <w:sz w:val="28"/>
          <w:szCs w:val="28"/>
        </w:rPr>
        <w:t>优良的</w:t>
      </w:r>
      <w:r w:rsidRPr="009A14ED">
        <w:rPr>
          <w:rFonts w:ascii="仿宋" w:eastAsia="仿宋" w:hAnsi="仿宋" w:hint="eastAsia"/>
          <w:color w:val="000000" w:themeColor="text1"/>
          <w:sz w:val="28"/>
          <w:szCs w:val="28"/>
        </w:rPr>
        <w:t>产品及</w:t>
      </w:r>
      <w:r w:rsidR="00167391" w:rsidRPr="009A14ED">
        <w:rPr>
          <w:rFonts w:ascii="仿宋" w:eastAsia="仿宋" w:hAnsi="仿宋" w:hint="eastAsia"/>
          <w:color w:val="000000" w:themeColor="text1"/>
          <w:sz w:val="28"/>
          <w:szCs w:val="28"/>
        </w:rPr>
        <w:t>优质</w:t>
      </w:r>
      <w:r w:rsidR="00167391" w:rsidRPr="009A14ED">
        <w:rPr>
          <w:rFonts w:ascii="仿宋" w:eastAsia="仿宋" w:hAnsi="仿宋"/>
          <w:color w:val="000000" w:themeColor="text1"/>
          <w:sz w:val="28"/>
          <w:szCs w:val="28"/>
        </w:rPr>
        <w:t>的</w:t>
      </w:r>
      <w:r w:rsidRPr="009A14ED">
        <w:rPr>
          <w:rFonts w:ascii="仿宋" w:eastAsia="仿宋" w:hAnsi="仿宋" w:hint="eastAsia"/>
          <w:color w:val="000000" w:themeColor="text1"/>
          <w:sz w:val="28"/>
          <w:szCs w:val="28"/>
        </w:rPr>
        <w:t>服务，提高客户满意度，提升客户粘性；同时不断加强客户积累，积极拓展新的客户来降低对现有主要客户的依存度；并适时切入相应民品领域，</w:t>
      </w:r>
      <w:r w:rsidR="00167391" w:rsidRPr="009A14ED">
        <w:rPr>
          <w:rFonts w:ascii="仿宋" w:eastAsia="仿宋" w:hAnsi="仿宋" w:hint="eastAsia"/>
          <w:color w:val="000000" w:themeColor="text1"/>
          <w:sz w:val="28"/>
          <w:szCs w:val="28"/>
        </w:rPr>
        <w:t>丰富</w:t>
      </w:r>
      <w:r w:rsidR="00167391" w:rsidRPr="009A14ED">
        <w:rPr>
          <w:rFonts w:ascii="仿宋" w:eastAsia="仿宋" w:hAnsi="仿宋"/>
          <w:color w:val="000000" w:themeColor="text1"/>
          <w:sz w:val="28"/>
          <w:szCs w:val="28"/>
        </w:rPr>
        <w:t>产品线，</w:t>
      </w:r>
      <w:r w:rsidRPr="009A14ED">
        <w:rPr>
          <w:rFonts w:ascii="仿宋" w:eastAsia="仿宋" w:hAnsi="仿宋" w:hint="eastAsia"/>
          <w:color w:val="000000" w:themeColor="text1"/>
          <w:sz w:val="28"/>
          <w:szCs w:val="28"/>
        </w:rPr>
        <w:t>提升整体抗风险能力。</w:t>
      </w:r>
    </w:p>
    <w:p w:rsidR="00FE3ECA" w:rsidRPr="00980BC4" w:rsidRDefault="00076208" w:rsidP="00FE3ECA">
      <w:pPr>
        <w:pStyle w:val="a3"/>
        <w:spacing w:before="0" w:beforeAutospacing="0" w:after="0" w:afterAutospacing="0" w:line="560" w:lineRule="exact"/>
        <w:ind w:firstLine="562"/>
        <w:jc w:val="both"/>
        <w:rPr>
          <w:color w:val="000000" w:themeColor="text1"/>
        </w:rPr>
      </w:pPr>
      <w:r>
        <w:rPr>
          <w:rStyle w:val="a4"/>
          <w:rFonts w:ascii="仿宋" w:eastAsia="仿宋" w:hAnsi="仿宋" w:hint="eastAsia"/>
          <w:color w:val="000000" w:themeColor="text1"/>
          <w:sz w:val="28"/>
          <w:szCs w:val="28"/>
        </w:rPr>
        <w:t>2、</w:t>
      </w:r>
      <w:r w:rsidR="00FE3ECA" w:rsidRPr="00980BC4">
        <w:rPr>
          <w:rStyle w:val="a4"/>
          <w:rFonts w:ascii="仿宋" w:eastAsia="仿宋" w:hAnsi="仿宋" w:hint="eastAsia"/>
          <w:color w:val="000000" w:themeColor="text1"/>
          <w:sz w:val="28"/>
          <w:szCs w:val="28"/>
        </w:rPr>
        <w:t>经营管理风险</w:t>
      </w:r>
    </w:p>
    <w:p w:rsidR="00FE3ECA" w:rsidRDefault="00FE3ECA" w:rsidP="00FE3ECA">
      <w:pPr>
        <w:pStyle w:val="a3"/>
        <w:spacing w:before="0" w:beforeAutospacing="0" w:after="0" w:afterAutospacing="0" w:line="560" w:lineRule="exact"/>
        <w:ind w:firstLine="560"/>
        <w:jc w:val="both"/>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内生性增长和外延式扩张并存的发展模式是公司做大做强的必经之路。随着经营规模的扩大，参控股企业的增加，对公司战略规划、管理融合、内部控制、资金统筹等都提出了更高的要求，公司运营管理难度不断提升。若不能相应提升应变能力和管理水平，实现科学、有效管控，未来的发展可能会受到限制。</w:t>
      </w:r>
    </w:p>
    <w:p w:rsidR="00FE3ECA" w:rsidRDefault="00FE3ECA" w:rsidP="00FE3ECA">
      <w:pPr>
        <w:pStyle w:val="a3"/>
        <w:spacing w:before="0" w:beforeAutospacing="0" w:after="0" w:afterAutospacing="0" w:line="560" w:lineRule="exact"/>
        <w:ind w:firstLine="570"/>
        <w:jc w:val="both"/>
        <w:rPr>
          <w:rFonts w:ascii="仿宋" w:eastAsia="仿宋" w:hAnsi="仿宋"/>
          <w:color w:val="000000" w:themeColor="text1"/>
          <w:sz w:val="28"/>
          <w:szCs w:val="28"/>
        </w:rPr>
      </w:pPr>
      <w:r w:rsidRPr="009A14ED">
        <w:rPr>
          <w:rFonts w:ascii="仿宋" w:eastAsia="仿宋" w:hAnsi="仿宋" w:hint="eastAsia"/>
          <w:b/>
          <w:color w:val="000000" w:themeColor="text1"/>
          <w:sz w:val="28"/>
          <w:szCs w:val="28"/>
        </w:rPr>
        <w:t>应对措施</w:t>
      </w:r>
      <w:r w:rsidRPr="009A14ED">
        <w:rPr>
          <w:rFonts w:ascii="仿宋" w:eastAsia="仿宋" w:hAnsi="仿宋"/>
          <w:b/>
          <w:color w:val="000000" w:themeColor="text1"/>
          <w:sz w:val="28"/>
          <w:szCs w:val="28"/>
        </w:rPr>
        <w:t>：</w:t>
      </w:r>
      <w:r w:rsidRPr="009A14ED">
        <w:rPr>
          <w:rFonts w:ascii="仿宋" w:eastAsia="仿宋" w:hAnsi="仿宋" w:hint="eastAsia"/>
          <w:color w:val="000000" w:themeColor="text1"/>
          <w:sz w:val="28"/>
          <w:szCs w:val="28"/>
        </w:rPr>
        <w:t>公司将一方面利用自身资本市场平台的优势与资源，协助子公司获取信息、推进项目</w:t>
      </w:r>
      <w:r w:rsidR="00A2603C" w:rsidRPr="009A14ED">
        <w:rPr>
          <w:rFonts w:ascii="仿宋" w:eastAsia="仿宋" w:hAnsi="仿宋" w:hint="eastAsia"/>
          <w:color w:val="000000" w:themeColor="text1"/>
          <w:sz w:val="28"/>
          <w:szCs w:val="28"/>
        </w:rPr>
        <w:t>实施</w:t>
      </w:r>
      <w:r w:rsidRPr="009A14ED">
        <w:rPr>
          <w:rFonts w:ascii="仿宋" w:eastAsia="仿宋" w:hAnsi="仿宋" w:hint="eastAsia"/>
          <w:color w:val="000000" w:themeColor="text1"/>
          <w:sz w:val="28"/>
          <w:szCs w:val="28"/>
        </w:rPr>
        <w:t>、拓展客户</w:t>
      </w:r>
      <w:r w:rsidR="00A2603C" w:rsidRPr="009A14ED">
        <w:rPr>
          <w:rFonts w:ascii="仿宋" w:eastAsia="仿宋" w:hAnsi="仿宋" w:hint="eastAsia"/>
          <w:color w:val="000000" w:themeColor="text1"/>
          <w:sz w:val="28"/>
          <w:szCs w:val="28"/>
        </w:rPr>
        <w:t>渠道</w:t>
      </w:r>
      <w:r w:rsidRPr="009A14ED">
        <w:rPr>
          <w:rFonts w:ascii="仿宋" w:eastAsia="仿宋" w:hAnsi="仿宋" w:hint="eastAsia"/>
          <w:color w:val="000000" w:themeColor="text1"/>
          <w:sz w:val="28"/>
          <w:szCs w:val="28"/>
        </w:rPr>
        <w:t>；另一方面要求子公司加强与高校、科研院所的交流与合作，不断完善技术研发体系，增强自主创新能力，紧跟市场技术趋势，及时掌握客户需求，通过高技术含量的优质产品与服务，来保持经营效益的稳定增长。</w:t>
      </w:r>
    </w:p>
    <w:p w:rsidR="00FE3ECA" w:rsidRPr="00980BC4" w:rsidRDefault="00A2603C" w:rsidP="00FE3ECA">
      <w:pPr>
        <w:pStyle w:val="a3"/>
        <w:spacing w:before="0" w:beforeAutospacing="0" w:after="0" w:afterAutospacing="0" w:line="560" w:lineRule="exact"/>
        <w:ind w:firstLine="562"/>
        <w:jc w:val="both"/>
        <w:rPr>
          <w:color w:val="000000" w:themeColor="text1"/>
        </w:rPr>
      </w:pPr>
      <w:r>
        <w:rPr>
          <w:rStyle w:val="a4"/>
          <w:rFonts w:ascii="仿宋" w:eastAsia="仿宋" w:hAnsi="仿宋"/>
          <w:color w:val="000000" w:themeColor="text1"/>
          <w:sz w:val="28"/>
          <w:szCs w:val="28"/>
        </w:rPr>
        <w:t>3</w:t>
      </w:r>
      <w:r w:rsidR="00076208">
        <w:rPr>
          <w:rStyle w:val="a4"/>
          <w:rFonts w:ascii="仿宋" w:eastAsia="仿宋" w:hAnsi="仿宋" w:hint="eastAsia"/>
          <w:color w:val="000000" w:themeColor="text1"/>
          <w:sz w:val="28"/>
          <w:szCs w:val="28"/>
        </w:rPr>
        <w:t>、</w:t>
      </w:r>
      <w:r w:rsidR="00FE3ECA" w:rsidRPr="00980BC4">
        <w:rPr>
          <w:rStyle w:val="a4"/>
          <w:rFonts w:ascii="仿宋" w:eastAsia="仿宋" w:hAnsi="仿宋" w:hint="eastAsia"/>
          <w:color w:val="000000" w:themeColor="text1"/>
          <w:sz w:val="28"/>
          <w:szCs w:val="28"/>
        </w:rPr>
        <w:t>核心技术人员流失的风险</w:t>
      </w:r>
    </w:p>
    <w:p w:rsidR="00FE3ECA" w:rsidRDefault="00FE3ECA" w:rsidP="00FE3ECA">
      <w:pPr>
        <w:pStyle w:val="a3"/>
        <w:spacing w:before="0" w:beforeAutospacing="0" w:after="0" w:afterAutospacing="0" w:line="560" w:lineRule="exact"/>
        <w:ind w:firstLine="560"/>
        <w:jc w:val="both"/>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公司涉及的军品业务为技术密集型行业，所拥有的技术成果及技术人才是其重要核心竞争力之一。目前公司拥有一支水平较高的技术研发团队，具备良好的研发实力和技术优势，是未来业务持续发展的重要资源。但随着行业竞争的加剧，不排除未来有核心技术人员流失的风险。</w:t>
      </w:r>
    </w:p>
    <w:p w:rsidR="00FE3ECA" w:rsidRPr="009A14ED" w:rsidRDefault="00FE3ECA" w:rsidP="00FE3ECA">
      <w:pPr>
        <w:pStyle w:val="a3"/>
        <w:spacing w:before="0" w:beforeAutospacing="0" w:after="0" w:afterAutospacing="0" w:line="560" w:lineRule="exact"/>
        <w:ind w:firstLine="570"/>
        <w:jc w:val="both"/>
        <w:rPr>
          <w:rFonts w:ascii="仿宋" w:eastAsia="仿宋" w:hAnsi="仿宋"/>
          <w:color w:val="000000" w:themeColor="text1"/>
          <w:sz w:val="28"/>
          <w:szCs w:val="28"/>
        </w:rPr>
      </w:pPr>
      <w:r w:rsidRPr="009A14ED">
        <w:rPr>
          <w:rFonts w:ascii="仿宋" w:eastAsia="仿宋" w:hAnsi="仿宋" w:hint="eastAsia"/>
          <w:b/>
          <w:color w:val="000000" w:themeColor="text1"/>
          <w:sz w:val="28"/>
          <w:szCs w:val="28"/>
        </w:rPr>
        <w:t>应对措施</w:t>
      </w:r>
      <w:r w:rsidRPr="009A14ED">
        <w:rPr>
          <w:rFonts w:ascii="仿宋" w:eastAsia="仿宋" w:hAnsi="仿宋"/>
          <w:b/>
          <w:color w:val="000000" w:themeColor="text1"/>
          <w:sz w:val="28"/>
          <w:szCs w:val="28"/>
        </w:rPr>
        <w:t>：</w:t>
      </w:r>
      <w:r w:rsidRPr="009A14ED">
        <w:rPr>
          <w:rFonts w:ascii="仿宋" w:eastAsia="仿宋" w:hAnsi="仿宋" w:hint="eastAsia"/>
          <w:color w:val="000000" w:themeColor="text1"/>
          <w:sz w:val="28"/>
          <w:szCs w:val="28"/>
        </w:rPr>
        <w:t>优化人才引进与培养策略，完善人才梯队的搭建，推动人才发展模式转型升级；通过实施股权激励等措施，不断丰富</w:t>
      </w:r>
      <w:r w:rsidR="00A2603C" w:rsidRPr="009A14ED">
        <w:rPr>
          <w:rFonts w:ascii="仿宋" w:eastAsia="仿宋" w:hAnsi="仿宋" w:hint="eastAsia"/>
          <w:color w:val="000000" w:themeColor="text1"/>
          <w:sz w:val="28"/>
          <w:szCs w:val="28"/>
        </w:rPr>
        <w:t>薪酬</w:t>
      </w:r>
      <w:r w:rsidRPr="009A14ED">
        <w:rPr>
          <w:rFonts w:ascii="仿宋" w:eastAsia="仿宋" w:hAnsi="仿宋" w:hint="eastAsia"/>
          <w:color w:val="000000" w:themeColor="text1"/>
          <w:sz w:val="28"/>
          <w:szCs w:val="28"/>
        </w:rPr>
        <w:t>激励体系，提</w:t>
      </w:r>
      <w:r w:rsidRPr="009A14ED">
        <w:rPr>
          <w:rFonts w:ascii="仿宋" w:eastAsia="仿宋" w:hAnsi="仿宋" w:hint="eastAsia"/>
          <w:color w:val="000000" w:themeColor="text1"/>
          <w:sz w:val="28"/>
          <w:szCs w:val="28"/>
        </w:rPr>
        <w:lastRenderedPageBreak/>
        <w:t>升员工的企业归属感与忠诚度；同时</w:t>
      </w:r>
      <w:r w:rsidR="00A2603C" w:rsidRPr="009A14ED">
        <w:rPr>
          <w:rFonts w:ascii="仿宋" w:eastAsia="仿宋" w:hAnsi="仿宋" w:hint="eastAsia"/>
          <w:color w:val="000000" w:themeColor="text1"/>
          <w:sz w:val="28"/>
          <w:szCs w:val="28"/>
        </w:rPr>
        <w:t>完善</w:t>
      </w:r>
      <w:r w:rsidRPr="009A14ED">
        <w:rPr>
          <w:rFonts w:ascii="仿宋" w:eastAsia="仿宋" w:hAnsi="仿宋" w:hint="eastAsia"/>
          <w:color w:val="000000" w:themeColor="text1"/>
          <w:sz w:val="28"/>
          <w:szCs w:val="28"/>
        </w:rPr>
        <w:t>企业保密体系的建设，加强对核心技术、关键信息的管理和保护，降低核心人才流失</w:t>
      </w:r>
      <w:r w:rsidR="00A2603C" w:rsidRPr="009A14ED">
        <w:rPr>
          <w:rFonts w:ascii="仿宋" w:eastAsia="仿宋" w:hAnsi="仿宋" w:hint="eastAsia"/>
          <w:color w:val="000000" w:themeColor="text1"/>
          <w:sz w:val="28"/>
          <w:szCs w:val="28"/>
        </w:rPr>
        <w:t>带来</w:t>
      </w:r>
      <w:r w:rsidRPr="009A14ED">
        <w:rPr>
          <w:rFonts w:ascii="仿宋" w:eastAsia="仿宋" w:hAnsi="仿宋" w:hint="eastAsia"/>
          <w:color w:val="000000" w:themeColor="text1"/>
          <w:sz w:val="28"/>
          <w:szCs w:val="28"/>
        </w:rPr>
        <w:t>的风险。</w:t>
      </w:r>
    </w:p>
    <w:p w:rsidR="00FE3ECA" w:rsidRPr="009A14ED" w:rsidRDefault="00A2603C" w:rsidP="00FE3ECA">
      <w:pPr>
        <w:pStyle w:val="a3"/>
        <w:spacing w:before="0" w:beforeAutospacing="0" w:after="0" w:afterAutospacing="0" w:line="560" w:lineRule="exact"/>
        <w:ind w:firstLine="562"/>
        <w:jc w:val="both"/>
        <w:rPr>
          <w:color w:val="000000" w:themeColor="text1"/>
        </w:rPr>
      </w:pPr>
      <w:r w:rsidRPr="009A14ED">
        <w:rPr>
          <w:rStyle w:val="a4"/>
          <w:rFonts w:ascii="仿宋" w:eastAsia="仿宋" w:hAnsi="仿宋"/>
          <w:color w:val="000000" w:themeColor="text1"/>
          <w:sz w:val="28"/>
          <w:szCs w:val="28"/>
        </w:rPr>
        <w:t>4</w:t>
      </w:r>
      <w:r w:rsidR="00076208" w:rsidRPr="009A14ED">
        <w:rPr>
          <w:rStyle w:val="a4"/>
          <w:rFonts w:ascii="仿宋" w:eastAsia="仿宋" w:hAnsi="仿宋" w:hint="eastAsia"/>
          <w:color w:val="000000" w:themeColor="text1"/>
          <w:sz w:val="28"/>
          <w:szCs w:val="28"/>
        </w:rPr>
        <w:t>、</w:t>
      </w:r>
      <w:r w:rsidR="00FE3ECA" w:rsidRPr="009A14ED">
        <w:rPr>
          <w:rStyle w:val="a4"/>
          <w:rFonts w:ascii="仿宋" w:eastAsia="仿宋" w:hAnsi="仿宋" w:hint="eastAsia"/>
          <w:color w:val="000000" w:themeColor="text1"/>
          <w:sz w:val="28"/>
          <w:szCs w:val="28"/>
        </w:rPr>
        <w:t>商誉减值的风险</w:t>
      </w:r>
    </w:p>
    <w:p w:rsidR="00076208" w:rsidRPr="009A14ED" w:rsidRDefault="00FE3ECA" w:rsidP="00076208">
      <w:pPr>
        <w:pStyle w:val="a3"/>
        <w:spacing w:before="0" w:beforeAutospacing="0" w:after="0" w:afterAutospacing="0" w:line="560" w:lineRule="exact"/>
        <w:ind w:firstLine="560"/>
        <w:jc w:val="both"/>
        <w:rPr>
          <w:rFonts w:ascii="仿宋" w:eastAsia="仿宋" w:hAnsi="仿宋"/>
          <w:color w:val="000000" w:themeColor="text1"/>
          <w:sz w:val="28"/>
          <w:szCs w:val="28"/>
        </w:rPr>
      </w:pPr>
      <w:r w:rsidRPr="009A14ED">
        <w:rPr>
          <w:rFonts w:ascii="仿宋" w:eastAsia="仿宋" w:hAnsi="仿宋" w:hint="eastAsia"/>
          <w:color w:val="000000" w:themeColor="text1"/>
          <w:sz w:val="28"/>
          <w:szCs w:val="28"/>
        </w:rPr>
        <w:t>公司</w:t>
      </w:r>
      <w:r w:rsidR="00A2603C" w:rsidRPr="009A14ED">
        <w:rPr>
          <w:rFonts w:ascii="仿宋" w:eastAsia="仿宋" w:hAnsi="仿宋" w:hint="eastAsia"/>
          <w:color w:val="000000" w:themeColor="text1"/>
          <w:sz w:val="28"/>
          <w:szCs w:val="28"/>
        </w:rPr>
        <w:t>在</w:t>
      </w:r>
      <w:r w:rsidRPr="009A14ED">
        <w:rPr>
          <w:rFonts w:ascii="仿宋" w:eastAsia="仿宋" w:hAnsi="仿宋" w:hint="eastAsia"/>
          <w:color w:val="000000" w:themeColor="text1"/>
          <w:sz w:val="28"/>
          <w:szCs w:val="28"/>
        </w:rPr>
        <w:t>收购沈阳含能、升华电源及沈阳非晶的股权进行估值时，对收购对象未来业绩的持续增长作了预测，但由于经济规律的影响，同时若遇宏观经济波动、不可抗力、市场竞争形势变化、行业增速下降等冲击因素，存在经营业绩无法持续增长带来</w:t>
      </w:r>
      <w:r w:rsidR="00A2603C" w:rsidRPr="009A14ED">
        <w:rPr>
          <w:rFonts w:ascii="仿宋" w:eastAsia="仿宋" w:hAnsi="仿宋" w:hint="eastAsia"/>
          <w:color w:val="000000" w:themeColor="text1"/>
          <w:sz w:val="28"/>
          <w:szCs w:val="28"/>
        </w:rPr>
        <w:t>的商誉减值</w:t>
      </w:r>
      <w:r w:rsidRPr="009A14ED">
        <w:rPr>
          <w:rFonts w:ascii="仿宋" w:eastAsia="仿宋" w:hAnsi="仿宋" w:hint="eastAsia"/>
          <w:color w:val="000000" w:themeColor="text1"/>
          <w:sz w:val="28"/>
          <w:szCs w:val="28"/>
        </w:rPr>
        <w:t>风险。</w:t>
      </w:r>
    </w:p>
    <w:p w:rsidR="008A1168" w:rsidRDefault="00FE3ECA" w:rsidP="00076208">
      <w:pPr>
        <w:pStyle w:val="a3"/>
        <w:spacing w:before="0" w:beforeAutospacing="0" w:after="0" w:afterAutospacing="0" w:line="560" w:lineRule="exact"/>
        <w:ind w:firstLine="560"/>
        <w:jc w:val="both"/>
        <w:rPr>
          <w:rFonts w:ascii="仿宋" w:eastAsia="仿宋" w:hAnsi="仿宋"/>
          <w:color w:val="000000" w:themeColor="text1"/>
          <w:sz w:val="28"/>
          <w:szCs w:val="28"/>
        </w:rPr>
      </w:pPr>
      <w:r w:rsidRPr="009A14ED">
        <w:rPr>
          <w:rFonts w:ascii="仿宋" w:eastAsia="仿宋" w:hAnsi="仿宋" w:hint="eastAsia"/>
          <w:b/>
          <w:color w:val="000000" w:themeColor="text1"/>
          <w:sz w:val="28"/>
          <w:szCs w:val="28"/>
        </w:rPr>
        <w:t>应对措施</w:t>
      </w:r>
      <w:r w:rsidRPr="009A14ED">
        <w:rPr>
          <w:rFonts w:ascii="仿宋" w:eastAsia="仿宋" w:hAnsi="仿宋"/>
          <w:b/>
          <w:color w:val="000000" w:themeColor="text1"/>
          <w:sz w:val="28"/>
          <w:szCs w:val="28"/>
        </w:rPr>
        <w:t>：</w:t>
      </w:r>
      <w:r w:rsidRPr="009A14ED">
        <w:rPr>
          <w:rFonts w:ascii="仿宋" w:eastAsia="仿宋" w:hAnsi="仿宋" w:hint="eastAsia"/>
          <w:color w:val="000000" w:themeColor="text1"/>
          <w:sz w:val="28"/>
          <w:szCs w:val="28"/>
        </w:rPr>
        <w:t>公司将一方面要求子公司加强与高校、科研院所的交流与合作，不断完善技术研发体系，增强自主创新能力，紧跟市场技术趋势，及时掌握客户需求，通过高技术含量的优质产品及服务，来保持经营效益的稳定增长；另一方面将充分发挥上市公司的资本平台及信息资源等优势，大力协助子公司做好市场拓展</w:t>
      </w:r>
      <w:r w:rsidR="00A2603C" w:rsidRPr="009A14ED">
        <w:rPr>
          <w:rFonts w:ascii="仿宋" w:eastAsia="仿宋" w:hAnsi="仿宋" w:hint="eastAsia"/>
          <w:color w:val="000000" w:themeColor="text1"/>
          <w:sz w:val="28"/>
          <w:szCs w:val="28"/>
        </w:rPr>
        <w:t>，</w:t>
      </w:r>
      <w:r w:rsidR="00A2603C" w:rsidRPr="009A14ED">
        <w:rPr>
          <w:rFonts w:ascii="仿宋" w:eastAsia="仿宋" w:hAnsi="仿宋"/>
          <w:color w:val="000000" w:themeColor="text1"/>
          <w:sz w:val="28"/>
          <w:szCs w:val="28"/>
        </w:rPr>
        <w:t>提升竞争能力</w:t>
      </w:r>
      <w:r w:rsidRPr="009A14ED">
        <w:rPr>
          <w:rFonts w:ascii="仿宋" w:eastAsia="仿宋" w:hAnsi="仿宋" w:hint="eastAsia"/>
          <w:color w:val="000000" w:themeColor="text1"/>
          <w:sz w:val="28"/>
          <w:szCs w:val="28"/>
        </w:rPr>
        <w:t>。</w:t>
      </w:r>
    </w:p>
    <w:p w:rsidR="008A1168" w:rsidRDefault="008A1168">
      <w:pPr>
        <w:widowControl/>
        <w:rPr>
          <w:rFonts w:ascii="仿宋" w:eastAsia="仿宋" w:hAnsi="仿宋" w:cs="宋体"/>
          <w:color w:val="000000" w:themeColor="text1"/>
          <w:kern w:val="0"/>
          <w:sz w:val="28"/>
          <w:szCs w:val="28"/>
        </w:rPr>
      </w:pPr>
      <w:r>
        <w:rPr>
          <w:rFonts w:ascii="仿宋" w:eastAsia="仿宋" w:hAnsi="仿宋"/>
          <w:color w:val="000000" w:themeColor="text1"/>
          <w:sz w:val="28"/>
          <w:szCs w:val="28"/>
        </w:rPr>
        <w:br w:type="page"/>
      </w:r>
    </w:p>
    <w:p w:rsidR="00B13593" w:rsidRDefault="00B13F8C" w:rsidP="00FE3ECA">
      <w:pPr>
        <w:pStyle w:val="headingh1"/>
        <w:spacing w:before="340" w:after="330" w:line="773" w:lineRule="exact"/>
        <w:jc w:val="center"/>
        <w:rPr>
          <w:rFonts w:ascii="宋体" w:eastAsia="宋体" w:hAnsi="宋体" w:cs="宋体"/>
          <w:b/>
          <w:bCs/>
          <w:sz w:val="32"/>
          <w:szCs w:val="32"/>
        </w:rPr>
      </w:pPr>
      <w:r>
        <w:rPr>
          <w:rFonts w:ascii="宋体" w:eastAsia="宋体" w:hAnsi="宋体" w:cs="宋体"/>
          <w:b/>
          <w:bCs/>
          <w:sz w:val="32"/>
          <w:szCs w:val="32"/>
        </w:rPr>
        <w:lastRenderedPageBreak/>
        <w:t>第四节 公司治理</w:t>
      </w:r>
      <w:bookmarkEnd w:id="38"/>
    </w:p>
    <w:p w:rsidR="00B13593" w:rsidRPr="008D7FE1"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39" w:name="_Toc988927"/>
      <w:r w:rsidRPr="008D7FE1">
        <w:rPr>
          <w:b/>
          <w:bCs/>
          <w:sz w:val="28"/>
          <w:szCs w:val="28"/>
        </w:rPr>
        <w:t>一、报告期内召开的年度股东大会和临时股东大会的有关情况</w:t>
      </w:r>
      <w:bookmarkEnd w:id="39"/>
    </w:p>
    <w:p w:rsidR="00B13593" w:rsidRPr="008D7FE1" w:rsidRDefault="00B13F8C" w:rsidP="00054B06">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bookmarkStart w:id="40" w:name="_Toc988928"/>
      <w:r w:rsidRPr="008D7FE1">
        <w:rPr>
          <w:rFonts w:ascii="仿宋" w:eastAsia="仿宋" w:hAnsi="仿宋"/>
          <w:b/>
          <w:color w:val="000000"/>
          <w:sz w:val="28"/>
          <w:szCs w:val="28"/>
        </w:rPr>
        <w:t>1、本报告期股东大会情况</w:t>
      </w:r>
      <w:bookmarkEnd w:id="40"/>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2"/>
        <w:gridCol w:w="1134"/>
        <w:gridCol w:w="993"/>
        <w:gridCol w:w="1417"/>
        <w:gridCol w:w="1276"/>
        <w:gridCol w:w="3577"/>
      </w:tblGrid>
      <w:tr w:rsidR="00B13593" w:rsidTr="002D7E8F">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会议届次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会议类型</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召开日期</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披露日期</w:t>
            </w:r>
          </w:p>
        </w:tc>
        <w:tc>
          <w:tcPr>
            <w:tcW w:w="35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会议决议</w:t>
            </w:r>
          </w:p>
        </w:tc>
      </w:tr>
      <w:tr w:rsidR="00B13593" w:rsidRPr="002D7E8F" w:rsidTr="002D7E8F">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Pr="009A14ED" w:rsidRDefault="00A2603C" w:rsidP="00054B06">
            <w:pPr>
              <w:spacing w:line="320" w:lineRule="exact"/>
              <w:rPr>
                <w:rFonts w:ascii="宋体" w:eastAsia="宋体" w:hAnsi="宋体" w:cs="宋体"/>
                <w:sz w:val="18"/>
                <w:szCs w:val="18"/>
              </w:rPr>
            </w:pPr>
            <w:r w:rsidRPr="009A14ED">
              <w:rPr>
                <w:rFonts w:ascii="宋体" w:eastAsia="宋体" w:hAnsi="宋体" w:cs="宋体" w:hint="eastAsia"/>
                <w:sz w:val="18"/>
                <w:szCs w:val="18"/>
              </w:rPr>
              <w:t>2023年</w:t>
            </w:r>
            <w:r w:rsidRPr="009A14ED">
              <w:rPr>
                <w:rFonts w:ascii="宋体" w:eastAsia="宋体" w:hAnsi="宋体" w:cs="宋体"/>
                <w:sz w:val="18"/>
                <w:szCs w:val="18"/>
              </w:rPr>
              <w:t>第一次临时股东大会</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Pr="009A14ED" w:rsidRDefault="00A2603C" w:rsidP="00054B06">
            <w:pPr>
              <w:spacing w:line="320" w:lineRule="exact"/>
              <w:rPr>
                <w:rFonts w:ascii="宋体" w:eastAsia="宋体" w:hAnsi="宋体" w:cs="宋体"/>
                <w:sz w:val="18"/>
                <w:szCs w:val="18"/>
              </w:rPr>
            </w:pPr>
            <w:r w:rsidRPr="009A14ED">
              <w:rPr>
                <w:rFonts w:ascii="宋体" w:eastAsia="宋体" w:hAnsi="宋体" w:cs="宋体" w:hint="eastAsia"/>
                <w:sz w:val="18"/>
                <w:szCs w:val="18"/>
              </w:rPr>
              <w:t>临时</w:t>
            </w:r>
            <w:r w:rsidRPr="009A14ED">
              <w:rPr>
                <w:rFonts w:ascii="宋体" w:eastAsia="宋体" w:hAnsi="宋体" w:cs="宋体"/>
                <w:sz w:val="18"/>
                <w:szCs w:val="18"/>
              </w:rPr>
              <w:t>股东大会</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Pr="009A14ED" w:rsidRDefault="00A2603C" w:rsidP="00054B06">
            <w:pPr>
              <w:spacing w:line="320" w:lineRule="exact"/>
              <w:jc w:val="right"/>
              <w:rPr>
                <w:rFonts w:ascii="宋体" w:eastAsia="宋体" w:hAnsi="宋体" w:cs="宋体"/>
                <w:sz w:val="18"/>
                <w:szCs w:val="18"/>
              </w:rPr>
            </w:pPr>
            <w:r w:rsidRPr="009A14ED">
              <w:rPr>
                <w:rFonts w:ascii="宋体" w:eastAsia="宋体" w:hAnsi="宋体" w:cs="宋体" w:hint="eastAsia"/>
                <w:sz w:val="18"/>
                <w:szCs w:val="18"/>
              </w:rPr>
              <w:t>35.72%</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Pr="009A14ED" w:rsidRDefault="00A2603C" w:rsidP="00054B06">
            <w:pPr>
              <w:spacing w:line="320" w:lineRule="exact"/>
              <w:rPr>
                <w:rFonts w:ascii="宋体" w:eastAsia="宋体" w:hAnsi="宋体" w:cs="宋体"/>
                <w:sz w:val="18"/>
                <w:szCs w:val="18"/>
              </w:rPr>
            </w:pPr>
            <w:r w:rsidRPr="009A14ED">
              <w:rPr>
                <w:rFonts w:ascii="宋体" w:eastAsia="宋体" w:hAnsi="宋体" w:cs="宋体" w:hint="eastAsia"/>
                <w:sz w:val="18"/>
                <w:szCs w:val="18"/>
              </w:rPr>
              <w:t>2023年1月17日</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Pr="009A14ED" w:rsidRDefault="00A2603C" w:rsidP="00A2603C">
            <w:pPr>
              <w:spacing w:line="320" w:lineRule="exact"/>
              <w:rPr>
                <w:rFonts w:ascii="宋体" w:eastAsia="宋体" w:hAnsi="宋体" w:cs="宋体"/>
                <w:sz w:val="18"/>
                <w:szCs w:val="18"/>
              </w:rPr>
            </w:pPr>
            <w:r w:rsidRPr="009A14ED">
              <w:rPr>
                <w:rFonts w:ascii="宋体" w:eastAsia="宋体" w:hAnsi="宋体" w:cs="宋体" w:hint="eastAsia"/>
                <w:sz w:val="18"/>
                <w:szCs w:val="18"/>
              </w:rPr>
              <w:t>2023年1月1</w:t>
            </w:r>
            <w:r w:rsidRPr="009A14ED">
              <w:rPr>
                <w:rFonts w:ascii="宋体" w:eastAsia="宋体" w:hAnsi="宋体" w:cs="宋体"/>
                <w:sz w:val="18"/>
                <w:szCs w:val="18"/>
              </w:rPr>
              <w:t>8</w:t>
            </w:r>
            <w:r w:rsidRPr="009A14ED">
              <w:rPr>
                <w:rFonts w:ascii="宋体" w:eastAsia="宋体" w:hAnsi="宋体" w:cs="宋体" w:hint="eastAsia"/>
                <w:sz w:val="18"/>
                <w:szCs w:val="18"/>
              </w:rPr>
              <w:t>日</w:t>
            </w:r>
          </w:p>
        </w:tc>
        <w:tc>
          <w:tcPr>
            <w:tcW w:w="3577" w:type="dxa"/>
            <w:tcBorders>
              <w:top w:val="single" w:sz="2" w:space="0" w:color="auto"/>
              <w:left w:val="single" w:sz="2" w:space="0" w:color="auto"/>
              <w:bottom w:val="single" w:sz="2" w:space="0" w:color="auto"/>
              <w:right w:val="single" w:sz="2" w:space="0" w:color="auto"/>
            </w:tcBorders>
            <w:vAlign w:val="center"/>
          </w:tcPr>
          <w:p w:rsidR="00B13593" w:rsidRPr="009A14ED" w:rsidRDefault="00A2603C" w:rsidP="00054B06">
            <w:pPr>
              <w:spacing w:line="320" w:lineRule="exact"/>
              <w:jc w:val="both"/>
              <w:rPr>
                <w:rFonts w:ascii="宋体" w:eastAsia="宋体" w:hAnsi="宋体" w:cs="宋体"/>
                <w:sz w:val="18"/>
                <w:szCs w:val="18"/>
              </w:rPr>
            </w:pPr>
            <w:r w:rsidRPr="009A14ED">
              <w:rPr>
                <w:rFonts w:ascii="宋体" w:eastAsia="宋体" w:hAnsi="宋体" w:cs="宋体"/>
                <w:sz w:val="18"/>
                <w:szCs w:val="18"/>
              </w:rPr>
              <w:t>以现场记名投票和网络投票相结合的表决方式审议并通过了如下提案：</w:t>
            </w:r>
            <w:r w:rsidRPr="009A14ED">
              <w:rPr>
                <w:rFonts w:ascii="宋体" w:eastAsia="宋体" w:hAnsi="宋体" w:cs="宋体" w:hint="eastAsia"/>
                <w:sz w:val="18"/>
                <w:szCs w:val="18"/>
              </w:rPr>
              <w:t>1、关于拟变更会计师事务所的议案；2、关于回购注销公司</w:t>
            </w:r>
            <w:r w:rsidRPr="009A14ED">
              <w:rPr>
                <w:rFonts w:ascii="宋体" w:eastAsia="宋体" w:hAnsi="宋体" w:cs="宋体"/>
                <w:sz w:val="18"/>
                <w:szCs w:val="18"/>
              </w:rPr>
              <w:t>202</w:t>
            </w:r>
            <w:r w:rsidRPr="009A14ED">
              <w:rPr>
                <w:rFonts w:ascii="宋体" w:eastAsia="宋体" w:hAnsi="宋体" w:cs="宋体" w:hint="eastAsia"/>
                <w:sz w:val="18"/>
                <w:szCs w:val="18"/>
              </w:rPr>
              <w:t>1年限制性股票激励计划部分授予限制性股票的议案</w:t>
            </w:r>
            <w:r w:rsidR="002D7E8F" w:rsidRPr="009A14ED">
              <w:rPr>
                <w:rFonts w:ascii="宋体" w:eastAsia="宋体" w:hAnsi="宋体" w:cs="宋体" w:hint="eastAsia"/>
                <w:sz w:val="18"/>
                <w:szCs w:val="18"/>
              </w:rPr>
              <w:t>。</w:t>
            </w:r>
          </w:p>
        </w:tc>
      </w:tr>
      <w:tr w:rsidR="00A2603C" w:rsidTr="002D7E8F">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A2603C" w:rsidRDefault="00A2603C" w:rsidP="00A2603C">
            <w:pPr>
              <w:spacing w:line="320" w:lineRule="exact"/>
              <w:rPr>
                <w:rFonts w:ascii="宋体" w:eastAsia="宋体" w:hAnsi="宋体" w:cs="宋体"/>
                <w:sz w:val="18"/>
                <w:szCs w:val="18"/>
              </w:rPr>
            </w:pPr>
            <w:r>
              <w:rPr>
                <w:rFonts w:ascii="宋体" w:eastAsia="宋体" w:hAnsi="宋体" w:cs="宋体"/>
                <w:sz w:val="18"/>
                <w:szCs w:val="18"/>
              </w:rPr>
              <w:t>2022年度股东大会</w:t>
            </w:r>
          </w:p>
        </w:tc>
        <w:tc>
          <w:tcPr>
            <w:tcW w:w="1134" w:type="dxa"/>
            <w:tcBorders>
              <w:top w:val="single" w:sz="2" w:space="0" w:color="auto"/>
              <w:left w:val="single" w:sz="2" w:space="0" w:color="auto"/>
              <w:bottom w:val="single" w:sz="2" w:space="0" w:color="auto"/>
              <w:right w:val="single" w:sz="2" w:space="0" w:color="auto"/>
            </w:tcBorders>
            <w:vAlign w:val="center"/>
          </w:tcPr>
          <w:p w:rsidR="00A2603C" w:rsidRDefault="00A2603C" w:rsidP="00A2603C">
            <w:pPr>
              <w:spacing w:line="320" w:lineRule="exact"/>
              <w:rPr>
                <w:rFonts w:ascii="宋体" w:eastAsia="宋体" w:hAnsi="宋体" w:cs="宋体"/>
                <w:sz w:val="18"/>
                <w:szCs w:val="18"/>
              </w:rPr>
            </w:pPr>
            <w:r>
              <w:rPr>
                <w:rFonts w:ascii="宋体" w:eastAsia="宋体" w:hAnsi="宋体" w:cs="宋体"/>
                <w:sz w:val="18"/>
                <w:szCs w:val="18"/>
              </w:rPr>
              <w:t>年度股东大会</w:t>
            </w:r>
          </w:p>
        </w:tc>
        <w:tc>
          <w:tcPr>
            <w:tcW w:w="993" w:type="dxa"/>
            <w:tcBorders>
              <w:top w:val="single" w:sz="2" w:space="0" w:color="auto"/>
              <w:left w:val="single" w:sz="2" w:space="0" w:color="auto"/>
              <w:bottom w:val="single" w:sz="2" w:space="0" w:color="auto"/>
              <w:right w:val="single" w:sz="2" w:space="0" w:color="auto"/>
            </w:tcBorders>
            <w:vAlign w:val="center"/>
          </w:tcPr>
          <w:p w:rsidR="00A2603C" w:rsidRDefault="00A2603C" w:rsidP="00A2603C">
            <w:pPr>
              <w:spacing w:line="320" w:lineRule="exact"/>
              <w:jc w:val="right"/>
              <w:rPr>
                <w:rFonts w:ascii="宋体" w:eastAsia="宋体" w:hAnsi="宋体" w:cs="宋体"/>
                <w:sz w:val="18"/>
                <w:szCs w:val="18"/>
              </w:rPr>
            </w:pPr>
            <w:r>
              <w:rPr>
                <w:rFonts w:ascii="宋体" w:eastAsia="宋体" w:hAnsi="宋体" w:cs="宋体"/>
                <w:sz w:val="18"/>
                <w:szCs w:val="18"/>
              </w:rPr>
              <w:t>35.82%</w:t>
            </w:r>
          </w:p>
        </w:tc>
        <w:tc>
          <w:tcPr>
            <w:tcW w:w="1417" w:type="dxa"/>
            <w:tcBorders>
              <w:top w:val="single" w:sz="2" w:space="0" w:color="auto"/>
              <w:left w:val="single" w:sz="2" w:space="0" w:color="auto"/>
              <w:bottom w:val="single" w:sz="2" w:space="0" w:color="auto"/>
              <w:right w:val="single" w:sz="2" w:space="0" w:color="auto"/>
            </w:tcBorders>
            <w:vAlign w:val="center"/>
          </w:tcPr>
          <w:p w:rsidR="00A2603C" w:rsidRDefault="00A2603C" w:rsidP="00A2603C">
            <w:pPr>
              <w:spacing w:line="320" w:lineRule="exact"/>
              <w:rPr>
                <w:rFonts w:ascii="宋体" w:eastAsia="宋体" w:hAnsi="宋体" w:cs="宋体"/>
                <w:sz w:val="18"/>
                <w:szCs w:val="18"/>
              </w:rPr>
            </w:pPr>
            <w:r>
              <w:rPr>
                <w:rFonts w:ascii="宋体" w:eastAsia="宋体" w:hAnsi="宋体" w:cs="宋体"/>
                <w:sz w:val="18"/>
                <w:szCs w:val="18"/>
              </w:rPr>
              <w:t>2023年06月27日</w:t>
            </w:r>
          </w:p>
        </w:tc>
        <w:tc>
          <w:tcPr>
            <w:tcW w:w="1276" w:type="dxa"/>
            <w:tcBorders>
              <w:top w:val="single" w:sz="2" w:space="0" w:color="auto"/>
              <w:left w:val="single" w:sz="2" w:space="0" w:color="auto"/>
              <w:bottom w:val="single" w:sz="2" w:space="0" w:color="auto"/>
              <w:right w:val="single" w:sz="2" w:space="0" w:color="auto"/>
            </w:tcBorders>
            <w:vAlign w:val="center"/>
          </w:tcPr>
          <w:p w:rsidR="00A2603C" w:rsidRDefault="00A2603C" w:rsidP="00A2603C">
            <w:pPr>
              <w:spacing w:line="320" w:lineRule="exact"/>
              <w:rPr>
                <w:rFonts w:ascii="宋体" w:eastAsia="宋体" w:hAnsi="宋体" w:cs="宋体"/>
                <w:sz w:val="18"/>
                <w:szCs w:val="18"/>
              </w:rPr>
            </w:pPr>
            <w:r>
              <w:rPr>
                <w:rFonts w:ascii="宋体" w:eastAsia="宋体" w:hAnsi="宋体" w:cs="宋体"/>
                <w:sz w:val="18"/>
                <w:szCs w:val="18"/>
              </w:rPr>
              <w:t>2023年06月28日</w:t>
            </w:r>
          </w:p>
        </w:tc>
        <w:tc>
          <w:tcPr>
            <w:tcW w:w="3577" w:type="dxa"/>
            <w:tcBorders>
              <w:top w:val="single" w:sz="2" w:space="0" w:color="auto"/>
              <w:left w:val="single" w:sz="2" w:space="0" w:color="auto"/>
              <w:bottom w:val="single" w:sz="2" w:space="0" w:color="auto"/>
              <w:right w:val="single" w:sz="2" w:space="0" w:color="auto"/>
            </w:tcBorders>
            <w:vAlign w:val="center"/>
          </w:tcPr>
          <w:p w:rsidR="00A2603C" w:rsidRDefault="00A2603C" w:rsidP="00A2603C">
            <w:pPr>
              <w:spacing w:line="320" w:lineRule="exact"/>
              <w:jc w:val="both"/>
              <w:rPr>
                <w:rFonts w:ascii="宋体" w:eastAsia="宋体" w:hAnsi="宋体" w:cs="宋体"/>
                <w:sz w:val="18"/>
                <w:szCs w:val="18"/>
              </w:rPr>
            </w:pPr>
            <w:r>
              <w:rPr>
                <w:rFonts w:ascii="宋体" w:eastAsia="宋体" w:hAnsi="宋体" w:cs="宋体"/>
                <w:sz w:val="18"/>
                <w:szCs w:val="18"/>
              </w:rPr>
              <w:t>以现场记名投票和网络投票相结合的表决方式审议并通过了如下提案：1、2022年度董事会工作报告；2、2022年度监事会工作报告；3、2022年度报告及年度报告摘要；4、2022年度财务报告；5、2022年度利润分配预案；6、公司《未来三年股东回报规划（2023-2025年）》；7、关于续聘公司2023年度审计机构的议案；8、关于修改《公司章程》的议案。</w:t>
            </w:r>
          </w:p>
        </w:tc>
      </w:tr>
    </w:tbl>
    <w:p w:rsidR="00B13593" w:rsidRPr="00BC7035" w:rsidRDefault="00B13F8C" w:rsidP="00054B06">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bookmarkStart w:id="41" w:name="_Toc988929"/>
      <w:r w:rsidRPr="00BC7035">
        <w:rPr>
          <w:rFonts w:ascii="仿宋" w:eastAsia="仿宋" w:hAnsi="仿宋"/>
          <w:b/>
          <w:color w:val="000000"/>
          <w:sz w:val="28"/>
          <w:szCs w:val="28"/>
        </w:rPr>
        <w:t>2、表决权恢复的优先股股东请求召开临时股东大会</w:t>
      </w:r>
      <w:bookmarkEnd w:id="41"/>
    </w:p>
    <w:p w:rsidR="00B13593" w:rsidRPr="00BC7035"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BC7035">
        <w:rPr>
          <w:rFonts w:ascii="仿宋" w:eastAsia="仿宋" w:hAnsi="仿宋"/>
          <w:color w:val="000000"/>
          <w:sz w:val="28"/>
          <w:szCs w:val="28"/>
        </w:rPr>
        <w:t>□适用</w:t>
      </w:r>
      <w:r w:rsidR="00BC7035" w:rsidRPr="00BC7035">
        <w:rPr>
          <w:rFonts w:ascii="仿宋" w:eastAsia="仿宋" w:hAnsi="仿宋" w:hint="eastAsia"/>
          <w:color w:val="000000"/>
          <w:sz w:val="28"/>
          <w:szCs w:val="28"/>
        </w:rPr>
        <w:t xml:space="preserve"> </w:t>
      </w:r>
      <w:r w:rsidRPr="00BC7035">
        <w:rPr>
          <w:rFonts w:ascii="仿宋" w:eastAsia="仿宋" w:hAnsi="仿宋"/>
          <w:color w:val="000000"/>
          <w:sz w:val="28"/>
          <w:szCs w:val="28"/>
        </w:rPr>
        <w:t xml:space="preserve"> </w:t>
      </w:r>
      <w:r w:rsidRPr="00BC7035">
        <w:rPr>
          <w:rFonts w:ascii="仿宋" w:eastAsia="仿宋" w:hAnsi="仿宋"/>
          <w:color w:val="000000"/>
          <w:sz w:val="28"/>
          <w:szCs w:val="28"/>
        </w:rPr>
        <w:sym w:font="Wingdings 2" w:char="F052"/>
      </w:r>
      <w:r w:rsidRPr="00BC7035">
        <w:rPr>
          <w:rFonts w:ascii="仿宋" w:eastAsia="仿宋" w:hAnsi="仿宋"/>
          <w:color w:val="000000"/>
          <w:sz w:val="28"/>
          <w:szCs w:val="28"/>
        </w:rPr>
        <w:t>不适用</w:t>
      </w:r>
    </w:p>
    <w:p w:rsidR="00B13593" w:rsidRPr="00BC7035"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42" w:name="_Toc988930"/>
      <w:r w:rsidRPr="00BC7035">
        <w:rPr>
          <w:b/>
          <w:bCs/>
          <w:sz w:val="28"/>
          <w:szCs w:val="28"/>
        </w:rPr>
        <w:t>二、公司董事、监事、高级管理人员变动情况</w:t>
      </w:r>
      <w:bookmarkEnd w:id="42"/>
    </w:p>
    <w:p w:rsidR="00B13593" w:rsidRPr="00BC7035"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BC7035">
        <w:rPr>
          <w:rFonts w:ascii="仿宋" w:eastAsia="仿宋" w:hAnsi="仿宋"/>
          <w:color w:val="000000"/>
          <w:sz w:val="28"/>
          <w:szCs w:val="28"/>
        </w:rPr>
        <w:sym w:font="Wingdings 2" w:char="F052"/>
      </w:r>
      <w:r w:rsidRPr="00BC7035">
        <w:rPr>
          <w:rFonts w:ascii="仿宋" w:eastAsia="仿宋" w:hAnsi="仿宋"/>
          <w:color w:val="000000"/>
          <w:sz w:val="28"/>
          <w:szCs w:val="28"/>
        </w:rPr>
        <w:t>适用</w:t>
      </w:r>
      <w:r w:rsidR="00BC7035">
        <w:rPr>
          <w:rFonts w:ascii="仿宋" w:eastAsia="仿宋" w:hAnsi="仿宋" w:hint="eastAsia"/>
          <w:color w:val="000000"/>
          <w:sz w:val="28"/>
          <w:szCs w:val="28"/>
        </w:rPr>
        <w:t xml:space="preserve"> </w:t>
      </w:r>
      <w:r w:rsidRPr="00BC7035">
        <w:rPr>
          <w:rFonts w:ascii="仿宋" w:eastAsia="仿宋" w:hAnsi="仿宋"/>
          <w:color w:val="000000"/>
          <w:sz w:val="28"/>
          <w:szCs w:val="28"/>
        </w:rPr>
        <w:t xml:space="preserve">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原因</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司景喆</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董事会秘书</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解聘</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2023年03月03日</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因个人原因辞职</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陈波</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董事会秘书</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2023年03月06日</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董事会聘任</w:t>
            </w:r>
          </w:p>
        </w:tc>
      </w:tr>
    </w:tbl>
    <w:p w:rsidR="00B13593" w:rsidRPr="00BC7035"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43" w:name="_Toc988931"/>
      <w:r w:rsidRPr="00BC7035">
        <w:rPr>
          <w:b/>
          <w:bCs/>
          <w:sz w:val="28"/>
          <w:szCs w:val="28"/>
        </w:rPr>
        <w:t>三、本报告期利润分配及资本公积金转增股本情况</w:t>
      </w:r>
      <w:bookmarkEnd w:id="43"/>
    </w:p>
    <w:p w:rsidR="00B13593" w:rsidRPr="00BC7035"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BC7035">
        <w:rPr>
          <w:rFonts w:ascii="仿宋" w:eastAsia="仿宋" w:hAnsi="仿宋"/>
          <w:color w:val="000000"/>
          <w:sz w:val="28"/>
          <w:szCs w:val="28"/>
        </w:rPr>
        <w:t xml:space="preserve">□适用 </w:t>
      </w:r>
      <w:r w:rsidR="00BC7035">
        <w:rPr>
          <w:rFonts w:ascii="仿宋" w:eastAsia="仿宋" w:hAnsi="仿宋" w:hint="eastAsia"/>
          <w:color w:val="000000"/>
          <w:sz w:val="28"/>
          <w:szCs w:val="28"/>
        </w:rPr>
        <w:t xml:space="preserve"> </w:t>
      </w:r>
      <w:r w:rsidRPr="00BC7035">
        <w:rPr>
          <w:rFonts w:ascii="仿宋" w:eastAsia="仿宋" w:hAnsi="仿宋"/>
          <w:color w:val="000000"/>
          <w:sz w:val="28"/>
          <w:szCs w:val="28"/>
        </w:rPr>
        <w:sym w:font="Wingdings 2" w:char="F052"/>
      </w:r>
      <w:r w:rsidRPr="00BC7035">
        <w:rPr>
          <w:rFonts w:ascii="仿宋" w:eastAsia="仿宋" w:hAnsi="仿宋"/>
          <w:color w:val="000000"/>
          <w:sz w:val="28"/>
          <w:szCs w:val="28"/>
        </w:rPr>
        <w:t>不适用</w:t>
      </w:r>
    </w:p>
    <w:p w:rsidR="00B13593" w:rsidRPr="00BC7035"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BC7035">
        <w:rPr>
          <w:rFonts w:ascii="仿宋" w:eastAsia="仿宋" w:hAnsi="仿宋"/>
          <w:color w:val="000000"/>
          <w:sz w:val="28"/>
          <w:szCs w:val="28"/>
        </w:rPr>
        <w:t>公司计划半年度不派发现金红利，不送红股，不以公积金转增股本。</w:t>
      </w:r>
    </w:p>
    <w:p w:rsidR="00B13593" w:rsidRPr="00BC7035"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44" w:name="_Toc988932"/>
      <w:r w:rsidRPr="00BC7035">
        <w:rPr>
          <w:b/>
          <w:bCs/>
          <w:sz w:val="28"/>
          <w:szCs w:val="28"/>
        </w:rPr>
        <w:t>四、公司股权激励计划、员工持股计划或其他员工激励措施的实施情况</w:t>
      </w:r>
      <w:bookmarkEnd w:id="44"/>
    </w:p>
    <w:p w:rsidR="00B13593" w:rsidRPr="00BC7035"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BC7035">
        <w:rPr>
          <w:rFonts w:ascii="仿宋" w:eastAsia="仿宋" w:hAnsi="仿宋"/>
          <w:color w:val="000000"/>
          <w:sz w:val="28"/>
          <w:szCs w:val="28"/>
        </w:rPr>
        <w:sym w:font="Wingdings 2" w:char="F052"/>
      </w:r>
      <w:r w:rsidRPr="00BC7035">
        <w:rPr>
          <w:rFonts w:ascii="仿宋" w:eastAsia="仿宋" w:hAnsi="仿宋"/>
          <w:color w:val="000000"/>
          <w:sz w:val="28"/>
          <w:szCs w:val="28"/>
        </w:rPr>
        <w:t>适用</w:t>
      </w:r>
      <w:r w:rsidR="00BC7035">
        <w:rPr>
          <w:rFonts w:ascii="仿宋" w:eastAsia="仿宋" w:hAnsi="仿宋" w:hint="eastAsia"/>
          <w:color w:val="000000"/>
          <w:sz w:val="28"/>
          <w:szCs w:val="28"/>
        </w:rPr>
        <w:t xml:space="preserve"> </w:t>
      </w:r>
      <w:r w:rsidRPr="00BC7035">
        <w:rPr>
          <w:rFonts w:ascii="仿宋" w:eastAsia="仿宋" w:hAnsi="仿宋"/>
          <w:color w:val="000000"/>
          <w:sz w:val="28"/>
          <w:szCs w:val="28"/>
        </w:rPr>
        <w:t xml:space="preserve"> □不适用</w:t>
      </w:r>
    </w:p>
    <w:p w:rsidR="00BC7035" w:rsidRDefault="00B13F8C" w:rsidP="00054B06">
      <w:pPr>
        <w:pStyle w:val="a3"/>
        <w:widowControl w:val="0"/>
        <w:spacing w:before="0" w:beforeAutospacing="0" w:after="0" w:afterAutospacing="0" w:line="560" w:lineRule="exact"/>
        <w:ind w:firstLineChars="200" w:firstLine="562"/>
        <w:jc w:val="both"/>
        <w:divId w:val="1964336858"/>
        <w:rPr>
          <w:rFonts w:ascii="仿宋" w:eastAsia="仿宋" w:hAnsi="仿宋"/>
          <w:b/>
          <w:color w:val="000000"/>
          <w:sz w:val="28"/>
          <w:szCs w:val="28"/>
        </w:rPr>
      </w:pPr>
      <w:bookmarkStart w:id="45" w:name="_Toc988933"/>
      <w:r w:rsidRPr="00BC7035">
        <w:rPr>
          <w:rFonts w:ascii="仿宋" w:eastAsia="仿宋" w:hAnsi="仿宋"/>
          <w:b/>
          <w:color w:val="000000"/>
          <w:sz w:val="28"/>
          <w:szCs w:val="28"/>
        </w:rPr>
        <w:t>1、股权激励</w:t>
      </w:r>
      <w:bookmarkEnd w:id="45"/>
    </w:p>
    <w:p w:rsidR="00B13593" w:rsidRPr="00BC7035" w:rsidRDefault="00BC7035" w:rsidP="00054B06">
      <w:pPr>
        <w:pStyle w:val="a3"/>
        <w:widowControl w:val="0"/>
        <w:spacing w:before="0" w:beforeAutospacing="0" w:after="0" w:afterAutospacing="0" w:line="560" w:lineRule="exact"/>
        <w:ind w:firstLineChars="200" w:firstLine="560"/>
        <w:jc w:val="both"/>
        <w:divId w:val="1964336858"/>
        <w:rPr>
          <w:rFonts w:ascii="仿宋" w:eastAsia="仿宋" w:hAnsi="仿宋"/>
          <w:color w:val="000000"/>
          <w:sz w:val="28"/>
          <w:szCs w:val="28"/>
        </w:rPr>
      </w:pPr>
      <w:r>
        <w:rPr>
          <w:rFonts w:ascii="仿宋" w:eastAsia="仿宋" w:hAnsi="仿宋" w:hint="eastAsia"/>
          <w:color w:val="000000"/>
          <w:sz w:val="28"/>
          <w:szCs w:val="28"/>
        </w:rPr>
        <w:lastRenderedPageBreak/>
        <w:t>（1）</w:t>
      </w:r>
      <w:r w:rsidR="00B13593" w:rsidRPr="00BC7035">
        <w:rPr>
          <w:rFonts w:ascii="仿宋" w:eastAsia="仿宋" w:hAnsi="仿宋" w:hint="eastAsia"/>
          <w:color w:val="000000"/>
          <w:sz w:val="28"/>
          <w:szCs w:val="28"/>
        </w:rPr>
        <w:t>根据《上市公司股权激励管理办法》及公司《2021年限制性股票激励计划（草案）》的相关规定，于2023年5月4日</w:t>
      </w:r>
      <w:r w:rsidR="00B13593">
        <w:rPr>
          <w:rFonts w:ascii="仿宋" w:eastAsia="仿宋" w:hAnsi="仿宋" w:hint="eastAsia"/>
          <w:color w:val="000000"/>
          <w:sz w:val="28"/>
          <w:szCs w:val="28"/>
        </w:rPr>
        <w:t>办理完成了</w:t>
      </w:r>
      <w:r w:rsidR="00B13593" w:rsidRPr="00BC7035">
        <w:rPr>
          <w:rFonts w:ascii="仿宋" w:eastAsia="仿宋" w:hAnsi="仿宋" w:hint="eastAsia"/>
          <w:color w:val="000000"/>
          <w:sz w:val="28"/>
          <w:szCs w:val="28"/>
        </w:rPr>
        <w:t>6名离职人员合计229,590股</w:t>
      </w:r>
      <w:r w:rsidR="00B13593">
        <w:rPr>
          <w:rFonts w:ascii="仿宋" w:eastAsia="仿宋" w:hAnsi="仿宋" w:hint="eastAsia"/>
          <w:color w:val="000000"/>
          <w:sz w:val="28"/>
          <w:szCs w:val="28"/>
        </w:rPr>
        <w:t>限制性股票的回购注销事宜（</w:t>
      </w:r>
      <w:r w:rsidR="00B13593" w:rsidRPr="00BC7035">
        <w:rPr>
          <w:rFonts w:ascii="仿宋" w:eastAsia="仿宋" w:hAnsi="仿宋" w:hint="eastAsia"/>
          <w:color w:val="000000"/>
          <w:sz w:val="28"/>
          <w:szCs w:val="28"/>
        </w:rPr>
        <w:t>占公司2021年限制性股票激励计划授予总量的5.23%，占回购前公司总股本的0.05%）。详情请参阅公司于2023年5月6日在《中国证券报》《证券时报》《证券日报》《上海证券报》及巨潮资讯网（</w:t>
      </w:r>
      <w:hyperlink r:id="rId8" w:history="1">
        <w:r w:rsidR="00B13593" w:rsidRPr="00BC7035">
          <w:rPr>
            <w:rFonts w:hint="eastAsia"/>
            <w:color w:val="000000"/>
          </w:rPr>
          <w:t>http://www.cninfo.com.cn</w:t>
        </w:r>
      </w:hyperlink>
      <w:r w:rsidR="00B13593" w:rsidRPr="00BC7035">
        <w:rPr>
          <w:rFonts w:ascii="仿宋" w:eastAsia="仿宋" w:hAnsi="仿宋" w:hint="eastAsia"/>
          <w:color w:val="000000"/>
          <w:sz w:val="28"/>
          <w:szCs w:val="28"/>
        </w:rPr>
        <w:t>）披露的《关于部分限制性股票回购注销完成的公告》（2023-21）。</w:t>
      </w:r>
    </w:p>
    <w:p w:rsidR="00B13593" w:rsidRPr="00BC7035" w:rsidRDefault="00BC7035" w:rsidP="00054B06">
      <w:pPr>
        <w:pStyle w:val="a3"/>
        <w:widowControl w:val="0"/>
        <w:spacing w:before="0" w:beforeAutospacing="0" w:after="0" w:afterAutospacing="0" w:line="560" w:lineRule="exact"/>
        <w:ind w:firstLineChars="200" w:firstLine="560"/>
        <w:jc w:val="both"/>
        <w:divId w:val="1964336858"/>
        <w:rPr>
          <w:rFonts w:ascii="仿宋" w:eastAsia="仿宋" w:hAnsi="仿宋"/>
          <w:color w:val="000000"/>
          <w:sz w:val="28"/>
          <w:szCs w:val="28"/>
        </w:rPr>
      </w:pPr>
      <w:r>
        <w:rPr>
          <w:rFonts w:ascii="仿宋" w:eastAsia="仿宋" w:hAnsi="仿宋" w:hint="eastAsia"/>
          <w:color w:val="000000"/>
          <w:sz w:val="28"/>
          <w:szCs w:val="28"/>
        </w:rPr>
        <w:t>（2）</w:t>
      </w:r>
      <w:r w:rsidR="00B13593" w:rsidRPr="00BC7035">
        <w:rPr>
          <w:rFonts w:ascii="仿宋" w:eastAsia="仿宋" w:hAnsi="仿宋" w:hint="eastAsia"/>
          <w:color w:val="000000"/>
          <w:sz w:val="28"/>
          <w:szCs w:val="28"/>
        </w:rPr>
        <w:t>公司根据《上市公司股权激励管理办法》及公司《2021年限制性股票激励计划（草案）》的相关规定，于2023年6月办理了2021年限制性股票激励计划首次授予第二个解除限售期及预留授予第一个解除限售期涉及的股份上市流通手续，本次符合解除限售条件的激励对象共计66名，本次解除限售的限制性股票数量为125.3585万股，约占目前公司总股本的0.28%。详情请参阅公司于2023年6月2日在《中国证券报》《证券时报》《证券日报》《上海证券报》及巨潮资讯网（http://www.cninfo.com.cn）披露的《关于公司2021年限制性股票激励计划首次授予第二个解除限售期解除限售股份上市流通的提示性公告》(2023-31)及《关于公司2021年限制性股票激励计划预留授予第一个解除限售期解除限售股份上市流通的提示性公告》（2023-32）。</w:t>
      </w:r>
    </w:p>
    <w:p w:rsidR="00B13593" w:rsidRPr="00BC7035" w:rsidRDefault="00B13F8C" w:rsidP="00054B06">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bookmarkStart w:id="46" w:name="_Toc988934"/>
      <w:r w:rsidRPr="00BC7035">
        <w:rPr>
          <w:rFonts w:ascii="仿宋" w:eastAsia="仿宋" w:hAnsi="仿宋"/>
          <w:b/>
          <w:color w:val="000000"/>
          <w:sz w:val="28"/>
          <w:szCs w:val="28"/>
        </w:rPr>
        <w:t>2、员工持股计划的实施情况</w:t>
      </w:r>
      <w:bookmarkEnd w:id="46"/>
    </w:p>
    <w:p w:rsidR="00B13593" w:rsidRPr="00BC7035"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BC7035">
        <w:rPr>
          <w:rFonts w:ascii="仿宋" w:eastAsia="仿宋" w:hAnsi="仿宋"/>
          <w:color w:val="000000"/>
          <w:sz w:val="28"/>
          <w:szCs w:val="28"/>
        </w:rPr>
        <w:t>□适用</w:t>
      </w:r>
      <w:r w:rsidR="00BC7035">
        <w:rPr>
          <w:rFonts w:ascii="仿宋" w:eastAsia="仿宋" w:hAnsi="仿宋" w:hint="eastAsia"/>
          <w:color w:val="000000"/>
          <w:sz w:val="28"/>
          <w:szCs w:val="28"/>
        </w:rPr>
        <w:t xml:space="preserve"> </w:t>
      </w:r>
      <w:r w:rsidRPr="00BC7035">
        <w:rPr>
          <w:rFonts w:ascii="仿宋" w:eastAsia="仿宋" w:hAnsi="仿宋"/>
          <w:color w:val="000000"/>
          <w:sz w:val="28"/>
          <w:szCs w:val="28"/>
        </w:rPr>
        <w:t xml:space="preserve"> </w:t>
      </w:r>
      <w:r w:rsidRPr="00BC7035">
        <w:rPr>
          <w:rFonts w:ascii="仿宋" w:eastAsia="仿宋" w:hAnsi="仿宋"/>
          <w:color w:val="000000"/>
          <w:sz w:val="28"/>
          <w:szCs w:val="28"/>
        </w:rPr>
        <w:sym w:font="Wingdings 2" w:char="F052"/>
      </w:r>
      <w:r w:rsidRPr="00BC7035">
        <w:rPr>
          <w:rFonts w:ascii="仿宋" w:eastAsia="仿宋" w:hAnsi="仿宋"/>
          <w:color w:val="000000"/>
          <w:sz w:val="28"/>
          <w:szCs w:val="28"/>
        </w:rPr>
        <w:t>不适用</w:t>
      </w:r>
    </w:p>
    <w:p w:rsidR="00B13593" w:rsidRPr="00BC7035" w:rsidRDefault="00B13F8C" w:rsidP="00054B06">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bookmarkStart w:id="47" w:name="_Toc988935"/>
      <w:r w:rsidRPr="00BC7035">
        <w:rPr>
          <w:rFonts w:ascii="仿宋" w:eastAsia="仿宋" w:hAnsi="仿宋"/>
          <w:b/>
          <w:color w:val="000000"/>
          <w:sz w:val="28"/>
          <w:szCs w:val="28"/>
        </w:rPr>
        <w:t>3、其他员工激励措施</w:t>
      </w:r>
      <w:bookmarkEnd w:id="47"/>
    </w:p>
    <w:p w:rsidR="00B13593" w:rsidRPr="00BC7035"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BC7035">
        <w:rPr>
          <w:rFonts w:ascii="仿宋" w:eastAsia="仿宋" w:hAnsi="仿宋"/>
          <w:color w:val="000000"/>
          <w:sz w:val="28"/>
          <w:szCs w:val="28"/>
        </w:rPr>
        <w:t xml:space="preserve">□适用 </w:t>
      </w:r>
      <w:r w:rsidR="00BC7035" w:rsidRPr="00BC7035">
        <w:rPr>
          <w:rFonts w:ascii="仿宋" w:eastAsia="仿宋" w:hAnsi="仿宋" w:hint="eastAsia"/>
          <w:color w:val="000000"/>
          <w:sz w:val="28"/>
          <w:szCs w:val="28"/>
        </w:rPr>
        <w:t xml:space="preserve"> </w:t>
      </w:r>
      <w:r w:rsidRPr="00BC7035">
        <w:rPr>
          <w:rFonts w:ascii="仿宋" w:eastAsia="仿宋" w:hAnsi="仿宋"/>
          <w:color w:val="000000"/>
          <w:sz w:val="28"/>
          <w:szCs w:val="28"/>
        </w:rPr>
        <w:sym w:font="Wingdings 2" w:char="F052"/>
      </w:r>
      <w:r w:rsidRPr="00BC7035">
        <w:rPr>
          <w:rFonts w:ascii="仿宋" w:eastAsia="仿宋" w:hAnsi="仿宋"/>
          <w:color w:val="000000"/>
          <w:sz w:val="28"/>
          <w:szCs w:val="28"/>
        </w:rPr>
        <w:t>不适用</w:t>
      </w:r>
    </w:p>
    <w:p w:rsidR="00B13593" w:rsidRPr="00BC7035" w:rsidRDefault="00B13F8C" w:rsidP="00054B06">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r w:rsidRPr="00BC7035">
        <w:rPr>
          <w:rFonts w:ascii="仿宋" w:eastAsia="仿宋" w:hAnsi="仿宋"/>
          <w:b/>
          <w:color w:val="000000"/>
          <w:sz w:val="28"/>
          <w:szCs w:val="28"/>
        </w:rP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48" w:name="_Toc988936"/>
      <w:r>
        <w:rPr>
          <w:rFonts w:ascii="宋体" w:eastAsia="宋体" w:hAnsi="宋体" w:cs="宋体"/>
          <w:b/>
          <w:bCs/>
          <w:sz w:val="32"/>
          <w:szCs w:val="32"/>
        </w:rPr>
        <w:lastRenderedPageBreak/>
        <w:t>第五节 环境和社会责任</w:t>
      </w:r>
      <w:bookmarkEnd w:id="48"/>
    </w:p>
    <w:p w:rsidR="00B13593" w:rsidRPr="00846729"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49" w:name="_Toc988937"/>
      <w:r w:rsidRPr="00846729">
        <w:rPr>
          <w:b/>
          <w:bCs/>
          <w:sz w:val="28"/>
          <w:szCs w:val="28"/>
        </w:rPr>
        <w:t>一、重大环保问题情况</w:t>
      </w:r>
      <w:bookmarkEnd w:id="49"/>
    </w:p>
    <w:p w:rsidR="00B13593" w:rsidRPr="00846729" w:rsidRDefault="00B13F8C" w:rsidP="00054B06">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r w:rsidRPr="00846729">
        <w:rPr>
          <w:rFonts w:ascii="仿宋" w:eastAsia="仿宋" w:hAnsi="仿宋"/>
          <w:b/>
          <w:color w:val="000000"/>
          <w:sz w:val="28"/>
          <w:szCs w:val="28"/>
        </w:rPr>
        <w:t>上市公司及其子公司是否属于环境保护部门公布的重点排污单位</w:t>
      </w:r>
    </w:p>
    <w:p w:rsidR="00B13593" w:rsidRPr="00846729" w:rsidRDefault="00B13F8C" w:rsidP="00054B06">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846729">
        <w:rPr>
          <w:rFonts w:ascii="仿宋" w:eastAsia="仿宋" w:hAnsi="仿宋"/>
          <w:color w:val="000000"/>
          <w:sz w:val="28"/>
          <w:szCs w:val="28"/>
        </w:rPr>
        <w:t>□是</w:t>
      </w:r>
      <w:r w:rsidR="00846729" w:rsidRPr="00846729">
        <w:rPr>
          <w:rFonts w:ascii="仿宋" w:eastAsia="仿宋" w:hAnsi="仿宋" w:hint="eastAsia"/>
          <w:color w:val="000000"/>
          <w:sz w:val="28"/>
          <w:szCs w:val="28"/>
        </w:rPr>
        <w:t xml:space="preserve"> </w:t>
      </w:r>
      <w:r w:rsidRPr="00846729">
        <w:rPr>
          <w:rFonts w:ascii="仿宋" w:eastAsia="仿宋" w:hAnsi="仿宋"/>
          <w:color w:val="000000"/>
          <w:sz w:val="28"/>
          <w:szCs w:val="28"/>
        </w:rPr>
        <w:t xml:space="preserve"> </w:t>
      </w:r>
      <w:r w:rsidRPr="00846729">
        <w:rPr>
          <w:rFonts w:ascii="仿宋" w:eastAsia="仿宋" w:hAnsi="仿宋"/>
          <w:color w:val="000000"/>
          <w:sz w:val="28"/>
          <w:szCs w:val="28"/>
        </w:rPr>
        <w:sym w:font="Wingdings 2" w:char="F052"/>
      </w:r>
      <w:r w:rsidRPr="00846729">
        <w:rPr>
          <w:rFonts w:ascii="仿宋" w:eastAsia="仿宋" w:hAnsi="仿宋"/>
          <w:color w:val="000000"/>
          <w:sz w:val="28"/>
          <w:szCs w:val="28"/>
        </w:rPr>
        <w:t>否</w:t>
      </w:r>
    </w:p>
    <w:p w:rsidR="00B13593" w:rsidRPr="00846729" w:rsidRDefault="00B13F8C" w:rsidP="00054B06">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r w:rsidRPr="00846729">
        <w:rPr>
          <w:rFonts w:ascii="仿宋" w:eastAsia="仿宋" w:hAnsi="仿宋"/>
          <w:b/>
          <w:color w:val="000000"/>
          <w:sz w:val="28"/>
          <w:szCs w:val="28"/>
        </w:rPr>
        <w:t>报告期内因环境问题受到行政处罚的情况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809"/>
        <w:gridCol w:w="1403"/>
        <w:gridCol w:w="1606"/>
        <w:gridCol w:w="1607"/>
        <w:gridCol w:w="1607"/>
        <w:gridCol w:w="1607"/>
      </w:tblGrid>
      <w:tr w:rsidR="00B13593" w:rsidTr="008467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14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处罚原因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违规情形</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处罚结果</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对上市公司生产经营的影响</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公司的整改措施</w:t>
            </w:r>
          </w:p>
        </w:tc>
      </w:tr>
      <w:tr w:rsidR="00B13593" w:rsidTr="00846729">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无</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无</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无</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无</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无</w:t>
            </w:r>
          </w:p>
        </w:tc>
      </w:tr>
    </w:tbl>
    <w:p w:rsidR="00B13593" w:rsidRPr="00846729" w:rsidRDefault="00B13F8C" w:rsidP="00812EA2">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r w:rsidRPr="00846729">
        <w:rPr>
          <w:rFonts w:ascii="仿宋" w:eastAsia="仿宋" w:hAnsi="仿宋"/>
          <w:b/>
          <w:color w:val="000000"/>
          <w:sz w:val="28"/>
          <w:szCs w:val="28"/>
        </w:rPr>
        <w:t>参照重点排污单位披露的其他环境信息</w:t>
      </w:r>
    </w:p>
    <w:p w:rsidR="00B13593" w:rsidRPr="00846729" w:rsidRDefault="00B13593" w:rsidP="00812EA2">
      <w:pPr>
        <w:pStyle w:val="a3"/>
        <w:widowControl w:val="0"/>
        <w:spacing w:before="0" w:beforeAutospacing="0" w:after="0" w:afterAutospacing="0" w:line="560" w:lineRule="exact"/>
        <w:ind w:firstLineChars="200" w:firstLine="560"/>
        <w:jc w:val="both"/>
        <w:divId w:val="1668170874"/>
        <w:rPr>
          <w:rFonts w:ascii="仿宋" w:eastAsia="仿宋" w:hAnsi="仿宋"/>
          <w:color w:val="000000"/>
          <w:sz w:val="28"/>
          <w:szCs w:val="28"/>
        </w:rPr>
      </w:pPr>
      <w:r w:rsidRPr="00846729">
        <w:rPr>
          <w:rFonts w:ascii="仿宋" w:eastAsia="仿宋" w:hAnsi="仿宋" w:hint="eastAsia"/>
          <w:color w:val="000000"/>
          <w:sz w:val="28"/>
          <w:szCs w:val="28"/>
        </w:rPr>
        <w:t>无</w:t>
      </w:r>
    </w:p>
    <w:p w:rsidR="00B13593" w:rsidRPr="00846729" w:rsidRDefault="00B13F8C" w:rsidP="00812EA2">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r w:rsidRPr="00846729">
        <w:rPr>
          <w:rFonts w:ascii="仿宋" w:eastAsia="仿宋" w:hAnsi="仿宋"/>
          <w:b/>
          <w:color w:val="000000"/>
          <w:sz w:val="28"/>
          <w:szCs w:val="28"/>
        </w:rPr>
        <w:t>在报告期内为减少其碳排放所采取的措施及效果</w:t>
      </w:r>
    </w:p>
    <w:p w:rsidR="00846729" w:rsidRDefault="00B13F8C" w:rsidP="00812EA2">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846729">
        <w:rPr>
          <w:rFonts w:ascii="仿宋" w:eastAsia="仿宋" w:hAnsi="仿宋"/>
          <w:color w:val="000000"/>
          <w:sz w:val="28"/>
          <w:szCs w:val="28"/>
        </w:rPr>
        <w:t xml:space="preserve">□适用 </w:t>
      </w:r>
      <w:r w:rsidR="00846729">
        <w:rPr>
          <w:rFonts w:ascii="仿宋" w:eastAsia="仿宋" w:hAnsi="仿宋" w:hint="eastAsia"/>
          <w:color w:val="000000"/>
          <w:sz w:val="28"/>
          <w:szCs w:val="28"/>
        </w:rPr>
        <w:t xml:space="preserve"> </w:t>
      </w:r>
      <w:r w:rsidRPr="00846729">
        <w:rPr>
          <w:rFonts w:ascii="仿宋" w:eastAsia="仿宋" w:hAnsi="仿宋"/>
          <w:color w:val="000000"/>
          <w:sz w:val="28"/>
          <w:szCs w:val="28"/>
        </w:rPr>
        <w:sym w:font="Wingdings 2" w:char="F052"/>
      </w:r>
      <w:r w:rsidRPr="00846729">
        <w:rPr>
          <w:rFonts w:ascii="仿宋" w:eastAsia="仿宋" w:hAnsi="仿宋"/>
          <w:color w:val="000000"/>
          <w:sz w:val="28"/>
          <w:szCs w:val="28"/>
        </w:rPr>
        <w:t>不适用</w:t>
      </w:r>
    </w:p>
    <w:p w:rsidR="00681467" w:rsidRDefault="00B13F8C" w:rsidP="00812EA2">
      <w:pPr>
        <w:pStyle w:val="a3"/>
        <w:widowControl w:val="0"/>
        <w:spacing w:before="0" w:beforeAutospacing="0" w:after="0" w:afterAutospacing="0" w:line="560" w:lineRule="exact"/>
        <w:ind w:firstLineChars="200" w:firstLine="562"/>
        <w:jc w:val="both"/>
        <w:rPr>
          <w:rFonts w:ascii="仿宋" w:eastAsia="仿宋" w:hAnsi="仿宋"/>
          <w:color w:val="000000"/>
          <w:sz w:val="28"/>
          <w:szCs w:val="28"/>
        </w:rPr>
      </w:pPr>
      <w:r w:rsidRPr="00846729">
        <w:rPr>
          <w:rFonts w:ascii="仿宋" w:eastAsia="仿宋" w:hAnsi="仿宋"/>
          <w:b/>
          <w:color w:val="000000"/>
          <w:sz w:val="28"/>
          <w:szCs w:val="28"/>
        </w:rPr>
        <w:t>未披露其他环境信息的原因</w:t>
      </w:r>
    </w:p>
    <w:p w:rsidR="00681467" w:rsidRDefault="00B13593" w:rsidP="00812EA2">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Pr>
          <w:rFonts w:ascii="仿宋" w:eastAsia="仿宋" w:hAnsi="仿宋" w:hint="eastAsia"/>
          <w:sz w:val="28"/>
          <w:szCs w:val="28"/>
        </w:rPr>
        <w:t>经核查，公司及子公司不属于环境保护部门公布的重点排污单位。</w:t>
      </w:r>
    </w:p>
    <w:p w:rsidR="00B13593" w:rsidRPr="00681467" w:rsidRDefault="00B13593" w:rsidP="00812EA2">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9A14ED">
        <w:rPr>
          <w:rFonts w:ascii="仿宋" w:eastAsia="仿宋" w:hAnsi="仿宋" w:hint="eastAsia"/>
          <w:sz w:val="28"/>
          <w:szCs w:val="28"/>
        </w:rPr>
        <w:t>报告期内，公司高度重视环境保护工作，严格遵守国家颁布的法律、法规及相关行业规范，遵循绿色发展理念，认真落实各项环保管理制度，将环境保护、节能减排等工作融入日常经营管理中，</w:t>
      </w:r>
      <w:r w:rsidR="00712E09" w:rsidRPr="009A14ED">
        <w:rPr>
          <w:rFonts w:ascii="仿宋" w:eastAsia="仿宋" w:hAnsi="仿宋" w:hint="eastAsia"/>
          <w:sz w:val="28"/>
          <w:szCs w:val="28"/>
        </w:rPr>
        <w:t>注重提高</w:t>
      </w:r>
      <w:r w:rsidRPr="009A14ED">
        <w:rPr>
          <w:rFonts w:ascii="仿宋" w:eastAsia="仿宋" w:hAnsi="仿宋" w:hint="eastAsia"/>
          <w:sz w:val="28"/>
          <w:szCs w:val="28"/>
        </w:rPr>
        <w:t>员工环境保护意识，积极开展节能降耗工作，提高资源利用效率，践行企业环保责任；公司下属生产型企业严格按照监管部门的要求实现排放物有效规范处理、达标排放,报告期内无环保投诉事件和重大环保责任事故发生。</w:t>
      </w:r>
    </w:p>
    <w:p w:rsidR="00846729" w:rsidRDefault="00B13F8C" w:rsidP="00812EA2">
      <w:pPr>
        <w:pStyle w:val="a3"/>
        <w:widowControl w:val="0"/>
        <w:spacing w:before="0" w:beforeAutospacing="0" w:after="0" w:afterAutospacing="0" w:line="560" w:lineRule="exact"/>
        <w:ind w:firstLineChars="200" w:firstLine="562"/>
        <w:jc w:val="both"/>
        <w:rPr>
          <w:b/>
          <w:bCs/>
          <w:sz w:val="28"/>
          <w:szCs w:val="28"/>
        </w:rPr>
      </w:pPr>
      <w:bookmarkStart w:id="50" w:name="_Toc988938"/>
      <w:r w:rsidRPr="00846729">
        <w:rPr>
          <w:b/>
          <w:bCs/>
          <w:sz w:val="28"/>
          <w:szCs w:val="28"/>
        </w:rPr>
        <w:t>二、社会责任情况</w:t>
      </w:r>
      <w:bookmarkEnd w:id="50"/>
    </w:p>
    <w:p w:rsidR="00846729" w:rsidRDefault="00B13593" w:rsidP="00812EA2">
      <w:pPr>
        <w:pStyle w:val="a3"/>
        <w:widowControl w:val="0"/>
        <w:spacing w:before="0" w:beforeAutospacing="0" w:after="0" w:afterAutospacing="0" w:line="560" w:lineRule="exact"/>
        <w:ind w:firstLineChars="200" w:firstLine="562"/>
        <w:jc w:val="both"/>
        <w:rPr>
          <w:rStyle w:val="a4"/>
          <w:sz w:val="28"/>
          <w:szCs w:val="28"/>
        </w:rPr>
      </w:pPr>
      <w:r>
        <w:rPr>
          <w:rStyle w:val="a4"/>
          <w:rFonts w:ascii="仿宋" w:eastAsia="仿宋" w:hAnsi="仿宋" w:hint="eastAsia"/>
          <w:color w:val="000000"/>
          <w:sz w:val="28"/>
          <w:szCs w:val="28"/>
        </w:rPr>
        <w:t>（一）履行社会责任情况</w:t>
      </w:r>
    </w:p>
    <w:p w:rsidR="00B13593" w:rsidRPr="00846729" w:rsidRDefault="00B13593" w:rsidP="00812EA2">
      <w:pPr>
        <w:pStyle w:val="a3"/>
        <w:widowControl w:val="0"/>
        <w:spacing w:before="0" w:beforeAutospacing="0" w:after="0" w:afterAutospacing="0" w:line="560" w:lineRule="exact"/>
        <w:ind w:firstLineChars="200" w:firstLine="560"/>
        <w:jc w:val="both"/>
        <w:rPr>
          <w:b/>
          <w:bCs/>
          <w:sz w:val="28"/>
          <w:szCs w:val="28"/>
        </w:rPr>
      </w:pPr>
      <w:r w:rsidRPr="009A14ED">
        <w:rPr>
          <w:rFonts w:ascii="仿宋" w:eastAsia="仿宋" w:hAnsi="仿宋" w:hint="eastAsia"/>
          <w:sz w:val="28"/>
          <w:szCs w:val="28"/>
        </w:rPr>
        <w:t>公司重视履行社会责任，坚持规范运作、在股东和债权人保护、职工权益保护、供应商、客户权益保护、环境保护和社会公益等方面积极作为，</w:t>
      </w:r>
      <w:r w:rsidR="00712E09" w:rsidRPr="009A14ED">
        <w:rPr>
          <w:rFonts w:ascii="仿宋" w:eastAsia="仿宋" w:hAnsi="仿宋" w:hint="eastAsia"/>
          <w:sz w:val="28"/>
          <w:szCs w:val="28"/>
        </w:rPr>
        <w:t>努力</w:t>
      </w:r>
      <w:r w:rsidRPr="009A14ED">
        <w:rPr>
          <w:rFonts w:ascii="仿宋" w:eastAsia="仿宋" w:hAnsi="仿宋" w:hint="eastAsia"/>
          <w:sz w:val="28"/>
          <w:szCs w:val="28"/>
        </w:rPr>
        <w:t>构建和谐社会，实现公司及其权益相关方的共同发展。</w:t>
      </w:r>
    </w:p>
    <w:p w:rsidR="00B13593" w:rsidRPr="00846729" w:rsidRDefault="00B13593" w:rsidP="00812EA2">
      <w:pPr>
        <w:pStyle w:val="a3"/>
        <w:widowControl w:val="0"/>
        <w:spacing w:before="0" w:beforeAutospacing="0" w:after="0" w:afterAutospacing="0" w:line="560" w:lineRule="exact"/>
        <w:ind w:firstLineChars="200" w:firstLine="562"/>
        <w:jc w:val="both"/>
        <w:divId w:val="375204044"/>
        <w:rPr>
          <w:rStyle w:val="a4"/>
          <w:rFonts w:ascii="仿宋" w:eastAsia="仿宋" w:hAnsi="仿宋"/>
          <w:color w:val="000000"/>
          <w:sz w:val="28"/>
          <w:szCs w:val="28"/>
        </w:rPr>
      </w:pPr>
      <w:r w:rsidRPr="00846729">
        <w:rPr>
          <w:rStyle w:val="a4"/>
          <w:rFonts w:ascii="仿宋" w:eastAsia="仿宋" w:hAnsi="仿宋" w:hint="eastAsia"/>
          <w:color w:val="000000"/>
          <w:sz w:val="28"/>
          <w:szCs w:val="28"/>
        </w:rPr>
        <w:lastRenderedPageBreak/>
        <w:t>1、股东和债权人权益保护</w:t>
      </w:r>
    </w:p>
    <w:p w:rsidR="00B13593" w:rsidRP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sidRPr="00846729">
        <w:rPr>
          <w:rFonts w:ascii="仿宋" w:eastAsia="仿宋" w:hAnsi="仿宋" w:hint="eastAsia"/>
          <w:sz w:val="28"/>
          <w:szCs w:val="28"/>
        </w:rPr>
        <w:t>报告期内，</w:t>
      </w:r>
      <w:r>
        <w:rPr>
          <w:rFonts w:ascii="仿宋" w:eastAsia="仿宋" w:hAnsi="仿宋" w:hint="eastAsia"/>
          <w:sz w:val="28"/>
          <w:szCs w:val="28"/>
        </w:rPr>
        <w:t>根据《公司法》《证券法》《上市公司治理准则》等法律法规，公司不断完善公司治理, 切实保障全体股东及债权人的权益。</w:t>
      </w:r>
    </w:p>
    <w:p w:rsidR="00B13593" w:rsidRPr="009A14ED"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sidRPr="009A14ED">
        <w:rPr>
          <w:rFonts w:ascii="仿宋" w:eastAsia="仿宋" w:hAnsi="仿宋" w:hint="eastAsia"/>
          <w:sz w:val="28"/>
          <w:szCs w:val="28"/>
        </w:rPr>
        <w:t>公司严格按照《公司章程》等规定，召集召开历次董事会、</w:t>
      </w:r>
      <w:r w:rsidR="00712E09" w:rsidRPr="009A14ED">
        <w:rPr>
          <w:rFonts w:ascii="仿宋" w:eastAsia="仿宋" w:hAnsi="仿宋" w:hint="eastAsia"/>
          <w:sz w:val="28"/>
          <w:szCs w:val="28"/>
        </w:rPr>
        <w:t>监事会、</w:t>
      </w:r>
      <w:r w:rsidRPr="009A14ED">
        <w:rPr>
          <w:rFonts w:ascii="仿宋" w:eastAsia="仿宋" w:hAnsi="仿宋" w:hint="eastAsia"/>
          <w:sz w:val="28"/>
          <w:szCs w:val="28"/>
        </w:rPr>
        <w:t>股东大会及</w:t>
      </w:r>
      <w:r w:rsidR="00712E09" w:rsidRPr="009A14ED">
        <w:rPr>
          <w:rFonts w:ascii="仿宋" w:eastAsia="仿宋" w:hAnsi="仿宋" w:hint="eastAsia"/>
          <w:sz w:val="28"/>
          <w:szCs w:val="28"/>
        </w:rPr>
        <w:t>董事会</w:t>
      </w:r>
      <w:r w:rsidRPr="009A14ED">
        <w:rPr>
          <w:rFonts w:ascii="仿宋" w:eastAsia="仿宋" w:hAnsi="仿宋" w:hint="eastAsia"/>
          <w:sz w:val="28"/>
          <w:szCs w:val="28"/>
        </w:rPr>
        <w:t>各专业委员会</w:t>
      </w:r>
      <w:r w:rsidR="00712E09" w:rsidRPr="009A14ED">
        <w:rPr>
          <w:rFonts w:ascii="仿宋" w:eastAsia="仿宋" w:hAnsi="仿宋" w:hint="eastAsia"/>
          <w:sz w:val="28"/>
          <w:szCs w:val="28"/>
        </w:rPr>
        <w:t>会</w:t>
      </w:r>
      <w:r w:rsidRPr="009A14ED">
        <w:rPr>
          <w:rFonts w:ascii="仿宋" w:eastAsia="仿宋" w:hAnsi="仿宋" w:hint="eastAsia"/>
          <w:sz w:val="28"/>
          <w:szCs w:val="28"/>
        </w:rPr>
        <w:t>议，做到了程序合法合规，形成的决议合法有效。公司根据规定，及时、准确、真实、完整、公平地披露了公司所有重大方面的主要信息，保证了公众投资者公平、及时、完整地获得相关信息，充分保障了投资者的知情权。通过提供网络投票等方式，让更多的股东能够参加股东大会，确保股东对公司重大事项的知情权、参与权和表决权。</w:t>
      </w:r>
    </w:p>
    <w:p w:rsidR="00B13593" w:rsidRP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sidRPr="009A14ED">
        <w:rPr>
          <w:rFonts w:ascii="仿宋" w:eastAsia="仿宋" w:hAnsi="仿宋" w:hint="eastAsia"/>
          <w:sz w:val="28"/>
          <w:szCs w:val="28"/>
        </w:rPr>
        <w:t>公司奉行稳健、诚信的经营策略。在各项重大经营决策过程</w:t>
      </w:r>
      <w:r w:rsidR="00712E09" w:rsidRPr="009A14ED">
        <w:rPr>
          <w:rFonts w:ascii="仿宋" w:eastAsia="仿宋" w:hAnsi="仿宋" w:hint="eastAsia"/>
          <w:sz w:val="28"/>
          <w:szCs w:val="28"/>
        </w:rPr>
        <w:t>中</w:t>
      </w:r>
      <w:r w:rsidRPr="009A14ED">
        <w:rPr>
          <w:rFonts w:ascii="仿宋" w:eastAsia="仿宋" w:hAnsi="仿宋" w:hint="eastAsia"/>
          <w:sz w:val="28"/>
          <w:szCs w:val="28"/>
        </w:rPr>
        <w:t>，公司充分考虑债权人的知情权，降低债权人的投资风险，保证财务状况稳定与公司资产、资金安全，有效地保护了债权人权益。公司</w:t>
      </w:r>
      <w:r w:rsidR="00712E09" w:rsidRPr="009A14ED">
        <w:rPr>
          <w:rFonts w:ascii="仿宋" w:eastAsia="仿宋" w:hAnsi="仿宋" w:hint="eastAsia"/>
          <w:sz w:val="28"/>
          <w:szCs w:val="28"/>
        </w:rPr>
        <w:t>与银行建立了互惠合作关系，</w:t>
      </w:r>
      <w:r w:rsidRPr="009A14ED">
        <w:rPr>
          <w:rFonts w:ascii="仿宋" w:eastAsia="仿宋" w:hAnsi="仿宋" w:hint="eastAsia"/>
          <w:sz w:val="28"/>
          <w:szCs w:val="28"/>
        </w:rPr>
        <w:t>资信状况良好，保持</w:t>
      </w:r>
      <w:r w:rsidR="00712E09" w:rsidRPr="009A14ED">
        <w:rPr>
          <w:rFonts w:ascii="仿宋" w:eastAsia="仿宋" w:hAnsi="仿宋" w:hint="eastAsia"/>
          <w:sz w:val="28"/>
          <w:szCs w:val="28"/>
        </w:rPr>
        <w:t>着</w:t>
      </w:r>
      <w:r w:rsidRPr="009A14ED">
        <w:rPr>
          <w:rFonts w:ascii="仿宋" w:eastAsia="仿宋" w:hAnsi="仿宋" w:hint="eastAsia"/>
          <w:sz w:val="28"/>
          <w:szCs w:val="28"/>
        </w:rPr>
        <w:t>较低资产负债率水平。</w:t>
      </w:r>
    </w:p>
    <w:p w:rsidR="00B13593" w:rsidRPr="00846729" w:rsidRDefault="00B13593" w:rsidP="00812EA2">
      <w:pPr>
        <w:pStyle w:val="a3"/>
        <w:widowControl w:val="0"/>
        <w:spacing w:before="0" w:beforeAutospacing="0" w:after="0" w:afterAutospacing="0" w:line="560" w:lineRule="exact"/>
        <w:ind w:firstLineChars="200" w:firstLine="562"/>
        <w:jc w:val="both"/>
        <w:divId w:val="375204044"/>
        <w:rPr>
          <w:rStyle w:val="a4"/>
          <w:rFonts w:ascii="仿宋" w:eastAsia="仿宋" w:hAnsi="仿宋"/>
          <w:color w:val="000000"/>
          <w:sz w:val="28"/>
          <w:szCs w:val="28"/>
        </w:rPr>
      </w:pPr>
      <w:r w:rsidRPr="00846729">
        <w:rPr>
          <w:rStyle w:val="a4"/>
          <w:rFonts w:ascii="仿宋" w:eastAsia="仿宋" w:hAnsi="仿宋" w:hint="eastAsia"/>
          <w:color w:val="000000"/>
          <w:sz w:val="28"/>
          <w:szCs w:val="28"/>
        </w:rPr>
        <w:t>2、职工权益保护</w:t>
      </w:r>
    </w:p>
    <w:p w:rsid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sidRPr="009A14ED">
        <w:rPr>
          <w:rFonts w:ascii="仿宋" w:eastAsia="仿宋" w:hAnsi="仿宋" w:hint="eastAsia"/>
          <w:sz w:val="28"/>
          <w:szCs w:val="28"/>
        </w:rPr>
        <w:t>公司以人为本，严格遵守《劳动法》《劳动合同法》等法律法规，尊重和维护员工的个人权益。公司重视人才培养，定期或不定期组织员工开展培训，提高员工专业能力；不断完善具竞争力的综合薪酬体系，保有并吸引公司发展所需的人才；不断将企业的发展成果惠及全体员工，为其缴纳各类社会保险，构建了和谐的劳资关系，实现员工与企业的共同成长。公司重视企业文化建设，充分发挥党组织、工会的桥梁、纽带作用，通过节日礼品、入职周年会及各类团建活动等方式提供员工福利与关怀。</w:t>
      </w:r>
    </w:p>
    <w:p w:rsidR="00846729" w:rsidRDefault="00B13593" w:rsidP="00812EA2">
      <w:pPr>
        <w:pStyle w:val="a3"/>
        <w:widowControl w:val="0"/>
        <w:spacing w:before="0" w:beforeAutospacing="0" w:after="0" w:afterAutospacing="0" w:line="560" w:lineRule="exact"/>
        <w:ind w:firstLineChars="200" w:firstLine="562"/>
        <w:jc w:val="both"/>
        <w:divId w:val="375204044"/>
        <w:rPr>
          <w:rFonts w:ascii="仿宋" w:eastAsia="仿宋" w:hAnsi="仿宋"/>
          <w:sz w:val="28"/>
          <w:szCs w:val="28"/>
        </w:rPr>
      </w:pPr>
      <w:r>
        <w:rPr>
          <w:rStyle w:val="a4"/>
          <w:rFonts w:ascii="仿宋" w:eastAsia="仿宋" w:hAnsi="仿宋" w:hint="eastAsia"/>
          <w:sz w:val="28"/>
          <w:szCs w:val="28"/>
        </w:rPr>
        <w:t>3、供应商、客户权益保护</w:t>
      </w:r>
    </w:p>
    <w:p w:rsid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sidRPr="009A14ED">
        <w:rPr>
          <w:rFonts w:ascii="仿宋" w:eastAsia="仿宋" w:hAnsi="仿宋" w:hint="eastAsia"/>
          <w:color w:val="000000"/>
          <w:sz w:val="28"/>
          <w:szCs w:val="28"/>
        </w:rPr>
        <w:t>公司秉承诚信经营、客户至上、互利共赢的理念和原则，积极构建和发展与供应商、客户的战略合作伙伴关系，共同构筑信任与合作的平台，切实</w:t>
      </w:r>
      <w:r w:rsidR="00846729" w:rsidRPr="009A14ED">
        <w:rPr>
          <w:rFonts w:ascii="仿宋" w:eastAsia="仿宋" w:hAnsi="仿宋" w:hint="eastAsia"/>
          <w:color w:val="000000"/>
          <w:sz w:val="28"/>
          <w:szCs w:val="28"/>
        </w:rPr>
        <w:lastRenderedPageBreak/>
        <w:t>履行公司对供应商、对客户的社会责任。报告期内，</w:t>
      </w:r>
      <w:r w:rsidRPr="009A14ED">
        <w:rPr>
          <w:rFonts w:ascii="仿宋" w:eastAsia="仿宋" w:hAnsi="仿宋" w:hint="eastAsia"/>
          <w:color w:val="000000"/>
          <w:sz w:val="28"/>
          <w:szCs w:val="28"/>
        </w:rPr>
        <w:t>公司与供应商和客户</w:t>
      </w:r>
      <w:r w:rsidR="00E345F7" w:rsidRPr="009A14ED">
        <w:rPr>
          <w:rFonts w:ascii="仿宋" w:eastAsia="仿宋" w:hAnsi="仿宋" w:hint="eastAsia"/>
          <w:color w:val="000000"/>
          <w:sz w:val="28"/>
          <w:szCs w:val="28"/>
        </w:rPr>
        <w:t>之间</w:t>
      </w:r>
      <w:r w:rsidR="00E345F7" w:rsidRPr="009A14ED">
        <w:rPr>
          <w:rFonts w:ascii="仿宋" w:eastAsia="仿宋" w:hAnsi="仿宋"/>
          <w:color w:val="000000"/>
          <w:sz w:val="28"/>
          <w:szCs w:val="28"/>
        </w:rPr>
        <w:t>的</w:t>
      </w:r>
      <w:r w:rsidRPr="009A14ED">
        <w:rPr>
          <w:rFonts w:ascii="仿宋" w:eastAsia="仿宋" w:hAnsi="仿宋" w:hint="eastAsia"/>
          <w:color w:val="000000"/>
          <w:sz w:val="28"/>
          <w:szCs w:val="28"/>
        </w:rPr>
        <w:t>合同履约良好，各方的权益都得到了高度的重视和应有的保护。</w:t>
      </w:r>
    </w:p>
    <w:p w:rsidR="00846729" w:rsidRDefault="00B13593" w:rsidP="00812EA2">
      <w:pPr>
        <w:pStyle w:val="a3"/>
        <w:widowControl w:val="0"/>
        <w:spacing w:before="0" w:beforeAutospacing="0" w:after="0" w:afterAutospacing="0" w:line="560" w:lineRule="exact"/>
        <w:ind w:firstLineChars="200" w:firstLine="562"/>
        <w:jc w:val="both"/>
        <w:divId w:val="375204044"/>
        <w:rPr>
          <w:rFonts w:ascii="仿宋" w:eastAsia="仿宋" w:hAnsi="仿宋"/>
          <w:sz w:val="28"/>
          <w:szCs w:val="28"/>
        </w:rPr>
      </w:pPr>
      <w:r>
        <w:rPr>
          <w:rStyle w:val="a4"/>
          <w:rFonts w:ascii="仿宋" w:eastAsia="仿宋" w:hAnsi="仿宋" w:hint="eastAsia"/>
          <w:sz w:val="28"/>
          <w:szCs w:val="28"/>
        </w:rPr>
        <w:t>4、环境保护</w:t>
      </w:r>
    </w:p>
    <w:p w:rsid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Pr>
          <w:rFonts w:ascii="仿宋" w:eastAsia="仿宋" w:hAnsi="仿宋" w:hint="eastAsia"/>
          <w:sz w:val="28"/>
          <w:szCs w:val="28"/>
        </w:rPr>
        <w:t>公司高度重视环境保护工作，在生产经营与公司管理中始终坚持保护环境、协调发展、绿色生产等方针，践行环境保护职责，促进可持续发展。公司严格按照有关环保法规及相应标准对污染物及废弃物进行有效综合治理，同时结合内部规章制度，加强管理效力，不断完善设备节能环保工艺，提高生产效率，推行节能减排措施。</w:t>
      </w:r>
    </w:p>
    <w:p w:rsid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Pr>
          <w:rFonts w:ascii="仿宋" w:eastAsia="仿宋" w:hAnsi="仿宋" w:hint="eastAsia"/>
          <w:sz w:val="28"/>
          <w:szCs w:val="28"/>
        </w:rPr>
        <w:t>报告期内，公司下属生产型企业严格按照监管部门的要求实现排放物有效规范处理、达标排放，无环保投诉事件和重大环保责任事故发生。</w:t>
      </w:r>
    </w:p>
    <w:p w:rsidR="00846729" w:rsidRDefault="00B13593" w:rsidP="00812EA2">
      <w:pPr>
        <w:pStyle w:val="a3"/>
        <w:widowControl w:val="0"/>
        <w:spacing w:before="0" w:beforeAutospacing="0" w:after="0" w:afterAutospacing="0" w:line="560" w:lineRule="exact"/>
        <w:ind w:firstLineChars="200" w:firstLine="562"/>
        <w:jc w:val="both"/>
        <w:divId w:val="375204044"/>
        <w:rPr>
          <w:rFonts w:ascii="仿宋" w:eastAsia="仿宋" w:hAnsi="仿宋"/>
          <w:sz w:val="28"/>
          <w:szCs w:val="28"/>
        </w:rPr>
      </w:pPr>
      <w:r>
        <w:rPr>
          <w:rStyle w:val="a4"/>
          <w:rFonts w:ascii="仿宋" w:eastAsia="仿宋" w:hAnsi="仿宋" w:hint="eastAsia"/>
          <w:sz w:val="28"/>
          <w:szCs w:val="28"/>
        </w:rPr>
        <w:t>5、社会公益</w:t>
      </w:r>
    </w:p>
    <w:p w:rsid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sidRPr="009A14ED">
        <w:rPr>
          <w:rFonts w:ascii="仿宋" w:eastAsia="仿宋" w:hAnsi="仿宋" w:hint="eastAsia"/>
          <w:sz w:val="28"/>
          <w:szCs w:val="28"/>
        </w:rPr>
        <w:t>公司注重社会价值的创造，自觉把履行社会责任的重点放在积极参加社会公益活动上，积极投身社会公益慈善事业，努力创造和谐公共关系。报告期内，公司开展了青葵慈善公益助学</w:t>
      </w:r>
      <w:r w:rsidR="006B7DF4" w:rsidRPr="009A14ED">
        <w:rPr>
          <w:rFonts w:ascii="仿宋" w:eastAsia="仿宋" w:hAnsi="仿宋" w:hint="eastAsia"/>
          <w:sz w:val="28"/>
          <w:szCs w:val="28"/>
        </w:rPr>
        <w:t>、慰问</w:t>
      </w:r>
      <w:r w:rsidR="00DF44DC" w:rsidRPr="009A14ED">
        <w:rPr>
          <w:rFonts w:ascii="仿宋" w:eastAsia="仿宋" w:hAnsi="仿宋" w:hint="eastAsia"/>
          <w:sz w:val="28"/>
          <w:szCs w:val="28"/>
        </w:rPr>
        <w:t>消防</w:t>
      </w:r>
      <w:r w:rsidR="00DF44DC" w:rsidRPr="009A14ED">
        <w:rPr>
          <w:rFonts w:ascii="仿宋" w:eastAsia="仿宋" w:hAnsi="仿宋"/>
          <w:sz w:val="28"/>
          <w:szCs w:val="28"/>
        </w:rPr>
        <w:t>队伍</w:t>
      </w:r>
      <w:r w:rsidRPr="009A14ED">
        <w:rPr>
          <w:rFonts w:ascii="仿宋" w:eastAsia="仿宋" w:hAnsi="仿宋" w:hint="eastAsia"/>
          <w:sz w:val="28"/>
          <w:szCs w:val="28"/>
        </w:rPr>
        <w:t>等社会公益活动。</w:t>
      </w:r>
    </w:p>
    <w:p w:rsidR="00846729" w:rsidRDefault="00B13593" w:rsidP="00812EA2">
      <w:pPr>
        <w:pStyle w:val="a3"/>
        <w:widowControl w:val="0"/>
        <w:spacing w:before="0" w:beforeAutospacing="0" w:after="0" w:afterAutospacing="0" w:line="560" w:lineRule="exact"/>
        <w:ind w:firstLineChars="200" w:firstLine="562"/>
        <w:jc w:val="both"/>
        <w:divId w:val="375204044"/>
        <w:rPr>
          <w:rFonts w:ascii="仿宋" w:eastAsia="仿宋" w:hAnsi="仿宋"/>
          <w:sz w:val="28"/>
          <w:szCs w:val="28"/>
        </w:rPr>
      </w:pPr>
      <w:r>
        <w:rPr>
          <w:rStyle w:val="a4"/>
          <w:rFonts w:ascii="仿宋" w:eastAsia="仿宋" w:hAnsi="仿宋" w:hint="eastAsia"/>
          <w:sz w:val="28"/>
          <w:szCs w:val="28"/>
        </w:rPr>
        <w:t>(二）</w:t>
      </w:r>
      <w:r>
        <w:rPr>
          <w:rStyle w:val="a4"/>
          <w:rFonts w:hint="eastAsia"/>
          <w:sz w:val="28"/>
          <w:szCs w:val="28"/>
        </w:rPr>
        <w:t>巩固拓展脱贫攻坚成果、乡村振兴的情况</w:t>
      </w:r>
    </w:p>
    <w:p w:rsidR="00B13593" w:rsidRPr="00846729" w:rsidRDefault="00B13593" w:rsidP="00812EA2">
      <w:pPr>
        <w:pStyle w:val="a3"/>
        <w:widowControl w:val="0"/>
        <w:spacing w:before="0" w:beforeAutospacing="0" w:after="0" w:afterAutospacing="0" w:line="560" w:lineRule="exact"/>
        <w:ind w:firstLineChars="200" w:firstLine="560"/>
        <w:jc w:val="both"/>
        <w:divId w:val="375204044"/>
        <w:rPr>
          <w:rFonts w:ascii="仿宋" w:eastAsia="仿宋" w:hAnsi="仿宋"/>
          <w:sz w:val="28"/>
          <w:szCs w:val="28"/>
        </w:rPr>
      </w:pPr>
      <w:r>
        <w:rPr>
          <w:rFonts w:ascii="仿宋" w:eastAsia="仿宋" w:hAnsi="仿宋" w:hint="eastAsia"/>
          <w:sz w:val="28"/>
          <w:szCs w:val="28"/>
        </w:rPr>
        <w:t>公司报告期内未开展脱贫攻坚、乡村振兴工作。</w:t>
      </w:r>
    </w:p>
    <w:p w:rsidR="00B13593" w:rsidRDefault="00B13593" w:rsidP="00812EA2">
      <w:pPr>
        <w:pStyle w:val="a3"/>
        <w:widowControl w:val="0"/>
        <w:spacing w:before="0" w:beforeAutospacing="0" w:after="0" w:afterAutospacing="0" w:line="560" w:lineRule="exact"/>
        <w:ind w:firstLine="561"/>
        <w:divId w:val="375204044"/>
      </w:pPr>
      <w:r>
        <w:rPr>
          <w:rFonts w:hint="eastAsia"/>
        </w:rPr>
        <w:t> </w:t>
      </w:r>
    </w:p>
    <w:p w:rsidR="00812EA2" w:rsidRDefault="00812EA2" w:rsidP="00054B06"/>
    <w:p w:rsidR="00B13593" w:rsidRDefault="00B13F8C" w:rsidP="00054B06">
      <w: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51" w:name="_Toc988939"/>
      <w:r>
        <w:rPr>
          <w:rFonts w:ascii="宋体" w:eastAsia="宋体" w:hAnsi="宋体" w:cs="宋体"/>
          <w:b/>
          <w:bCs/>
          <w:sz w:val="32"/>
          <w:szCs w:val="32"/>
        </w:rPr>
        <w:lastRenderedPageBreak/>
        <w:t>第六节 重要事项</w:t>
      </w:r>
      <w:bookmarkEnd w:id="51"/>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2" w:name="_Toc988940"/>
      <w:r w:rsidRPr="00B742A4">
        <w:rPr>
          <w:b/>
          <w:bCs/>
          <w:sz w:val="28"/>
          <w:szCs w:val="28"/>
        </w:rPr>
        <w:t>一、公司实际控制人、股东、关联方、收购人以及公司等承诺相关方在报告期内履行完毕及截至报告期末超期未履行完毕的承诺事项</w:t>
      </w:r>
      <w:bookmarkEnd w:id="52"/>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 xml:space="preserve">□适用 </w:t>
      </w:r>
      <w:r w:rsidR="00B742A4">
        <w:rPr>
          <w:rFonts w:ascii="仿宋" w:eastAsia="仿宋" w:hAnsi="仿宋" w:hint="eastAsia"/>
          <w:sz w:val="28"/>
          <w:szCs w:val="28"/>
        </w:rPr>
        <w:t xml:space="preserve"> </w:t>
      </w:r>
      <w:r w:rsidRPr="00B742A4">
        <w:rPr>
          <w:rFonts w:ascii="仿宋" w:eastAsia="仿宋" w:hAnsi="仿宋"/>
          <w:sz w:val="28"/>
          <w:szCs w:val="28"/>
        </w:rPr>
        <w:sym w:font="Wingdings 2" w:char="F052"/>
      </w:r>
      <w:r w:rsidRPr="00B742A4">
        <w:rPr>
          <w:rFonts w:ascii="仿宋" w:eastAsia="仿宋" w:hAnsi="仿宋"/>
          <w:sz w:val="28"/>
          <w:szCs w:val="28"/>
        </w:rPr>
        <w:t>不适用</w:t>
      </w:r>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公司报告期不存在由公司实际控制人、股东、关联方、收购人以及公司等承诺相关方在报告期内履行完毕及截至报告期末超期未履行完毕的承诺事项。</w:t>
      </w:r>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3" w:name="_Toc988941"/>
      <w:r w:rsidRPr="00B742A4">
        <w:rPr>
          <w:b/>
          <w:bCs/>
          <w:sz w:val="28"/>
          <w:szCs w:val="28"/>
        </w:rPr>
        <w:t>二、控股股东及其他关联方对上市公司的非经营性占用资金情况</w:t>
      </w:r>
      <w:bookmarkEnd w:id="53"/>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□适用</w:t>
      </w:r>
      <w:r w:rsidR="00B742A4">
        <w:rPr>
          <w:rFonts w:ascii="仿宋" w:eastAsia="仿宋" w:hAnsi="仿宋" w:hint="eastAsia"/>
          <w:sz w:val="28"/>
          <w:szCs w:val="28"/>
        </w:rPr>
        <w:t xml:space="preserve"> </w:t>
      </w:r>
      <w:r w:rsidRPr="00B742A4">
        <w:rPr>
          <w:rFonts w:ascii="仿宋" w:eastAsia="仿宋" w:hAnsi="仿宋"/>
          <w:sz w:val="28"/>
          <w:szCs w:val="28"/>
        </w:rPr>
        <w:t xml:space="preserve"> </w:t>
      </w:r>
      <w:r w:rsidRPr="00B742A4">
        <w:rPr>
          <w:rFonts w:ascii="仿宋" w:eastAsia="仿宋" w:hAnsi="仿宋"/>
          <w:sz w:val="28"/>
          <w:szCs w:val="28"/>
        </w:rPr>
        <w:sym w:font="Wingdings 2" w:char="F052"/>
      </w:r>
      <w:r w:rsidRPr="00B742A4">
        <w:rPr>
          <w:rFonts w:ascii="仿宋" w:eastAsia="仿宋" w:hAnsi="仿宋"/>
          <w:sz w:val="28"/>
          <w:szCs w:val="28"/>
        </w:rPr>
        <w:t>不适用</w:t>
      </w:r>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公司报告期不存在控股股东及其他关联方对上市公司的非经营性占用资金。</w:t>
      </w:r>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4" w:name="_Toc988942"/>
      <w:r w:rsidRPr="00B742A4">
        <w:rPr>
          <w:b/>
          <w:bCs/>
          <w:sz w:val="28"/>
          <w:szCs w:val="28"/>
        </w:rPr>
        <w:t>三、违规对外担保情况</w:t>
      </w:r>
      <w:bookmarkEnd w:id="54"/>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□适用</w:t>
      </w:r>
      <w:r w:rsidR="00B742A4">
        <w:rPr>
          <w:rFonts w:ascii="仿宋" w:eastAsia="仿宋" w:hAnsi="仿宋" w:hint="eastAsia"/>
          <w:sz w:val="28"/>
          <w:szCs w:val="28"/>
        </w:rPr>
        <w:t xml:space="preserve"> </w:t>
      </w:r>
      <w:r w:rsidRPr="00B742A4">
        <w:rPr>
          <w:rFonts w:ascii="仿宋" w:eastAsia="仿宋" w:hAnsi="仿宋"/>
          <w:sz w:val="28"/>
          <w:szCs w:val="28"/>
        </w:rPr>
        <w:t xml:space="preserve"> </w:t>
      </w:r>
      <w:r w:rsidRPr="00B742A4">
        <w:rPr>
          <w:rFonts w:ascii="仿宋" w:eastAsia="仿宋" w:hAnsi="仿宋"/>
          <w:sz w:val="28"/>
          <w:szCs w:val="28"/>
        </w:rPr>
        <w:sym w:font="Wingdings 2" w:char="F052"/>
      </w:r>
      <w:r w:rsidRPr="00B742A4">
        <w:rPr>
          <w:rFonts w:ascii="仿宋" w:eastAsia="仿宋" w:hAnsi="仿宋"/>
          <w:sz w:val="28"/>
          <w:szCs w:val="28"/>
        </w:rPr>
        <w:t>不适用</w:t>
      </w:r>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公司报告期无违规对外担保情况。</w:t>
      </w:r>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5" w:name="_Toc988943"/>
      <w:r w:rsidRPr="00B742A4">
        <w:rPr>
          <w:b/>
          <w:bCs/>
          <w:sz w:val="28"/>
          <w:szCs w:val="28"/>
        </w:rPr>
        <w:t>四、聘任、解聘会计师事务所情况</w:t>
      </w:r>
      <w:bookmarkEnd w:id="55"/>
    </w:p>
    <w:p w:rsidR="00B13593" w:rsidRPr="00B742A4"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B742A4">
        <w:rPr>
          <w:rFonts w:ascii="仿宋" w:eastAsia="仿宋" w:hAnsi="仿宋"/>
          <w:b/>
          <w:sz w:val="28"/>
          <w:szCs w:val="28"/>
        </w:rPr>
        <w:t>半年度财务报告是否已经审计</w:t>
      </w:r>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□是</w:t>
      </w:r>
      <w:r w:rsidR="00B742A4">
        <w:rPr>
          <w:rFonts w:ascii="仿宋" w:eastAsia="仿宋" w:hAnsi="仿宋" w:hint="eastAsia"/>
          <w:sz w:val="28"/>
          <w:szCs w:val="28"/>
        </w:rPr>
        <w:t xml:space="preserve"> </w:t>
      </w:r>
      <w:r w:rsidRPr="00B742A4">
        <w:rPr>
          <w:rFonts w:ascii="仿宋" w:eastAsia="仿宋" w:hAnsi="仿宋"/>
          <w:sz w:val="28"/>
          <w:szCs w:val="28"/>
        </w:rPr>
        <w:t xml:space="preserve"> </w:t>
      </w:r>
      <w:r w:rsidRPr="00B742A4">
        <w:rPr>
          <w:rFonts w:ascii="仿宋" w:eastAsia="仿宋" w:hAnsi="仿宋"/>
          <w:sz w:val="28"/>
          <w:szCs w:val="28"/>
        </w:rPr>
        <w:sym w:font="Wingdings 2" w:char="F052"/>
      </w:r>
      <w:r w:rsidRPr="00B742A4">
        <w:rPr>
          <w:rFonts w:ascii="仿宋" w:eastAsia="仿宋" w:hAnsi="仿宋"/>
          <w:sz w:val="28"/>
          <w:szCs w:val="28"/>
        </w:rPr>
        <w:t>否</w:t>
      </w:r>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公司半年度报告未经审计。</w:t>
      </w:r>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6" w:name="_Toc988944"/>
      <w:r w:rsidRPr="00B742A4">
        <w:rPr>
          <w:b/>
          <w:bCs/>
          <w:sz w:val="28"/>
          <w:szCs w:val="28"/>
        </w:rPr>
        <w:t>五、董事会、监事会对会计师事务所本报告期“非标准审计报告”的说明</w:t>
      </w:r>
      <w:bookmarkEnd w:id="56"/>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□适用</w:t>
      </w:r>
      <w:r w:rsidR="00B742A4">
        <w:rPr>
          <w:rFonts w:ascii="仿宋" w:eastAsia="仿宋" w:hAnsi="仿宋" w:hint="eastAsia"/>
          <w:sz w:val="28"/>
          <w:szCs w:val="28"/>
        </w:rPr>
        <w:t xml:space="preserve">  </w:t>
      </w:r>
      <w:r w:rsidRPr="00B742A4">
        <w:rPr>
          <w:rFonts w:ascii="仿宋" w:eastAsia="仿宋" w:hAnsi="仿宋"/>
          <w:sz w:val="28"/>
          <w:szCs w:val="28"/>
        </w:rPr>
        <w:sym w:font="Wingdings 2" w:char="F052"/>
      </w:r>
      <w:r w:rsidRPr="00B742A4">
        <w:rPr>
          <w:rFonts w:ascii="仿宋" w:eastAsia="仿宋" w:hAnsi="仿宋"/>
          <w:sz w:val="28"/>
          <w:szCs w:val="28"/>
        </w:rPr>
        <w:t>不适用</w:t>
      </w:r>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7" w:name="_Toc988945"/>
      <w:r w:rsidRPr="00B742A4">
        <w:rPr>
          <w:b/>
          <w:bCs/>
          <w:sz w:val="28"/>
          <w:szCs w:val="28"/>
        </w:rPr>
        <w:t>六、董事会对上年度“非标准审计报告”相关情况的说明</w:t>
      </w:r>
      <w:bookmarkEnd w:id="57"/>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□适用</w:t>
      </w:r>
      <w:r w:rsidR="00B742A4">
        <w:rPr>
          <w:rFonts w:ascii="仿宋" w:eastAsia="仿宋" w:hAnsi="仿宋" w:hint="eastAsia"/>
          <w:sz w:val="28"/>
          <w:szCs w:val="28"/>
        </w:rPr>
        <w:t xml:space="preserve"> </w:t>
      </w:r>
      <w:r w:rsidRPr="00B742A4">
        <w:rPr>
          <w:rFonts w:ascii="仿宋" w:eastAsia="仿宋" w:hAnsi="仿宋"/>
          <w:sz w:val="28"/>
          <w:szCs w:val="28"/>
        </w:rPr>
        <w:t xml:space="preserve"> </w:t>
      </w:r>
      <w:r w:rsidRPr="00B742A4">
        <w:rPr>
          <w:rFonts w:ascii="仿宋" w:eastAsia="仿宋" w:hAnsi="仿宋"/>
          <w:sz w:val="28"/>
          <w:szCs w:val="28"/>
        </w:rPr>
        <w:sym w:font="Wingdings 2" w:char="F052"/>
      </w:r>
      <w:r w:rsidRPr="00B742A4">
        <w:rPr>
          <w:rFonts w:ascii="仿宋" w:eastAsia="仿宋" w:hAnsi="仿宋"/>
          <w:sz w:val="28"/>
          <w:szCs w:val="28"/>
        </w:rPr>
        <w:t>不适用</w:t>
      </w:r>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8" w:name="_Toc988946"/>
      <w:r w:rsidRPr="00B742A4">
        <w:rPr>
          <w:b/>
          <w:bCs/>
          <w:sz w:val="28"/>
          <w:szCs w:val="28"/>
        </w:rPr>
        <w:lastRenderedPageBreak/>
        <w:t>七、破产重整相关事项</w:t>
      </w:r>
      <w:bookmarkEnd w:id="58"/>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□适用</w:t>
      </w:r>
      <w:r w:rsidR="00B742A4">
        <w:rPr>
          <w:rFonts w:ascii="仿宋" w:eastAsia="仿宋" w:hAnsi="仿宋" w:hint="eastAsia"/>
          <w:sz w:val="28"/>
          <w:szCs w:val="28"/>
        </w:rPr>
        <w:t xml:space="preserve"> </w:t>
      </w:r>
      <w:r w:rsidRPr="00B742A4">
        <w:rPr>
          <w:rFonts w:ascii="仿宋" w:eastAsia="仿宋" w:hAnsi="仿宋"/>
          <w:sz w:val="28"/>
          <w:szCs w:val="28"/>
        </w:rPr>
        <w:t xml:space="preserve"> </w:t>
      </w:r>
      <w:r w:rsidRPr="00B742A4">
        <w:rPr>
          <w:rFonts w:ascii="仿宋" w:eastAsia="仿宋" w:hAnsi="仿宋"/>
          <w:sz w:val="28"/>
          <w:szCs w:val="28"/>
        </w:rPr>
        <w:sym w:font="Wingdings 2" w:char="F052"/>
      </w:r>
      <w:r w:rsidRPr="00B742A4">
        <w:rPr>
          <w:rFonts w:ascii="仿宋" w:eastAsia="仿宋" w:hAnsi="仿宋"/>
          <w:sz w:val="28"/>
          <w:szCs w:val="28"/>
        </w:rPr>
        <w:t>不适用</w:t>
      </w:r>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t>公司报告期未发生破产重整相关事项。</w:t>
      </w:r>
    </w:p>
    <w:p w:rsidR="00B13593" w:rsidRPr="00B742A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59" w:name="_Toc988947"/>
      <w:r w:rsidRPr="00B742A4">
        <w:rPr>
          <w:b/>
          <w:bCs/>
          <w:sz w:val="28"/>
          <w:szCs w:val="28"/>
        </w:rPr>
        <w:t>八、诉讼事项</w:t>
      </w:r>
      <w:bookmarkEnd w:id="59"/>
    </w:p>
    <w:p w:rsidR="00B13593" w:rsidRPr="00B742A4"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B742A4">
        <w:rPr>
          <w:rFonts w:ascii="仿宋" w:eastAsia="仿宋" w:hAnsi="仿宋"/>
          <w:b/>
          <w:sz w:val="28"/>
          <w:szCs w:val="28"/>
        </w:rPr>
        <w:t>重大诉讼仲裁事项</w:t>
      </w:r>
    </w:p>
    <w:p w:rsidR="00B13593" w:rsidRPr="00B742A4"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B742A4">
        <w:rPr>
          <w:rFonts w:ascii="仿宋" w:eastAsia="仿宋" w:hAnsi="仿宋"/>
          <w:sz w:val="28"/>
          <w:szCs w:val="28"/>
        </w:rPr>
        <w:sym w:font="Wingdings 2" w:char="F052"/>
      </w:r>
      <w:r w:rsidRPr="00B742A4">
        <w:rPr>
          <w:rFonts w:ascii="仿宋" w:eastAsia="仿宋" w:hAnsi="仿宋"/>
          <w:sz w:val="28"/>
          <w:szCs w:val="28"/>
        </w:rPr>
        <w:t>适用</w:t>
      </w:r>
      <w:r w:rsidR="00B742A4">
        <w:rPr>
          <w:rFonts w:ascii="仿宋" w:eastAsia="仿宋" w:hAnsi="仿宋" w:hint="eastAsia"/>
          <w:sz w:val="28"/>
          <w:szCs w:val="28"/>
        </w:rPr>
        <w:t xml:space="preserve"> </w:t>
      </w:r>
      <w:r w:rsidRPr="00B742A4">
        <w:rPr>
          <w:rFonts w:ascii="仿宋" w:eastAsia="仿宋" w:hAnsi="仿宋"/>
          <w:sz w:val="28"/>
          <w:szCs w:val="28"/>
        </w:rPr>
        <w:t xml:space="preserve">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809"/>
        <w:gridCol w:w="993"/>
        <w:gridCol w:w="992"/>
        <w:gridCol w:w="1025"/>
        <w:gridCol w:w="1385"/>
        <w:gridCol w:w="1417"/>
        <w:gridCol w:w="851"/>
        <w:gridCol w:w="1167"/>
      </w:tblGrid>
      <w:tr w:rsidR="00B13593" w:rsidTr="00E7366C">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诉讼(仲裁)基本情况</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涉案金额（万元）</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是否形成预计负债</w:t>
            </w:r>
          </w:p>
        </w:tc>
        <w:tc>
          <w:tcPr>
            <w:tcW w:w="102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诉讼(仲裁)进展</w:t>
            </w:r>
          </w:p>
        </w:tc>
        <w:tc>
          <w:tcPr>
            <w:tcW w:w="138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诉讼(仲裁)审理结果及影响</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诉讼(仲裁)判决执行情况</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披露日期</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披露索引</w:t>
            </w:r>
          </w:p>
        </w:tc>
      </w:tr>
      <w:tr w:rsidR="00B13593" w:rsidTr="00E7366C">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原告广东甘化科工股份有限公司与被告一江门市人民政府国有资产监督管理委员会、被告二江门市自然资源局诉讼土地补偿款纠纷。原告请求：1、判令被告一继续履行《江门甘蔗化工厂（集团）股份有限公司本部厂区"三旧"改造协议书》，立即支付原告土地补偿款余款9678.066434万元；2、判令被告一赔偿原告利息损失2909385.80元（从2020年8月22日起暂计至2021年6月3日止，实际损失计算至付清补偿款之日止，计算方式：96780664.34*285天*3.85%/365天=2909385.80元）；3、判令被告二与被告一共同承担上述第1、2项诉讼请求的付款义务；4、本案诉讼费由被告一和被告二承担。</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9,969.01</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否</w:t>
            </w: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2023年2月收到江门市江海区人民法院一审判决，驳回公司诉讼请求。公司已向法院递交上诉状及相关材料。目前二审尚未开庭。</w:t>
            </w:r>
          </w:p>
        </w:tc>
        <w:tc>
          <w:tcPr>
            <w:tcW w:w="138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暂无法预计本次诉讼对公司本期利润或期后利润的影响</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上诉阶段</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2023年02月17日</w:t>
            </w:r>
          </w:p>
        </w:tc>
        <w:tc>
          <w:tcPr>
            <w:tcW w:w="1167" w:type="dxa"/>
            <w:tcBorders>
              <w:top w:val="single" w:sz="2" w:space="0" w:color="auto"/>
              <w:left w:val="single" w:sz="2" w:space="0" w:color="auto"/>
              <w:bottom w:val="single" w:sz="2" w:space="0" w:color="auto"/>
              <w:right w:val="single" w:sz="2" w:space="0" w:color="auto"/>
            </w:tcBorders>
            <w:vAlign w:val="center"/>
          </w:tcPr>
          <w:p w:rsidR="00B13593" w:rsidRDefault="00B13F8C" w:rsidP="00E345F7">
            <w:pPr>
              <w:spacing w:line="300" w:lineRule="exact"/>
              <w:rPr>
                <w:rFonts w:ascii="宋体" w:eastAsia="宋体" w:hAnsi="宋体" w:cs="宋体"/>
                <w:sz w:val="18"/>
                <w:szCs w:val="18"/>
              </w:rPr>
            </w:pPr>
            <w:r w:rsidRPr="00420EE3">
              <w:rPr>
                <w:rFonts w:ascii="宋体" w:eastAsia="宋体" w:hAnsi="宋体" w:cs="宋体"/>
                <w:sz w:val="18"/>
                <w:szCs w:val="18"/>
              </w:rPr>
              <w:t>《中国证券报》《证券时报》《证券日报》《上海证券报》及巨潮资讯网（http://www.cninfo.com.cn)披露的《关于收到广东省江门市江海区人民法院《行政判决书》的公告》（2023-06）</w:t>
            </w:r>
          </w:p>
        </w:tc>
      </w:tr>
    </w:tbl>
    <w:p w:rsidR="00E7366C" w:rsidRPr="00980BC4" w:rsidRDefault="00E7366C" w:rsidP="0036295D">
      <w:pPr>
        <w:snapToGrid w:val="0"/>
        <w:spacing w:line="520" w:lineRule="exact"/>
        <w:ind w:firstLineChars="200" w:firstLine="480"/>
        <w:jc w:val="both"/>
        <w:rPr>
          <w:rFonts w:ascii="仿宋" w:eastAsia="仿宋" w:hAnsi="仿宋" w:cs="Times New Roman"/>
          <w:sz w:val="24"/>
          <w:szCs w:val="24"/>
        </w:rPr>
      </w:pPr>
      <w:r w:rsidRPr="00980BC4">
        <w:rPr>
          <w:rFonts w:ascii="仿宋" w:eastAsia="仿宋" w:hAnsi="仿宋" w:cs="Times New Roman"/>
          <w:sz w:val="24"/>
          <w:szCs w:val="24"/>
        </w:rPr>
        <w:lastRenderedPageBreak/>
        <w:t>注：</w:t>
      </w:r>
      <w:r w:rsidRPr="00980BC4">
        <w:rPr>
          <w:rFonts w:ascii="仿宋" w:eastAsia="仿宋" w:hAnsi="仿宋" w:cs="Times New Roman" w:hint="eastAsia"/>
          <w:sz w:val="24"/>
          <w:szCs w:val="24"/>
        </w:rPr>
        <w:t>2023年</w:t>
      </w:r>
      <w:r>
        <w:rPr>
          <w:rFonts w:ascii="仿宋" w:eastAsia="仿宋" w:hAnsi="仿宋" w:cs="Times New Roman" w:hint="eastAsia"/>
          <w:sz w:val="24"/>
          <w:szCs w:val="24"/>
        </w:rPr>
        <w:t>8</w:t>
      </w:r>
      <w:r w:rsidRPr="00980BC4">
        <w:rPr>
          <w:rFonts w:ascii="仿宋" w:eastAsia="仿宋" w:hAnsi="仿宋" w:cs="Times New Roman" w:hint="eastAsia"/>
          <w:sz w:val="24"/>
          <w:szCs w:val="24"/>
        </w:rPr>
        <w:t>月，公司收到广东省江门市</w:t>
      </w:r>
      <w:r>
        <w:rPr>
          <w:rFonts w:ascii="仿宋" w:eastAsia="仿宋" w:hAnsi="仿宋" w:cs="Times New Roman" w:hint="eastAsia"/>
          <w:sz w:val="24"/>
          <w:szCs w:val="24"/>
        </w:rPr>
        <w:t>中级</w:t>
      </w:r>
      <w:r w:rsidRPr="00980BC4">
        <w:rPr>
          <w:rFonts w:ascii="仿宋" w:eastAsia="仿宋" w:hAnsi="仿宋" w:cs="Times New Roman" w:hint="eastAsia"/>
          <w:sz w:val="24"/>
          <w:szCs w:val="24"/>
        </w:rPr>
        <w:t>人民法院的《行政判决书》，驳回了</w:t>
      </w:r>
      <w:r>
        <w:rPr>
          <w:rFonts w:ascii="仿宋" w:eastAsia="仿宋" w:hAnsi="仿宋" w:cs="Times New Roman" w:hint="eastAsia"/>
          <w:sz w:val="24"/>
          <w:szCs w:val="24"/>
        </w:rPr>
        <w:t>公司就上述事项的上诉</w:t>
      </w:r>
      <w:r w:rsidRPr="00980BC4">
        <w:rPr>
          <w:rFonts w:ascii="仿宋" w:eastAsia="仿宋" w:hAnsi="仿宋" w:cs="Times New Roman" w:hint="eastAsia"/>
          <w:sz w:val="24"/>
          <w:szCs w:val="24"/>
        </w:rPr>
        <w:t>请求。详情请参阅公司2023年</w:t>
      </w:r>
      <w:r>
        <w:rPr>
          <w:rFonts w:ascii="仿宋" w:eastAsia="仿宋" w:hAnsi="仿宋" w:cs="Times New Roman" w:hint="eastAsia"/>
          <w:sz w:val="24"/>
          <w:szCs w:val="24"/>
        </w:rPr>
        <w:t>8</w:t>
      </w:r>
      <w:r w:rsidRPr="00980BC4">
        <w:rPr>
          <w:rFonts w:ascii="仿宋" w:eastAsia="仿宋" w:hAnsi="仿宋" w:cs="Times New Roman" w:hint="eastAsia"/>
          <w:sz w:val="24"/>
          <w:szCs w:val="24"/>
        </w:rPr>
        <w:t>月</w:t>
      </w:r>
      <w:r>
        <w:rPr>
          <w:rFonts w:ascii="仿宋" w:eastAsia="仿宋" w:hAnsi="仿宋" w:cs="Times New Roman" w:hint="eastAsia"/>
          <w:sz w:val="24"/>
          <w:szCs w:val="24"/>
        </w:rPr>
        <w:t>12</w:t>
      </w:r>
      <w:r w:rsidRPr="00980BC4">
        <w:rPr>
          <w:rFonts w:ascii="仿宋" w:eastAsia="仿宋" w:hAnsi="仿宋" w:cs="Times New Roman" w:hint="eastAsia"/>
          <w:sz w:val="24"/>
          <w:szCs w:val="24"/>
        </w:rPr>
        <w:t>日在《证券时报》《中国证券报》《证券日报》《上海证券报》及巨潮资讯网（http://www.cninfo.com.cn）上刊载的《</w:t>
      </w:r>
      <w:r w:rsidRPr="00E7366C">
        <w:rPr>
          <w:rFonts w:ascii="仿宋" w:eastAsia="仿宋" w:hAnsi="仿宋" w:cs="Times New Roman" w:hint="eastAsia"/>
          <w:sz w:val="24"/>
          <w:szCs w:val="24"/>
        </w:rPr>
        <w:t>关于收到广东省江门市中级人民法院</w:t>
      </w:r>
      <w:r>
        <w:rPr>
          <w:rFonts w:ascii="仿宋" w:eastAsia="仿宋" w:hAnsi="仿宋" w:cs="Times New Roman" w:hint="eastAsia"/>
          <w:sz w:val="24"/>
          <w:szCs w:val="24"/>
        </w:rPr>
        <w:t>&lt;行政判决书&gt;</w:t>
      </w:r>
      <w:r w:rsidRPr="00E7366C">
        <w:rPr>
          <w:rFonts w:ascii="仿宋" w:eastAsia="仿宋" w:hAnsi="仿宋" w:cs="Times New Roman" w:hint="eastAsia"/>
          <w:sz w:val="24"/>
          <w:szCs w:val="24"/>
        </w:rPr>
        <w:t>暨诉讼进展的公告</w:t>
      </w:r>
      <w:r w:rsidRPr="00980BC4">
        <w:rPr>
          <w:rFonts w:ascii="仿宋" w:eastAsia="仿宋" w:hAnsi="仿宋" w:cs="Times New Roman" w:hint="eastAsia"/>
          <w:sz w:val="24"/>
          <w:szCs w:val="24"/>
        </w:rPr>
        <w:t>》（2023-</w:t>
      </w:r>
      <w:r>
        <w:rPr>
          <w:rFonts w:ascii="仿宋" w:eastAsia="仿宋" w:hAnsi="仿宋" w:cs="Times New Roman" w:hint="eastAsia"/>
          <w:sz w:val="24"/>
          <w:szCs w:val="24"/>
        </w:rPr>
        <w:t>40</w:t>
      </w:r>
      <w:r w:rsidRPr="00980BC4">
        <w:rPr>
          <w:rFonts w:ascii="仿宋" w:eastAsia="仿宋" w:hAnsi="仿宋" w:cs="Times New Roman" w:hint="eastAsia"/>
          <w:sz w:val="24"/>
          <w:szCs w:val="24"/>
        </w:rPr>
        <w:t>）</w:t>
      </w:r>
      <w:r>
        <w:rPr>
          <w:rFonts w:ascii="仿宋" w:eastAsia="仿宋" w:hAnsi="仿宋" w:cs="Times New Roman" w:hint="eastAsia"/>
          <w:sz w:val="24"/>
          <w:szCs w:val="24"/>
        </w:rPr>
        <w:t>。</w:t>
      </w:r>
    </w:p>
    <w:p w:rsidR="00B13593" w:rsidRPr="00E7366C"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E7366C">
        <w:rPr>
          <w:rFonts w:ascii="仿宋" w:eastAsia="仿宋" w:hAnsi="仿宋"/>
          <w:b/>
          <w:sz w:val="28"/>
          <w:szCs w:val="28"/>
        </w:rPr>
        <w:t>其他诉讼事项</w:t>
      </w:r>
    </w:p>
    <w:p w:rsidR="00B13593" w:rsidRPr="00E7366C"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E7366C">
        <w:rPr>
          <w:rFonts w:ascii="仿宋" w:eastAsia="仿宋" w:hAnsi="仿宋"/>
          <w:sz w:val="28"/>
          <w:szCs w:val="28"/>
        </w:rPr>
        <w:sym w:font="Wingdings 2" w:char="F052"/>
      </w:r>
      <w:r w:rsidRPr="00E7366C">
        <w:rPr>
          <w:rFonts w:ascii="仿宋" w:eastAsia="仿宋" w:hAnsi="仿宋"/>
          <w:sz w:val="28"/>
          <w:szCs w:val="28"/>
        </w:rPr>
        <w:t>适用</w:t>
      </w:r>
      <w:r w:rsidR="00E7366C">
        <w:rPr>
          <w:rFonts w:ascii="仿宋" w:eastAsia="仿宋" w:hAnsi="仿宋" w:hint="eastAsia"/>
          <w:sz w:val="28"/>
          <w:szCs w:val="28"/>
        </w:rPr>
        <w:t xml:space="preserve"> </w:t>
      </w:r>
      <w:r w:rsidRPr="00E7366C">
        <w:rPr>
          <w:rFonts w:ascii="仿宋" w:eastAsia="仿宋" w:hAnsi="仿宋"/>
          <w:sz w:val="28"/>
          <w:szCs w:val="28"/>
        </w:rPr>
        <w:t xml:space="preserve">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84"/>
        <w:gridCol w:w="1134"/>
        <w:gridCol w:w="1096"/>
        <w:gridCol w:w="1030"/>
        <w:gridCol w:w="1380"/>
        <w:gridCol w:w="1455"/>
        <w:gridCol w:w="955"/>
        <w:gridCol w:w="1205"/>
      </w:tblGrid>
      <w:tr w:rsidR="00B13593" w:rsidTr="00E7366C">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诉讼(仲裁)基本情况</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涉案金额（万元）</w:t>
            </w:r>
          </w:p>
        </w:tc>
        <w:tc>
          <w:tcPr>
            <w:tcW w:w="109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是否形成预计负债</w:t>
            </w:r>
          </w:p>
        </w:tc>
        <w:tc>
          <w:tcPr>
            <w:tcW w:w="103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诉讼(仲裁)进展</w:t>
            </w:r>
          </w:p>
        </w:tc>
        <w:tc>
          <w:tcPr>
            <w:tcW w:w="138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诉讼(仲裁)审理结果及影响</w:t>
            </w:r>
          </w:p>
        </w:tc>
        <w:tc>
          <w:tcPr>
            <w:tcW w:w="145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诉讼(仲裁)判决执行情况</w:t>
            </w:r>
          </w:p>
        </w:tc>
        <w:tc>
          <w:tcPr>
            <w:tcW w:w="95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披露日期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披露索引</w:t>
            </w:r>
          </w:p>
        </w:tc>
      </w:tr>
      <w:tr w:rsidR="00B13593" w:rsidTr="00E7366C">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其他未达重大诉讼披露标准案件合计</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320.83</w:t>
            </w:r>
          </w:p>
        </w:tc>
        <w:tc>
          <w:tcPr>
            <w:tcW w:w="109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否</w:t>
            </w:r>
          </w:p>
        </w:tc>
        <w:tc>
          <w:tcPr>
            <w:tcW w:w="103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w:t>
            </w:r>
          </w:p>
        </w:tc>
        <w:tc>
          <w:tcPr>
            <w:tcW w:w="138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w:t>
            </w:r>
          </w:p>
        </w:tc>
        <w:tc>
          <w:tcPr>
            <w:tcW w:w="145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w:t>
            </w:r>
          </w:p>
        </w:tc>
        <w:tc>
          <w:tcPr>
            <w:tcW w:w="95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20" w:lineRule="exact"/>
              <w:rPr>
                <w:rFonts w:ascii="宋体" w:eastAsia="宋体" w:hAnsi="宋体" w:cs="宋体"/>
                <w:sz w:val="18"/>
                <w:szCs w:val="18"/>
              </w:rPr>
            </w:pPr>
          </w:p>
        </w:tc>
      </w:tr>
    </w:tbl>
    <w:p w:rsidR="00B13593" w:rsidRPr="00FC7E12"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60" w:name="_Toc988948"/>
      <w:r w:rsidRPr="00FC7E12">
        <w:rPr>
          <w:b/>
          <w:bCs/>
          <w:sz w:val="28"/>
          <w:szCs w:val="28"/>
        </w:rPr>
        <w:t>九、处罚及整改情况</w:t>
      </w:r>
      <w:bookmarkEnd w:id="60"/>
    </w:p>
    <w:p w:rsidR="00B13593" w:rsidRPr="00FC7E12"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FC7E12">
        <w:rPr>
          <w:rFonts w:ascii="仿宋" w:eastAsia="仿宋" w:hAnsi="仿宋"/>
          <w:sz w:val="28"/>
          <w:szCs w:val="28"/>
        </w:rPr>
        <w:sym w:font="Wingdings 2" w:char="F052"/>
      </w:r>
      <w:r w:rsidRPr="00FC7E12">
        <w:rPr>
          <w:rFonts w:ascii="仿宋" w:eastAsia="仿宋" w:hAnsi="仿宋"/>
          <w:sz w:val="28"/>
          <w:szCs w:val="28"/>
        </w:rPr>
        <w:t xml:space="preserve">适用 </w:t>
      </w:r>
      <w:r w:rsidR="00FC7E12">
        <w:rPr>
          <w:rFonts w:ascii="仿宋" w:eastAsia="仿宋" w:hAnsi="仿宋" w:hint="eastAsia"/>
          <w:sz w:val="28"/>
          <w:szCs w:val="28"/>
        </w:rPr>
        <w:t xml:space="preserve"> </w:t>
      </w:r>
      <w:r w:rsidRPr="00FC7E12">
        <w:rPr>
          <w:rFonts w:ascii="仿宋" w:eastAsia="仿宋" w:hAnsi="仿宋"/>
          <w:sz w:val="28"/>
          <w:szCs w:val="28"/>
        </w:rPr>
        <w:t>□不适用</w:t>
      </w:r>
    </w:p>
    <w:tbl>
      <w:tblPr>
        <w:tblW w:w="97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01"/>
        <w:gridCol w:w="850"/>
        <w:gridCol w:w="1418"/>
        <w:gridCol w:w="1701"/>
        <w:gridCol w:w="1417"/>
        <w:gridCol w:w="1134"/>
        <w:gridCol w:w="2126"/>
      </w:tblGrid>
      <w:tr w:rsidR="00B13593" w:rsidTr="00FC7E12">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名称/姓名</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类型</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原因</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调查处罚类型</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结论（如有）</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披露日期</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披露索引</w:t>
            </w:r>
          </w:p>
        </w:tc>
      </w:tr>
      <w:tr w:rsidR="00B13593" w:rsidTr="00FC7E12">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胡煜鐄</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董事</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亲属短线交易</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被中国证监会立案调查或行政处罚</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给予警告，并处以10万元罚款</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2023年05月25日</w:t>
            </w:r>
          </w:p>
        </w:tc>
        <w:tc>
          <w:tcPr>
            <w:tcW w:w="21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《中国证券报》《证券时报》《证券日报》《上海证券报》及巨潮资讯网（http://www.cninfo.com.cn）披露的《关于公司董事长收到行政处罚决定书的公告》(2023-23)</w:t>
            </w:r>
          </w:p>
        </w:tc>
      </w:tr>
    </w:tbl>
    <w:p w:rsidR="004F4878" w:rsidRPr="004F4878" w:rsidRDefault="004F4878"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4F4878">
        <w:rPr>
          <w:rFonts w:ascii="仿宋" w:eastAsia="仿宋" w:hAnsi="仿宋"/>
          <w:b/>
          <w:sz w:val="28"/>
          <w:szCs w:val="28"/>
        </w:rPr>
        <w:t>整改情况说明</w:t>
      </w:r>
    </w:p>
    <w:p w:rsidR="004F4878" w:rsidRPr="004F4878" w:rsidRDefault="004F4878"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4F4878">
        <w:rPr>
          <w:rFonts w:ascii="仿宋" w:eastAsia="仿宋" w:hAnsi="仿宋"/>
          <w:sz w:val="28"/>
          <w:szCs w:val="28"/>
        </w:rPr>
        <w:t>□适用</w:t>
      </w:r>
      <w:r>
        <w:rPr>
          <w:rFonts w:ascii="仿宋" w:eastAsia="仿宋" w:hAnsi="仿宋" w:hint="eastAsia"/>
          <w:sz w:val="28"/>
          <w:szCs w:val="28"/>
        </w:rPr>
        <w:t xml:space="preserve"> </w:t>
      </w:r>
      <w:r w:rsidRPr="004F4878">
        <w:rPr>
          <w:rFonts w:ascii="仿宋" w:eastAsia="仿宋" w:hAnsi="仿宋"/>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公司报告期不存在处罚及整改情况。</w:t>
      </w:r>
    </w:p>
    <w:p w:rsidR="00B13593" w:rsidRPr="004F4878"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61" w:name="_Toc988949"/>
      <w:r w:rsidRPr="004F4878">
        <w:rPr>
          <w:b/>
          <w:bCs/>
          <w:sz w:val="28"/>
          <w:szCs w:val="28"/>
        </w:rPr>
        <w:t>十、公司及其控股股东、实际控制人的诚信状况</w:t>
      </w:r>
      <w:bookmarkEnd w:id="61"/>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□适用</w:t>
      </w:r>
      <w:r w:rsidR="004F4878">
        <w:rPr>
          <w:rFonts w:ascii="仿宋" w:eastAsia="仿宋" w:hAnsi="仿宋" w:hint="eastAsia"/>
          <w:sz w:val="28"/>
          <w:szCs w:val="28"/>
        </w:rPr>
        <w:t xml:space="preserve"> </w:t>
      </w:r>
      <w:r w:rsidRPr="004F4878">
        <w:rPr>
          <w:rFonts w:ascii="仿宋" w:eastAsia="仿宋" w:hAnsi="仿宋"/>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62" w:name="_Toc988950"/>
      <w:r w:rsidRPr="004F4878">
        <w:rPr>
          <w:b/>
          <w:bCs/>
          <w:sz w:val="28"/>
          <w:szCs w:val="28"/>
        </w:rPr>
        <w:t>十一、重大关联交易</w:t>
      </w:r>
      <w:bookmarkEnd w:id="62"/>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bookmarkStart w:id="63" w:name="_Toc988951"/>
      <w:r w:rsidRPr="004F4878">
        <w:rPr>
          <w:rFonts w:ascii="仿宋" w:eastAsia="仿宋" w:hAnsi="仿宋"/>
          <w:b/>
          <w:sz w:val="28"/>
          <w:szCs w:val="28"/>
        </w:rPr>
        <w:t>1、与日常经营相关的关联交易</w:t>
      </w:r>
      <w:bookmarkEnd w:id="63"/>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 xml:space="preserve">□适用 </w:t>
      </w:r>
      <w:r w:rsidR="004F4878">
        <w:rPr>
          <w:rFonts w:ascii="仿宋" w:eastAsia="仿宋" w:hAnsi="仿宋" w:hint="eastAsia"/>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公司报告期未发生与日常经营相关的关联交易。</w:t>
      </w:r>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bookmarkStart w:id="64" w:name="_Toc988952"/>
      <w:r w:rsidRPr="004F4878">
        <w:rPr>
          <w:rFonts w:ascii="仿宋" w:eastAsia="仿宋" w:hAnsi="仿宋"/>
          <w:b/>
          <w:sz w:val="28"/>
          <w:szCs w:val="28"/>
        </w:rPr>
        <w:lastRenderedPageBreak/>
        <w:t>2、资产或股权收购、出售发生的关联交易</w:t>
      </w:r>
      <w:bookmarkEnd w:id="64"/>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□适用</w:t>
      </w:r>
      <w:r w:rsidR="004F4878">
        <w:rPr>
          <w:rFonts w:ascii="仿宋" w:eastAsia="仿宋" w:hAnsi="仿宋" w:hint="eastAsia"/>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公司报告期未发生资产或股权收购、出售的关联交易。</w:t>
      </w:r>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bookmarkStart w:id="65" w:name="_Toc988953"/>
      <w:r w:rsidRPr="004F4878">
        <w:rPr>
          <w:rFonts w:ascii="仿宋" w:eastAsia="仿宋" w:hAnsi="仿宋"/>
          <w:b/>
          <w:sz w:val="28"/>
          <w:szCs w:val="28"/>
        </w:rPr>
        <w:t>3、共同对外投资的关联交易</w:t>
      </w:r>
      <w:bookmarkEnd w:id="65"/>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□适用</w:t>
      </w:r>
      <w:r w:rsidR="004F4878">
        <w:rPr>
          <w:rFonts w:ascii="仿宋" w:eastAsia="仿宋" w:hAnsi="仿宋" w:hint="eastAsia"/>
          <w:sz w:val="28"/>
          <w:szCs w:val="28"/>
        </w:rPr>
        <w:t xml:space="preserve"> </w:t>
      </w:r>
      <w:r w:rsidRPr="004F4878">
        <w:rPr>
          <w:rFonts w:ascii="仿宋" w:eastAsia="仿宋" w:hAnsi="仿宋"/>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4F4878">
        <w:rPr>
          <w:rFonts w:ascii="仿宋" w:eastAsia="仿宋" w:hAnsi="仿宋"/>
          <w:sz w:val="28"/>
          <w:szCs w:val="28"/>
        </w:rPr>
        <w:t>公司报告期未发生共同对外投资的关联交易。</w:t>
      </w:r>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bookmarkStart w:id="66" w:name="_Toc988954"/>
      <w:r w:rsidRPr="004F4878">
        <w:rPr>
          <w:rFonts w:ascii="仿宋" w:eastAsia="仿宋" w:hAnsi="仿宋"/>
          <w:b/>
          <w:sz w:val="28"/>
          <w:szCs w:val="28"/>
        </w:rPr>
        <w:t>4、关联债权债务往来</w:t>
      </w:r>
      <w:bookmarkEnd w:id="66"/>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□适用</w:t>
      </w:r>
      <w:r w:rsidR="004F4878">
        <w:rPr>
          <w:rFonts w:ascii="仿宋" w:eastAsia="仿宋" w:hAnsi="仿宋" w:hint="eastAsia"/>
          <w:sz w:val="28"/>
          <w:szCs w:val="28"/>
        </w:rPr>
        <w:t xml:space="preserve"> </w:t>
      </w:r>
      <w:r w:rsidRPr="004F4878">
        <w:rPr>
          <w:rFonts w:ascii="仿宋" w:eastAsia="仿宋" w:hAnsi="仿宋"/>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公司报告期不存在关联债权债务往来。</w:t>
      </w:r>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bookmarkStart w:id="67" w:name="_Toc988955"/>
      <w:r w:rsidRPr="004F4878">
        <w:rPr>
          <w:rFonts w:ascii="仿宋" w:eastAsia="仿宋" w:hAnsi="仿宋"/>
          <w:b/>
          <w:sz w:val="28"/>
          <w:szCs w:val="28"/>
        </w:rPr>
        <w:t>5、与存在关联关系的财务公司的往来情况</w:t>
      </w:r>
      <w:bookmarkEnd w:id="67"/>
    </w:p>
    <w:p w:rsid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□适用</w:t>
      </w:r>
      <w:r w:rsidR="004F4878">
        <w:rPr>
          <w:rFonts w:ascii="仿宋" w:eastAsia="仿宋" w:hAnsi="仿宋" w:hint="eastAsia"/>
          <w:sz w:val="28"/>
          <w:szCs w:val="28"/>
        </w:rPr>
        <w:t xml:space="preserve"> </w:t>
      </w:r>
      <w:r w:rsidRPr="004F4878">
        <w:rPr>
          <w:rFonts w:ascii="仿宋" w:eastAsia="仿宋" w:hAnsi="仿宋"/>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4F4878">
        <w:rPr>
          <w:rFonts w:ascii="仿宋" w:eastAsia="仿宋" w:hAnsi="仿宋"/>
          <w:sz w:val="28"/>
          <w:szCs w:val="28"/>
        </w:rPr>
        <w:t>公司与存在关联关系的财务公司与关联方之间不存在存款、贷款、授信或其他金融业务。</w:t>
      </w:r>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bookmarkStart w:id="68" w:name="_Toc988956"/>
      <w:r w:rsidRPr="004F4878">
        <w:rPr>
          <w:rFonts w:ascii="仿宋" w:eastAsia="仿宋" w:hAnsi="仿宋"/>
          <w:b/>
          <w:sz w:val="28"/>
          <w:szCs w:val="28"/>
        </w:rPr>
        <w:t>6、公司控股的财务公司与关联方的往来情况</w:t>
      </w:r>
      <w:bookmarkEnd w:id="68"/>
    </w:p>
    <w:p w:rsidR="00B13593" w:rsidRPr="004F4878" w:rsidRDefault="00B13F8C" w:rsidP="00054B06">
      <w:pPr>
        <w:pStyle w:val="a3"/>
        <w:widowControl w:val="0"/>
        <w:spacing w:before="0" w:beforeAutospacing="0" w:after="0" w:afterAutospacing="0" w:line="560" w:lineRule="exact"/>
        <w:ind w:left="278" w:firstLineChars="50" w:firstLine="140"/>
        <w:jc w:val="both"/>
        <w:rPr>
          <w:rFonts w:ascii="仿宋" w:eastAsia="仿宋" w:hAnsi="仿宋"/>
          <w:sz w:val="28"/>
          <w:szCs w:val="28"/>
        </w:rPr>
      </w:pPr>
      <w:r w:rsidRPr="004F4878">
        <w:rPr>
          <w:rFonts w:ascii="仿宋" w:eastAsia="仿宋" w:hAnsi="仿宋"/>
          <w:sz w:val="28"/>
          <w:szCs w:val="28"/>
        </w:rPr>
        <w:t>□适用</w:t>
      </w:r>
      <w:r w:rsidR="004F4878">
        <w:rPr>
          <w:rFonts w:ascii="仿宋" w:eastAsia="仿宋" w:hAnsi="仿宋" w:hint="eastAsia"/>
          <w:sz w:val="28"/>
          <w:szCs w:val="28"/>
        </w:rPr>
        <w:t xml:space="preserve"> </w:t>
      </w:r>
      <w:r w:rsidRPr="004F4878">
        <w:rPr>
          <w:rFonts w:ascii="仿宋" w:eastAsia="仿宋" w:hAnsi="仿宋"/>
          <w:sz w:val="28"/>
          <w:szCs w:val="28"/>
        </w:rPr>
        <w:t xml:space="preserve"> </w:t>
      </w:r>
      <w:r w:rsidRPr="004F4878">
        <w:rPr>
          <w:rFonts w:ascii="仿宋" w:eastAsia="仿宋" w:hAnsi="仿宋"/>
          <w:sz w:val="28"/>
          <w:szCs w:val="28"/>
        </w:rPr>
        <w:sym w:font="Wingdings 2" w:char="F052"/>
      </w:r>
      <w:r w:rsidRPr="004F4878">
        <w:rPr>
          <w:rFonts w:ascii="仿宋" w:eastAsia="仿宋" w:hAnsi="仿宋"/>
          <w:sz w:val="28"/>
          <w:szCs w:val="28"/>
        </w:rPr>
        <w:t>不适用</w:t>
      </w:r>
    </w:p>
    <w:p w:rsidR="00B13593" w:rsidRPr="004F4878"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4F4878">
        <w:rPr>
          <w:rFonts w:ascii="仿宋" w:eastAsia="仿宋" w:hAnsi="仿宋"/>
          <w:sz w:val="28"/>
          <w:szCs w:val="28"/>
        </w:rPr>
        <w:t>公司控股的财务公司与关联方之间不存在存款、贷款、授信或其他金融业务。</w:t>
      </w:r>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bookmarkStart w:id="69" w:name="_Toc988957"/>
      <w:r w:rsidRPr="004F4878">
        <w:rPr>
          <w:rFonts w:ascii="仿宋" w:eastAsia="仿宋" w:hAnsi="仿宋"/>
          <w:b/>
          <w:sz w:val="28"/>
          <w:szCs w:val="28"/>
        </w:rPr>
        <w:t>7、其他重大关联交易</w:t>
      </w:r>
      <w:bookmarkEnd w:id="69"/>
    </w:p>
    <w:p w:rsidR="004F4878"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4F4878">
        <w:rPr>
          <w:rFonts w:ascii="仿宋" w:eastAsia="仿宋" w:hAnsi="仿宋"/>
          <w:sz w:val="28"/>
          <w:szCs w:val="28"/>
        </w:rPr>
        <w:sym w:font="Wingdings 2" w:char="F052"/>
      </w:r>
      <w:r w:rsidRPr="004F4878">
        <w:rPr>
          <w:rFonts w:ascii="仿宋" w:eastAsia="仿宋" w:hAnsi="仿宋"/>
          <w:sz w:val="28"/>
          <w:szCs w:val="28"/>
        </w:rPr>
        <w:t xml:space="preserve">适用 </w:t>
      </w:r>
      <w:r w:rsidR="004F4878">
        <w:rPr>
          <w:rFonts w:ascii="仿宋" w:eastAsia="仿宋" w:hAnsi="仿宋" w:hint="eastAsia"/>
          <w:sz w:val="28"/>
          <w:szCs w:val="28"/>
        </w:rPr>
        <w:t xml:space="preserve"> </w:t>
      </w:r>
      <w:r w:rsidRPr="004F4878">
        <w:rPr>
          <w:rFonts w:ascii="仿宋" w:eastAsia="仿宋" w:hAnsi="仿宋"/>
          <w:sz w:val="28"/>
          <w:szCs w:val="28"/>
        </w:rPr>
        <w:t>□不适用</w:t>
      </w:r>
    </w:p>
    <w:p w:rsidR="00B13593" w:rsidRPr="004F4878" w:rsidRDefault="00B13593"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4F4878">
        <w:rPr>
          <w:rFonts w:ascii="仿宋" w:eastAsia="仿宋" w:hAnsi="仿宋" w:hint="eastAsia"/>
          <w:sz w:val="28"/>
          <w:szCs w:val="28"/>
        </w:rPr>
        <w:t>公司于2023年4月6日召开第十届董事会第二十二次会议审议通过了《关于2023年度日常关联交易预计的议案》。公司为满足日常业务开展的需要， 2023年度将与苏州锴威特半导体股份有限公司进行采购商品、委托开发等日常关联交易，预计总金额不超过2,000万元。公司于2023年3月离职的原董事会秘书司景喆先生为锴威特董事，公司与锴威特构成关联关系，本次</w:t>
      </w:r>
      <w:r w:rsidRPr="004F4878">
        <w:rPr>
          <w:rFonts w:ascii="仿宋" w:eastAsia="仿宋" w:hAnsi="仿宋" w:hint="eastAsia"/>
          <w:sz w:val="28"/>
          <w:szCs w:val="28"/>
        </w:rPr>
        <w:lastRenderedPageBreak/>
        <w:t>交易构成关联交易。</w:t>
      </w:r>
    </w:p>
    <w:p w:rsidR="00B13593" w:rsidRPr="004F4878" w:rsidRDefault="00B13F8C" w:rsidP="00054B06">
      <w:pPr>
        <w:pStyle w:val="a3"/>
        <w:widowControl w:val="0"/>
        <w:spacing w:before="0" w:beforeAutospacing="0" w:after="0" w:afterAutospacing="0" w:line="560" w:lineRule="exact"/>
        <w:ind w:left="278" w:firstLineChars="50" w:firstLine="141"/>
        <w:jc w:val="both"/>
        <w:rPr>
          <w:rFonts w:ascii="仿宋" w:eastAsia="仿宋" w:hAnsi="仿宋"/>
          <w:b/>
          <w:sz w:val="28"/>
          <w:szCs w:val="28"/>
        </w:rPr>
      </w:pPr>
      <w:r w:rsidRPr="004F4878">
        <w:rPr>
          <w:rFonts w:ascii="仿宋" w:eastAsia="仿宋" w:hAnsi="仿宋"/>
          <w:b/>
          <w:sz w:val="28"/>
          <w:szCs w:val="28"/>
        </w:rPr>
        <w:t>重大关联交易临时报告披露网站相关查询</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369"/>
        <w:gridCol w:w="2268"/>
        <w:gridCol w:w="4002"/>
      </w:tblGrid>
      <w:tr w:rsidR="00B13593" w:rsidTr="004F4878">
        <w:trPr>
          <w:trHeight w:val="437"/>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临时公告名称</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400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B13593" w:rsidTr="004F4878">
        <w:trPr>
          <w:trHeight w:val="414"/>
        </w:trPr>
        <w:tc>
          <w:tcPr>
            <w:tcW w:w="336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关于2023年度日常关联交易预计的公告</w:t>
            </w:r>
          </w:p>
        </w:tc>
        <w:tc>
          <w:tcPr>
            <w:tcW w:w="226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2023年04月08日</w:t>
            </w:r>
          </w:p>
        </w:tc>
        <w:tc>
          <w:tcPr>
            <w:tcW w:w="400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巨潮资讯网(http://www.cninfo.com.cn)</w:t>
            </w:r>
          </w:p>
        </w:tc>
      </w:tr>
    </w:tbl>
    <w:p w:rsidR="00B13593" w:rsidRPr="00D71E8E"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70" w:name="_Toc988958"/>
      <w:r w:rsidRPr="00D71E8E">
        <w:rPr>
          <w:b/>
          <w:bCs/>
          <w:sz w:val="28"/>
          <w:szCs w:val="28"/>
        </w:rPr>
        <w:t>十二、重大合同及其履行情况</w:t>
      </w:r>
      <w:bookmarkEnd w:id="70"/>
    </w:p>
    <w:p w:rsidR="00B13593" w:rsidRPr="00D71E8E"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71" w:name="_Toc988959"/>
      <w:r w:rsidRPr="00D71E8E">
        <w:rPr>
          <w:rFonts w:ascii="仿宋" w:eastAsia="仿宋" w:hAnsi="仿宋"/>
          <w:b/>
          <w:sz w:val="28"/>
          <w:szCs w:val="28"/>
        </w:rPr>
        <w:t>1、托管、承包、租赁事项情况</w:t>
      </w:r>
      <w:bookmarkEnd w:id="71"/>
    </w:p>
    <w:p w:rsidR="00B13593" w:rsidRPr="00D71E8E"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72" w:name="_Toc988960"/>
      <w:r w:rsidRPr="00D71E8E">
        <w:rPr>
          <w:rFonts w:ascii="仿宋" w:eastAsia="仿宋" w:hAnsi="仿宋"/>
          <w:b/>
          <w:sz w:val="28"/>
          <w:szCs w:val="28"/>
        </w:rPr>
        <w:t>（1） 托管情况</w:t>
      </w:r>
      <w:bookmarkEnd w:id="72"/>
    </w:p>
    <w:p w:rsidR="00B13593" w:rsidRPr="00D71E8E"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D71E8E">
        <w:rPr>
          <w:rFonts w:ascii="仿宋" w:eastAsia="仿宋" w:hAnsi="仿宋"/>
          <w:sz w:val="28"/>
          <w:szCs w:val="28"/>
        </w:rPr>
        <w:t xml:space="preserve">□适用 </w:t>
      </w:r>
      <w:r w:rsidR="00D71E8E">
        <w:rPr>
          <w:rFonts w:ascii="仿宋" w:eastAsia="仿宋" w:hAnsi="仿宋" w:hint="eastAsia"/>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D71E8E">
        <w:rPr>
          <w:rFonts w:ascii="仿宋" w:eastAsia="仿宋" w:hAnsi="仿宋"/>
          <w:sz w:val="28"/>
          <w:szCs w:val="28"/>
        </w:rPr>
        <w:t>公司报告期不存在托管情况。</w:t>
      </w:r>
    </w:p>
    <w:p w:rsidR="00B13593" w:rsidRPr="00D71E8E"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73" w:name="_Toc988961"/>
      <w:r w:rsidRPr="00D71E8E">
        <w:rPr>
          <w:rFonts w:ascii="仿宋" w:eastAsia="仿宋" w:hAnsi="仿宋"/>
          <w:b/>
          <w:sz w:val="28"/>
          <w:szCs w:val="28"/>
        </w:rPr>
        <w:t>（2） 承包情况</w:t>
      </w:r>
      <w:bookmarkEnd w:id="73"/>
    </w:p>
    <w:p w:rsidR="00B13593" w:rsidRPr="00D71E8E"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D71E8E">
        <w:rPr>
          <w:rFonts w:ascii="仿宋" w:eastAsia="仿宋" w:hAnsi="仿宋"/>
          <w:sz w:val="28"/>
          <w:szCs w:val="28"/>
        </w:rPr>
        <w:t>□适用</w:t>
      </w:r>
      <w:r w:rsidR="00D71E8E">
        <w:rPr>
          <w:rFonts w:ascii="仿宋" w:eastAsia="仿宋" w:hAnsi="仿宋" w:hint="eastAsia"/>
          <w:sz w:val="28"/>
          <w:szCs w:val="28"/>
        </w:rPr>
        <w:t xml:space="preserve"> </w:t>
      </w:r>
      <w:r w:rsidRPr="00D71E8E">
        <w:rPr>
          <w:rFonts w:ascii="仿宋" w:eastAsia="仿宋" w:hAnsi="仿宋"/>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D71E8E">
        <w:rPr>
          <w:rFonts w:ascii="仿宋" w:eastAsia="仿宋" w:hAnsi="仿宋"/>
          <w:sz w:val="28"/>
          <w:szCs w:val="28"/>
        </w:rPr>
        <w:t>公司报告期不存在承包情况。</w:t>
      </w:r>
    </w:p>
    <w:p w:rsidR="00B13593" w:rsidRPr="00D71E8E"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74" w:name="_Toc988962"/>
      <w:r w:rsidRPr="00D71E8E">
        <w:rPr>
          <w:rFonts w:ascii="仿宋" w:eastAsia="仿宋" w:hAnsi="仿宋"/>
          <w:b/>
          <w:sz w:val="28"/>
          <w:szCs w:val="28"/>
        </w:rPr>
        <w:t>（3） 租赁情况</w:t>
      </w:r>
      <w:bookmarkEnd w:id="74"/>
    </w:p>
    <w:p w:rsidR="00B13593" w:rsidRPr="00D71E8E"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D71E8E">
        <w:rPr>
          <w:rFonts w:ascii="仿宋" w:eastAsia="仿宋" w:hAnsi="仿宋"/>
          <w:sz w:val="28"/>
          <w:szCs w:val="28"/>
        </w:rPr>
        <w:sym w:font="Wingdings 2" w:char="F052"/>
      </w:r>
      <w:r w:rsidRPr="00D71E8E">
        <w:rPr>
          <w:rFonts w:ascii="仿宋" w:eastAsia="仿宋" w:hAnsi="仿宋"/>
          <w:sz w:val="28"/>
          <w:szCs w:val="28"/>
        </w:rPr>
        <w:t xml:space="preserve">适用 </w:t>
      </w:r>
      <w:r w:rsidR="00D71E8E">
        <w:rPr>
          <w:rFonts w:ascii="仿宋" w:eastAsia="仿宋" w:hAnsi="仿宋" w:hint="eastAsia"/>
          <w:sz w:val="28"/>
          <w:szCs w:val="28"/>
        </w:rPr>
        <w:t xml:space="preserve"> </w:t>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D71E8E">
        <w:rPr>
          <w:rFonts w:ascii="仿宋" w:eastAsia="仿宋" w:hAnsi="仿宋"/>
          <w:b/>
          <w:sz w:val="28"/>
          <w:szCs w:val="28"/>
        </w:rPr>
        <w:t>租赁情况说明</w:t>
      </w:r>
    </w:p>
    <w:p w:rsidR="00B13593" w:rsidRDefault="00B13593" w:rsidP="00054B06">
      <w:pPr>
        <w:pStyle w:val="a3"/>
        <w:widowControl w:val="0"/>
        <w:spacing w:before="0" w:beforeAutospacing="0" w:after="0" w:afterAutospacing="0" w:line="560" w:lineRule="exact"/>
        <w:ind w:firstLine="560"/>
        <w:jc w:val="both"/>
        <w:divId w:val="1434282918"/>
      </w:pPr>
      <w:r>
        <w:rPr>
          <w:rFonts w:ascii="仿宋" w:eastAsia="仿宋" w:hAnsi="仿宋" w:hint="eastAsia"/>
          <w:sz w:val="28"/>
          <w:szCs w:val="28"/>
        </w:rPr>
        <w:t>经公司第九届董事会第三十六次会议及2021年第一次临时股东大会审议通过，公司全资子公司升华电源与四川升华巨能科技有限公司签署《工业用房租赁合同》，承租成都市成华区成致路的“工业用房及配套设施一期（1号楼）建设”项目的房屋作为生产经营场所，租赁期自2021年9月30日至2039年3月14日。详情请参阅公司分别于2020年12月30日、2021年1月9日在《中国证券报》《证券时报》《证券日报》《上海证券报》及巨潮资讯网（http://www.cninfo.com.cn）披露的《关于全资子公司四川升华电源科技有限公司工业用房租赁暨关联交易的公告》(2020-63)、《2021年第一次临时股东大会决议公告》（2021-05）。</w:t>
      </w:r>
    </w:p>
    <w:p w:rsidR="00B13593" w:rsidRDefault="00B13593" w:rsidP="00054B06">
      <w:pPr>
        <w:pStyle w:val="a3"/>
        <w:widowControl w:val="0"/>
        <w:spacing w:before="0" w:beforeAutospacing="0" w:after="0" w:afterAutospacing="0" w:line="560" w:lineRule="exact"/>
        <w:ind w:firstLine="560"/>
        <w:jc w:val="both"/>
        <w:divId w:val="1434282918"/>
      </w:pPr>
      <w:r>
        <w:rPr>
          <w:rFonts w:ascii="仿宋" w:eastAsia="仿宋" w:hAnsi="仿宋" w:hint="eastAsia"/>
          <w:sz w:val="28"/>
          <w:szCs w:val="28"/>
        </w:rPr>
        <w:t>除上述事项外，公司未发生、也无以前期间发生但延续到报告期的重大</w:t>
      </w:r>
      <w:r>
        <w:rPr>
          <w:rFonts w:ascii="仿宋" w:eastAsia="仿宋" w:hAnsi="仿宋" w:hint="eastAsia"/>
          <w:sz w:val="28"/>
          <w:szCs w:val="28"/>
        </w:rPr>
        <w:lastRenderedPageBreak/>
        <w:t>租赁事项。</w:t>
      </w:r>
    </w:p>
    <w:p w:rsidR="00B13593" w:rsidRPr="00D71E8E"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D71E8E">
        <w:rPr>
          <w:rFonts w:ascii="仿宋" w:eastAsia="仿宋" w:hAnsi="仿宋"/>
          <w:b/>
          <w:sz w:val="28"/>
          <w:szCs w:val="28"/>
        </w:rPr>
        <w:t>为公司带来的损益达到公司报告期利润总额10%以上的项目</w:t>
      </w:r>
    </w:p>
    <w:p w:rsidR="00B13593" w:rsidRPr="00D71E8E"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D71E8E">
        <w:rPr>
          <w:rFonts w:ascii="仿宋" w:eastAsia="仿宋" w:hAnsi="仿宋"/>
          <w:sz w:val="28"/>
          <w:szCs w:val="28"/>
        </w:rPr>
        <w:t>□适用</w:t>
      </w:r>
      <w:r w:rsidR="00D71E8E" w:rsidRPr="00D71E8E">
        <w:rPr>
          <w:rFonts w:ascii="仿宋" w:eastAsia="仿宋" w:hAnsi="仿宋" w:hint="eastAsia"/>
          <w:sz w:val="28"/>
          <w:szCs w:val="28"/>
        </w:rPr>
        <w:t xml:space="preserve"> </w:t>
      </w:r>
      <w:r w:rsidRPr="00D71E8E">
        <w:rPr>
          <w:rFonts w:ascii="仿宋" w:eastAsia="仿宋" w:hAnsi="仿宋"/>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D71E8E">
        <w:rPr>
          <w:rFonts w:ascii="仿宋" w:eastAsia="仿宋" w:hAnsi="仿宋"/>
          <w:sz w:val="28"/>
          <w:szCs w:val="28"/>
        </w:rPr>
        <w:t>公司报告期不存在为公司带来的损益达到公司报告期利润总额10%以上的租赁项目。</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bookmarkStart w:id="75" w:name="_Toc988963"/>
      <w:r w:rsidRPr="00D71E8E">
        <w:rPr>
          <w:rFonts w:ascii="仿宋" w:eastAsia="仿宋" w:hAnsi="仿宋"/>
          <w:b/>
          <w:sz w:val="28"/>
          <w:szCs w:val="28"/>
        </w:rPr>
        <w:t>2、重大担保</w:t>
      </w:r>
      <w:bookmarkEnd w:id="75"/>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t xml:space="preserve">□适用 </w:t>
      </w:r>
      <w:r w:rsidR="00D71E8E">
        <w:rPr>
          <w:rFonts w:ascii="仿宋" w:eastAsia="仿宋" w:hAnsi="仿宋" w:hint="eastAsia"/>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t>公司报告期不存在重大担保情况。</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bookmarkStart w:id="76" w:name="_Toc988964"/>
      <w:r w:rsidRPr="00D71E8E">
        <w:rPr>
          <w:rFonts w:ascii="仿宋" w:eastAsia="仿宋" w:hAnsi="仿宋"/>
          <w:b/>
          <w:sz w:val="28"/>
          <w:szCs w:val="28"/>
        </w:rPr>
        <w:t>3、委托理财</w:t>
      </w:r>
      <w:bookmarkEnd w:id="76"/>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sym w:font="Wingdings 2" w:char="F052"/>
      </w:r>
      <w:r w:rsidRPr="00D71E8E">
        <w:rPr>
          <w:rFonts w:ascii="仿宋" w:eastAsia="仿宋" w:hAnsi="仿宋"/>
          <w:sz w:val="28"/>
          <w:szCs w:val="28"/>
        </w:rPr>
        <w:t>适用</w:t>
      </w:r>
      <w:r w:rsidR="00D71E8E">
        <w:rPr>
          <w:rFonts w:ascii="仿宋" w:eastAsia="仿宋" w:hAnsi="仿宋" w:hint="eastAsia"/>
          <w:sz w:val="28"/>
          <w:szCs w:val="28"/>
        </w:rPr>
        <w:t xml:space="preserve"> </w:t>
      </w:r>
      <w:r w:rsidRPr="00D71E8E">
        <w:rPr>
          <w:rFonts w:ascii="仿宋" w:eastAsia="仿宋" w:hAnsi="仿宋"/>
          <w:sz w:val="28"/>
          <w:szCs w:val="28"/>
        </w:rPr>
        <w:t xml:space="preserve"> □不适用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68"/>
        <w:gridCol w:w="1547"/>
        <w:gridCol w:w="1606"/>
        <w:gridCol w:w="1606"/>
        <w:gridCol w:w="1606"/>
        <w:gridCol w:w="1606"/>
      </w:tblGrid>
      <w:tr w:rsidR="00B13593" w:rsidTr="00D71E8E">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具体类型</w:t>
            </w:r>
          </w:p>
        </w:tc>
        <w:tc>
          <w:tcPr>
            <w:tcW w:w="154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2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B13593" w:rsidTr="00D71E8E">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银行理财产品</w:t>
            </w:r>
          </w:p>
        </w:tc>
        <w:tc>
          <w:tcPr>
            <w:tcW w:w="1547"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CB30C5" w:rsidP="00CB30C5">
            <w:pPr>
              <w:spacing w:line="320" w:lineRule="exact"/>
              <w:jc w:val="right"/>
              <w:rPr>
                <w:rFonts w:ascii="宋体" w:eastAsia="宋体" w:hAnsi="宋体" w:cs="宋体"/>
                <w:sz w:val="18"/>
                <w:szCs w:val="18"/>
              </w:rPr>
            </w:pPr>
            <w:r>
              <w:rPr>
                <w:rFonts w:ascii="宋体" w:eastAsia="宋体" w:hAnsi="宋体" w:cs="宋体"/>
                <w:sz w:val="18"/>
                <w:szCs w:val="18"/>
              </w:rPr>
              <w:t>31</w:t>
            </w:r>
            <w:r>
              <w:rPr>
                <w:rFonts w:ascii="宋体" w:eastAsia="宋体" w:hAnsi="宋体" w:cs="宋体" w:hint="eastAsia"/>
                <w:sz w:val="18"/>
                <w:szCs w:val="18"/>
              </w:rPr>
              <w:t>,</w:t>
            </w:r>
            <w:r>
              <w:rPr>
                <w:rFonts w:ascii="宋体" w:eastAsia="宋体" w:hAnsi="宋体" w:cs="宋体"/>
                <w:sz w:val="18"/>
                <w:szCs w:val="18"/>
              </w:rPr>
              <w:t>0</w:t>
            </w:r>
            <w:r w:rsidR="00B13F8C">
              <w:rPr>
                <w:rFonts w:ascii="宋体" w:eastAsia="宋体" w:hAnsi="宋体" w:cs="宋体"/>
                <w:sz w:val="18"/>
                <w:szCs w:val="18"/>
              </w:rPr>
              <w:t>74</w:t>
            </w:r>
            <w:r>
              <w:rPr>
                <w:rFonts w:ascii="宋体" w:eastAsia="宋体" w:hAnsi="宋体" w:cs="宋体" w:hint="eastAsia"/>
                <w:sz w:val="18"/>
                <w:szCs w:val="18"/>
              </w:rPr>
              <w:t>.54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CB30C5" w:rsidP="00CB30C5">
            <w:pPr>
              <w:spacing w:line="320" w:lineRule="exact"/>
              <w:jc w:val="right"/>
              <w:rPr>
                <w:rFonts w:ascii="宋体" w:eastAsia="宋体" w:hAnsi="宋体" w:cs="宋体"/>
                <w:sz w:val="18"/>
                <w:szCs w:val="18"/>
              </w:rPr>
            </w:pPr>
            <w:r>
              <w:rPr>
                <w:rFonts w:ascii="宋体" w:eastAsia="宋体" w:hAnsi="宋体" w:cs="宋体"/>
                <w:sz w:val="18"/>
                <w:szCs w:val="18"/>
              </w:rPr>
              <w:t>10</w:t>
            </w:r>
            <w:r>
              <w:rPr>
                <w:rFonts w:ascii="宋体" w:eastAsia="宋体" w:hAnsi="宋体" w:cs="宋体" w:hint="eastAsia"/>
                <w:sz w:val="18"/>
                <w:szCs w:val="18"/>
              </w:rPr>
              <w:t>,</w:t>
            </w:r>
            <w:r>
              <w:rPr>
                <w:rFonts w:ascii="宋体" w:eastAsia="宋体" w:hAnsi="宋体" w:cs="宋体"/>
                <w:sz w:val="18"/>
                <w:szCs w:val="18"/>
              </w:rPr>
              <w:t>8</w:t>
            </w:r>
            <w:r w:rsidR="00B13F8C">
              <w:rPr>
                <w:rFonts w:ascii="宋体" w:eastAsia="宋体" w:hAnsi="宋体" w:cs="宋体"/>
                <w:sz w:val="18"/>
                <w:szCs w:val="18"/>
              </w:rPr>
              <w:t>42</w:t>
            </w:r>
            <w:r>
              <w:rPr>
                <w:rFonts w:ascii="宋体" w:eastAsia="宋体" w:hAnsi="宋体" w:cs="宋体" w:hint="eastAsia"/>
                <w:sz w:val="18"/>
                <w:szCs w:val="18"/>
              </w:rPr>
              <w:t>.61</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20" w:lineRule="exact"/>
              <w:jc w:val="right"/>
              <w:rPr>
                <w:rFonts w:ascii="宋体" w:eastAsia="宋体" w:hAnsi="宋体" w:cs="宋体"/>
                <w:sz w:val="18"/>
                <w:szCs w:val="18"/>
              </w:rPr>
            </w:pPr>
            <w:r>
              <w:rPr>
                <w:rFonts w:ascii="宋体" w:eastAsia="宋体" w:hAnsi="宋体" w:cs="宋体"/>
                <w:sz w:val="18"/>
                <w:szCs w:val="18"/>
              </w:rPr>
              <w:t>0</w:t>
            </w:r>
          </w:p>
        </w:tc>
      </w:tr>
      <w:tr w:rsidR="00CB30C5" w:rsidTr="00D71E8E">
        <w:trPr>
          <w:trHeight w:val="240"/>
        </w:trPr>
        <w:tc>
          <w:tcPr>
            <w:tcW w:w="321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B30C5" w:rsidRDefault="00CB30C5" w:rsidP="00054B06">
            <w:pPr>
              <w:spacing w:line="32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CB30C5" w:rsidRDefault="00CB30C5" w:rsidP="008B420D">
            <w:pPr>
              <w:spacing w:line="320" w:lineRule="exact"/>
              <w:jc w:val="right"/>
              <w:rPr>
                <w:rFonts w:ascii="宋体" w:eastAsia="宋体" w:hAnsi="宋体" w:cs="宋体"/>
                <w:sz w:val="18"/>
                <w:szCs w:val="18"/>
              </w:rPr>
            </w:pPr>
            <w:r>
              <w:rPr>
                <w:rFonts w:ascii="宋体" w:eastAsia="宋体" w:hAnsi="宋体" w:cs="宋体"/>
                <w:sz w:val="18"/>
                <w:szCs w:val="18"/>
              </w:rPr>
              <w:t>31</w:t>
            </w:r>
            <w:r>
              <w:rPr>
                <w:rFonts w:ascii="宋体" w:eastAsia="宋体" w:hAnsi="宋体" w:cs="宋体" w:hint="eastAsia"/>
                <w:sz w:val="18"/>
                <w:szCs w:val="18"/>
              </w:rPr>
              <w:t>,</w:t>
            </w:r>
            <w:r>
              <w:rPr>
                <w:rFonts w:ascii="宋体" w:eastAsia="宋体" w:hAnsi="宋体" w:cs="宋体"/>
                <w:sz w:val="18"/>
                <w:szCs w:val="18"/>
              </w:rPr>
              <w:t>074</w:t>
            </w:r>
            <w:r>
              <w:rPr>
                <w:rFonts w:ascii="宋体" w:eastAsia="宋体" w:hAnsi="宋体" w:cs="宋体" w:hint="eastAsia"/>
                <w:sz w:val="18"/>
                <w:szCs w:val="18"/>
              </w:rPr>
              <w:t>.54</w:t>
            </w:r>
          </w:p>
        </w:tc>
        <w:tc>
          <w:tcPr>
            <w:tcW w:w="1606" w:type="dxa"/>
            <w:tcBorders>
              <w:top w:val="single" w:sz="2" w:space="0" w:color="auto"/>
              <w:left w:val="single" w:sz="2" w:space="0" w:color="auto"/>
              <w:bottom w:val="single" w:sz="2" w:space="0" w:color="auto"/>
              <w:right w:val="single" w:sz="2" w:space="0" w:color="auto"/>
            </w:tcBorders>
            <w:vAlign w:val="center"/>
          </w:tcPr>
          <w:p w:rsidR="00CB30C5" w:rsidRDefault="00CB30C5" w:rsidP="008B420D">
            <w:pPr>
              <w:spacing w:line="320" w:lineRule="exact"/>
              <w:jc w:val="right"/>
              <w:rPr>
                <w:rFonts w:ascii="宋体" w:eastAsia="宋体" w:hAnsi="宋体" w:cs="宋体"/>
                <w:sz w:val="18"/>
                <w:szCs w:val="18"/>
              </w:rPr>
            </w:pPr>
            <w:r>
              <w:rPr>
                <w:rFonts w:ascii="宋体" w:eastAsia="宋体" w:hAnsi="宋体" w:cs="宋体"/>
                <w:sz w:val="18"/>
                <w:szCs w:val="18"/>
              </w:rPr>
              <w:t>10</w:t>
            </w:r>
            <w:r>
              <w:rPr>
                <w:rFonts w:ascii="宋体" w:eastAsia="宋体" w:hAnsi="宋体" w:cs="宋体" w:hint="eastAsia"/>
                <w:sz w:val="18"/>
                <w:szCs w:val="18"/>
              </w:rPr>
              <w:t>,</w:t>
            </w:r>
            <w:r>
              <w:rPr>
                <w:rFonts w:ascii="宋体" w:eastAsia="宋体" w:hAnsi="宋体" w:cs="宋体"/>
                <w:sz w:val="18"/>
                <w:szCs w:val="18"/>
              </w:rPr>
              <w:t>842</w:t>
            </w:r>
            <w:r>
              <w:rPr>
                <w:rFonts w:ascii="宋体" w:eastAsia="宋体" w:hAnsi="宋体" w:cs="宋体" w:hint="eastAsia"/>
                <w:sz w:val="18"/>
                <w:szCs w:val="18"/>
              </w:rPr>
              <w:t>.61</w:t>
            </w:r>
          </w:p>
        </w:tc>
        <w:tc>
          <w:tcPr>
            <w:tcW w:w="1606" w:type="dxa"/>
            <w:tcBorders>
              <w:top w:val="single" w:sz="2" w:space="0" w:color="auto"/>
              <w:left w:val="single" w:sz="2" w:space="0" w:color="auto"/>
              <w:bottom w:val="single" w:sz="2" w:space="0" w:color="auto"/>
              <w:right w:val="single" w:sz="2" w:space="0" w:color="auto"/>
            </w:tcBorders>
            <w:vAlign w:val="center"/>
          </w:tcPr>
          <w:p w:rsidR="00CB30C5" w:rsidRDefault="00CB30C5" w:rsidP="00054B06">
            <w:pPr>
              <w:spacing w:line="32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CB30C5" w:rsidRDefault="00CB30C5" w:rsidP="00054B06">
            <w:pPr>
              <w:spacing w:line="320" w:lineRule="exact"/>
              <w:jc w:val="right"/>
              <w:rPr>
                <w:rFonts w:ascii="宋体" w:eastAsia="宋体" w:hAnsi="宋体" w:cs="宋体"/>
                <w:sz w:val="18"/>
                <w:szCs w:val="18"/>
              </w:rPr>
            </w:pPr>
            <w:r>
              <w:rPr>
                <w:rFonts w:ascii="宋体" w:eastAsia="宋体" w:hAnsi="宋体" w:cs="宋体"/>
                <w:sz w:val="18"/>
                <w:szCs w:val="18"/>
              </w:rPr>
              <w:t>0</w:t>
            </w:r>
          </w:p>
        </w:tc>
      </w:tr>
    </w:tbl>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D71E8E">
        <w:rPr>
          <w:rFonts w:ascii="仿宋" w:eastAsia="仿宋" w:hAnsi="仿宋"/>
          <w:b/>
          <w:sz w:val="28"/>
          <w:szCs w:val="28"/>
        </w:rPr>
        <w:t>单项金额重大或安全性较低、流动性较差的高风险委托理财具体情况</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t xml:space="preserve">□适用 </w:t>
      </w:r>
      <w:r w:rsidR="00D71E8E" w:rsidRPr="00D71E8E">
        <w:rPr>
          <w:rFonts w:ascii="仿宋" w:eastAsia="仿宋" w:hAnsi="仿宋" w:hint="eastAsia"/>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D71E8E">
        <w:rPr>
          <w:rFonts w:ascii="仿宋" w:eastAsia="仿宋" w:hAnsi="仿宋"/>
          <w:b/>
          <w:sz w:val="28"/>
          <w:szCs w:val="28"/>
        </w:rPr>
        <w:t>委托理财出现预期无法收回本金或存在其他可能导致减值的情形</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t>□适用</w:t>
      </w:r>
      <w:r w:rsidR="00D71E8E">
        <w:rPr>
          <w:rFonts w:ascii="仿宋" w:eastAsia="仿宋" w:hAnsi="仿宋" w:hint="eastAsia"/>
          <w:sz w:val="28"/>
          <w:szCs w:val="28"/>
        </w:rPr>
        <w:t xml:space="preserve"> </w:t>
      </w:r>
      <w:r w:rsidRPr="00D71E8E">
        <w:rPr>
          <w:rFonts w:ascii="仿宋" w:eastAsia="仿宋" w:hAnsi="仿宋"/>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bookmarkStart w:id="77" w:name="_Toc988965"/>
      <w:r w:rsidRPr="00D71E8E">
        <w:rPr>
          <w:rFonts w:ascii="仿宋" w:eastAsia="仿宋" w:hAnsi="仿宋"/>
          <w:b/>
          <w:sz w:val="28"/>
          <w:szCs w:val="28"/>
        </w:rPr>
        <w:t>4、其他重大合同</w:t>
      </w:r>
      <w:bookmarkEnd w:id="77"/>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t xml:space="preserve">□适用 </w:t>
      </w:r>
      <w:r w:rsidR="00D71E8E">
        <w:rPr>
          <w:rFonts w:ascii="仿宋" w:eastAsia="仿宋" w:hAnsi="仿宋" w:hint="eastAsia"/>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t>公司报告期不存在其他重大合同。</w:t>
      </w:r>
    </w:p>
    <w:p w:rsidR="00B13593" w:rsidRPr="00D71E8E"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78" w:name="_Toc988966"/>
      <w:r w:rsidRPr="00D71E8E">
        <w:rPr>
          <w:b/>
          <w:bCs/>
          <w:sz w:val="28"/>
          <w:szCs w:val="28"/>
        </w:rPr>
        <w:t>十三、其他重大事项的说明</w:t>
      </w:r>
      <w:bookmarkEnd w:id="78"/>
    </w:p>
    <w:p w:rsidR="00D71E8E" w:rsidRDefault="00B13F8C" w:rsidP="00054B06">
      <w:pPr>
        <w:pStyle w:val="a3"/>
        <w:widowControl w:val="0"/>
        <w:spacing w:before="0" w:beforeAutospacing="0" w:after="0" w:afterAutospacing="0" w:line="560" w:lineRule="exact"/>
        <w:ind w:firstLine="561"/>
        <w:jc w:val="both"/>
        <w:divId w:val="1209494757"/>
        <w:rPr>
          <w:rFonts w:ascii="仿宋" w:eastAsia="仿宋" w:hAnsi="仿宋"/>
          <w:sz w:val="28"/>
          <w:szCs w:val="28"/>
        </w:rPr>
      </w:pPr>
      <w:r w:rsidRPr="00D71E8E">
        <w:rPr>
          <w:rFonts w:ascii="仿宋" w:eastAsia="仿宋" w:hAnsi="仿宋"/>
          <w:sz w:val="28"/>
          <w:szCs w:val="28"/>
        </w:rPr>
        <w:sym w:font="Wingdings 2" w:char="F052"/>
      </w:r>
      <w:r w:rsidRPr="00D71E8E">
        <w:rPr>
          <w:rFonts w:ascii="仿宋" w:eastAsia="仿宋" w:hAnsi="仿宋"/>
          <w:sz w:val="28"/>
          <w:szCs w:val="28"/>
        </w:rPr>
        <w:t xml:space="preserve">适用 </w:t>
      </w:r>
      <w:r w:rsidR="00D71E8E">
        <w:rPr>
          <w:rFonts w:ascii="仿宋" w:eastAsia="仿宋" w:hAnsi="仿宋" w:hint="eastAsia"/>
          <w:sz w:val="28"/>
          <w:szCs w:val="28"/>
        </w:rPr>
        <w:t xml:space="preserve"> </w:t>
      </w:r>
      <w:r w:rsidRPr="00D71E8E">
        <w:rPr>
          <w:rFonts w:ascii="仿宋" w:eastAsia="仿宋" w:hAnsi="仿宋"/>
          <w:sz w:val="28"/>
          <w:szCs w:val="28"/>
        </w:rPr>
        <w:t>□不适用</w:t>
      </w:r>
    </w:p>
    <w:p w:rsidR="00B13593" w:rsidRDefault="00B13593" w:rsidP="00054B06">
      <w:pPr>
        <w:pStyle w:val="a3"/>
        <w:widowControl w:val="0"/>
        <w:spacing w:before="0" w:beforeAutospacing="0" w:after="0" w:afterAutospacing="0" w:line="560" w:lineRule="exact"/>
        <w:ind w:firstLine="561"/>
        <w:jc w:val="both"/>
        <w:divId w:val="1209494757"/>
      </w:pPr>
      <w:r>
        <w:rPr>
          <w:rFonts w:ascii="仿宋" w:eastAsia="仿宋" w:hAnsi="仿宋" w:hint="eastAsia"/>
          <w:sz w:val="28"/>
          <w:szCs w:val="28"/>
        </w:rPr>
        <w:t>报告期内</w:t>
      </w:r>
      <w:r w:rsidR="00D71E8E">
        <w:rPr>
          <w:rFonts w:ascii="仿宋" w:eastAsia="仿宋" w:hAnsi="仿宋" w:hint="eastAsia"/>
          <w:sz w:val="28"/>
          <w:szCs w:val="28"/>
        </w:rPr>
        <w:t>，公司所有重要事项信息披露均发布在《中国证券报》《证券时报》《证券日报》</w:t>
      </w:r>
      <w:r>
        <w:rPr>
          <w:rFonts w:ascii="仿宋" w:eastAsia="仿宋" w:hAnsi="仿宋" w:hint="eastAsia"/>
          <w:sz w:val="28"/>
          <w:szCs w:val="28"/>
        </w:rPr>
        <w:t>《上海证券报》及巨潮资讯网</w:t>
      </w:r>
      <w:r>
        <w:rPr>
          <w:rFonts w:ascii="仿宋" w:eastAsia="仿宋" w:hAnsi="仿宋" w:hint="eastAsia"/>
          <w:sz w:val="28"/>
          <w:szCs w:val="28"/>
        </w:rPr>
        <w:lastRenderedPageBreak/>
        <w:t>（http://www.cninfo.com.cn）上，刊登的信息如下：</w:t>
      </w:r>
    </w:p>
    <w:tbl>
      <w:tblPr>
        <w:tblW w:w="9508" w:type="dxa"/>
        <w:tblCellMar>
          <w:left w:w="0" w:type="dxa"/>
          <w:right w:w="0" w:type="dxa"/>
        </w:tblCellMar>
        <w:tblLook w:val="04A0"/>
      </w:tblPr>
      <w:tblGrid>
        <w:gridCol w:w="861"/>
        <w:gridCol w:w="3827"/>
        <w:gridCol w:w="992"/>
        <w:gridCol w:w="3828"/>
      </w:tblGrid>
      <w:tr w:rsidR="00B13593" w:rsidTr="0069695C">
        <w:trPr>
          <w:divId w:val="1209494757"/>
          <w:trHeight w:val="412"/>
        </w:trPr>
        <w:tc>
          <w:tcPr>
            <w:tcW w:w="861"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hint="eastAsia"/>
                <w:sz w:val="18"/>
                <w:szCs w:val="18"/>
              </w:rPr>
              <w:t>公告编号</w:t>
            </w:r>
          </w:p>
        </w:tc>
        <w:tc>
          <w:tcPr>
            <w:tcW w:w="3827" w:type="dxa"/>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hint="eastAsia"/>
                <w:sz w:val="18"/>
                <w:szCs w:val="18"/>
              </w:rPr>
              <w:t>公告名称</w:t>
            </w:r>
          </w:p>
        </w:tc>
        <w:tc>
          <w:tcPr>
            <w:tcW w:w="992" w:type="dxa"/>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hint="eastAsia"/>
                <w:sz w:val="18"/>
                <w:szCs w:val="18"/>
              </w:rPr>
              <w:t>公告时间</w:t>
            </w:r>
          </w:p>
        </w:tc>
        <w:tc>
          <w:tcPr>
            <w:tcW w:w="3828" w:type="dxa"/>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ind w:firstLine="360"/>
              <w:jc w:val="center"/>
            </w:pPr>
            <w:r>
              <w:rPr>
                <w:rFonts w:hint="eastAsia"/>
                <w:sz w:val="18"/>
                <w:szCs w:val="18"/>
              </w:rPr>
              <w:t>披露主体</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2023-01</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关于部分高级管理人员减持计划期限届满的公告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2023-1-6</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B022</w:t>
            </w:r>
            <w:r>
              <w:rPr>
                <w:rFonts w:hint="eastAsia"/>
                <w:sz w:val="18"/>
                <w:szCs w:val="18"/>
              </w:rPr>
              <w:t>版、证券时报</w:t>
            </w:r>
            <w:r>
              <w:rPr>
                <w:rFonts w:ascii="Times New Roman" w:hAnsi="Times New Roman" w:cs="Times New Roman"/>
                <w:sz w:val="18"/>
                <w:szCs w:val="18"/>
              </w:rPr>
              <w:t>B27</w:t>
            </w:r>
            <w:r>
              <w:rPr>
                <w:rFonts w:hint="eastAsia"/>
                <w:sz w:val="18"/>
                <w:szCs w:val="18"/>
              </w:rPr>
              <w:t>版、证券日报</w:t>
            </w:r>
            <w:r>
              <w:rPr>
                <w:rFonts w:ascii="Times New Roman" w:hAnsi="Times New Roman" w:cs="Times New Roman"/>
                <w:sz w:val="18"/>
                <w:szCs w:val="18"/>
              </w:rPr>
              <w:t>D10</w:t>
            </w:r>
            <w:r>
              <w:rPr>
                <w:rFonts w:hint="eastAsia"/>
                <w:sz w:val="18"/>
                <w:szCs w:val="18"/>
              </w:rPr>
              <w:t>版、上海证券报</w:t>
            </w:r>
            <w:r>
              <w:rPr>
                <w:rFonts w:ascii="Times New Roman" w:hAnsi="Times New Roman" w:cs="Times New Roman"/>
                <w:sz w:val="18"/>
                <w:szCs w:val="18"/>
              </w:rPr>
              <w:t>24</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2023-02</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2022年度业绩预告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2023-1-6</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B022</w:t>
            </w:r>
            <w:r>
              <w:rPr>
                <w:rFonts w:hint="eastAsia"/>
                <w:sz w:val="18"/>
                <w:szCs w:val="18"/>
              </w:rPr>
              <w:t>版、证券时报</w:t>
            </w:r>
            <w:r>
              <w:rPr>
                <w:rFonts w:ascii="Times New Roman" w:hAnsi="Times New Roman" w:cs="Times New Roman"/>
                <w:sz w:val="18"/>
                <w:szCs w:val="18"/>
              </w:rPr>
              <w:t>B27</w:t>
            </w:r>
            <w:r>
              <w:rPr>
                <w:rFonts w:hint="eastAsia"/>
                <w:sz w:val="18"/>
                <w:szCs w:val="18"/>
              </w:rPr>
              <w:t>版、证券日报</w:t>
            </w:r>
            <w:r>
              <w:rPr>
                <w:rFonts w:ascii="Times New Roman" w:hAnsi="Times New Roman" w:cs="Times New Roman"/>
                <w:sz w:val="18"/>
                <w:szCs w:val="18"/>
              </w:rPr>
              <w:t>D10</w:t>
            </w:r>
            <w:r>
              <w:rPr>
                <w:rFonts w:hint="eastAsia"/>
                <w:sz w:val="18"/>
                <w:szCs w:val="18"/>
              </w:rPr>
              <w:t>版、上海证券报</w:t>
            </w:r>
            <w:r>
              <w:rPr>
                <w:rFonts w:ascii="Times New Roman" w:hAnsi="Times New Roman" w:cs="Times New Roman"/>
                <w:sz w:val="18"/>
                <w:szCs w:val="18"/>
              </w:rPr>
              <w:t>24</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2023-03</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2023年第一次临时股东大会决议公告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2023-1-18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B070</w:t>
            </w:r>
            <w:r>
              <w:rPr>
                <w:rFonts w:hint="eastAsia"/>
                <w:sz w:val="18"/>
                <w:szCs w:val="18"/>
              </w:rPr>
              <w:t>版、证券时报</w:t>
            </w:r>
            <w:r>
              <w:rPr>
                <w:rFonts w:ascii="Times New Roman" w:hAnsi="Times New Roman" w:cs="Times New Roman"/>
                <w:sz w:val="18"/>
                <w:szCs w:val="18"/>
              </w:rPr>
              <w:t>B83</w:t>
            </w:r>
            <w:r>
              <w:rPr>
                <w:rFonts w:hint="eastAsia"/>
                <w:sz w:val="18"/>
                <w:szCs w:val="18"/>
              </w:rPr>
              <w:t>版、证券日报</w:t>
            </w:r>
            <w:r>
              <w:rPr>
                <w:rFonts w:ascii="Times New Roman" w:hAnsi="Times New Roman" w:cs="Times New Roman"/>
                <w:sz w:val="18"/>
                <w:szCs w:val="18"/>
              </w:rPr>
              <w:t>D15</w:t>
            </w:r>
            <w:r>
              <w:rPr>
                <w:rFonts w:hint="eastAsia"/>
                <w:sz w:val="18"/>
                <w:szCs w:val="18"/>
              </w:rPr>
              <w:t>版、上海证券报</w:t>
            </w:r>
            <w:r>
              <w:rPr>
                <w:rFonts w:ascii="Times New Roman" w:hAnsi="Times New Roman" w:cs="Times New Roman"/>
                <w:sz w:val="18"/>
                <w:szCs w:val="18"/>
              </w:rPr>
              <w:t>75</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2023-04</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关于回购注销部分限制性股票减少注册资本暨通知债权人的公告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2023-1-18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B070</w:t>
            </w:r>
            <w:r>
              <w:rPr>
                <w:rFonts w:hint="eastAsia"/>
                <w:sz w:val="18"/>
                <w:szCs w:val="18"/>
              </w:rPr>
              <w:t>版、证券时报</w:t>
            </w:r>
            <w:r>
              <w:rPr>
                <w:rFonts w:ascii="Times New Roman" w:hAnsi="Times New Roman" w:cs="Times New Roman"/>
                <w:sz w:val="18"/>
                <w:szCs w:val="18"/>
              </w:rPr>
              <w:t>B83</w:t>
            </w:r>
            <w:r>
              <w:rPr>
                <w:rFonts w:hint="eastAsia"/>
                <w:sz w:val="18"/>
                <w:szCs w:val="18"/>
              </w:rPr>
              <w:t>版、证券日报</w:t>
            </w:r>
            <w:r>
              <w:rPr>
                <w:rFonts w:ascii="Times New Roman" w:hAnsi="Times New Roman" w:cs="Times New Roman"/>
                <w:sz w:val="18"/>
                <w:szCs w:val="18"/>
              </w:rPr>
              <w:t>D15</w:t>
            </w:r>
            <w:r>
              <w:rPr>
                <w:rFonts w:hint="eastAsia"/>
                <w:sz w:val="18"/>
                <w:szCs w:val="18"/>
              </w:rPr>
              <w:t>版、上海证券报</w:t>
            </w:r>
            <w:r>
              <w:rPr>
                <w:rFonts w:ascii="Times New Roman" w:hAnsi="Times New Roman" w:cs="Times New Roman"/>
                <w:sz w:val="18"/>
                <w:szCs w:val="18"/>
              </w:rPr>
              <w:t>75</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2023-05</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关于公司董事长收到中国证券监督管理委员会立案告知书的公告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2023-2-2</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B040</w:t>
            </w:r>
            <w:r>
              <w:rPr>
                <w:rFonts w:hint="eastAsia"/>
                <w:sz w:val="18"/>
                <w:szCs w:val="18"/>
              </w:rPr>
              <w:t>版、证券时报</w:t>
            </w:r>
            <w:r>
              <w:rPr>
                <w:rFonts w:ascii="Times New Roman" w:hAnsi="Times New Roman" w:cs="Times New Roman"/>
                <w:sz w:val="18"/>
                <w:szCs w:val="18"/>
              </w:rPr>
              <w:t>B25</w:t>
            </w:r>
            <w:r>
              <w:rPr>
                <w:rFonts w:hint="eastAsia"/>
                <w:sz w:val="18"/>
                <w:szCs w:val="18"/>
              </w:rPr>
              <w:t>版、证券日报</w:t>
            </w:r>
            <w:r>
              <w:rPr>
                <w:rFonts w:ascii="Times New Roman" w:hAnsi="Times New Roman" w:cs="Times New Roman"/>
                <w:sz w:val="18"/>
                <w:szCs w:val="18"/>
              </w:rPr>
              <w:t>D23</w:t>
            </w:r>
            <w:r>
              <w:rPr>
                <w:rFonts w:hint="eastAsia"/>
                <w:sz w:val="18"/>
                <w:szCs w:val="18"/>
              </w:rPr>
              <w:t>版、上海证券报</w:t>
            </w:r>
            <w:r>
              <w:rPr>
                <w:rFonts w:ascii="Times New Roman" w:hAnsi="Times New Roman" w:cs="Times New Roman"/>
                <w:sz w:val="18"/>
                <w:szCs w:val="18"/>
              </w:rPr>
              <w:t>55</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2023-06</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关于收到广东省江门市江海区人民法院《行政判决书》的公告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2023-2-17</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B010</w:t>
            </w:r>
            <w:r>
              <w:rPr>
                <w:rFonts w:hint="eastAsia"/>
                <w:sz w:val="18"/>
                <w:szCs w:val="18"/>
              </w:rPr>
              <w:t>版、证券时报</w:t>
            </w:r>
            <w:r>
              <w:rPr>
                <w:rFonts w:ascii="Times New Roman" w:hAnsi="Times New Roman" w:cs="Times New Roman"/>
                <w:sz w:val="18"/>
                <w:szCs w:val="18"/>
              </w:rPr>
              <w:t>B23</w:t>
            </w:r>
            <w:r>
              <w:rPr>
                <w:rFonts w:hint="eastAsia"/>
                <w:sz w:val="18"/>
                <w:szCs w:val="18"/>
              </w:rPr>
              <w:t>版、证券日报</w:t>
            </w:r>
            <w:r>
              <w:rPr>
                <w:rFonts w:ascii="Times New Roman" w:hAnsi="Times New Roman" w:cs="Times New Roman"/>
                <w:sz w:val="18"/>
                <w:szCs w:val="18"/>
              </w:rPr>
              <w:t>D22</w:t>
            </w:r>
            <w:r>
              <w:rPr>
                <w:rFonts w:hint="eastAsia"/>
                <w:sz w:val="18"/>
                <w:szCs w:val="18"/>
              </w:rPr>
              <w:t>版、上海证券报</w:t>
            </w:r>
            <w:r>
              <w:rPr>
                <w:rFonts w:ascii="Times New Roman" w:hAnsi="Times New Roman" w:cs="Times New Roman"/>
                <w:sz w:val="18"/>
                <w:szCs w:val="18"/>
              </w:rPr>
              <w:t>58</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2023-07</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第十届董事会第二十一次会议决议公告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2023-3-7</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B019</w:t>
            </w:r>
            <w:r>
              <w:rPr>
                <w:rFonts w:hint="eastAsia"/>
                <w:sz w:val="18"/>
                <w:szCs w:val="18"/>
              </w:rPr>
              <w:t>版、证券时报</w:t>
            </w:r>
            <w:r>
              <w:rPr>
                <w:rFonts w:ascii="Times New Roman" w:hAnsi="Times New Roman" w:cs="Times New Roman"/>
                <w:sz w:val="18"/>
                <w:szCs w:val="18"/>
              </w:rPr>
              <w:t>B41</w:t>
            </w:r>
            <w:r>
              <w:rPr>
                <w:rFonts w:hint="eastAsia"/>
                <w:sz w:val="18"/>
                <w:szCs w:val="18"/>
              </w:rPr>
              <w:t>版、证券日报</w:t>
            </w:r>
            <w:r>
              <w:rPr>
                <w:rFonts w:ascii="Times New Roman" w:hAnsi="Times New Roman" w:cs="Times New Roman"/>
                <w:sz w:val="18"/>
                <w:szCs w:val="18"/>
              </w:rPr>
              <w:t>D10</w:t>
            </w:r>
            <w:r>
              <w:rPr>
                <w:rFonts w:hint="eastAsia"/>
                <w:sz w:val="18"/>
                <w:szCs w:val="18"/>
              </w:rPr>
              <w:t>版、上海证券报</w:t>
            </w:r>
            <w:r>
              <w:rPr>
                <w:rFonts w:ascii="Times New Roman" w:hAnsi="Times New Roman" w:cs="Times New Roman"/>
                <w:sz w:val="18"/>
                <w:szCs w:val="18"/>
              </w:rPr>
              <w:t>39</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2023-08</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关于公司董事会秘书辞职及聘任公司董事会秘书的公告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2023-3-7</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B019</w:t>
            </w:r>
            <w:r>
              <w:rPr>
                <w:rFonts w:hint="eastAsia"/>
                <w:sz w:val="18"/>
                <w:szCs w:val="18"/>
              </w:rPr>
              <w:t>版、证券时报</w:t>
            </w:r>
            <w:r>
              <w:rPr>
                <w:rFonts w:ascii="Times New Roman" w:hAnsi="Times New Roman" w:cs="Times New Roman"/>
                <w:sz w:val="18"/>
                <w:szCs w:val="18"/>
              </w:rPr>
              <w:t>B41</w:t>
            </w:r>
            <w:r>
              <w:rPr>
                <w:rFonts w:hint="eastAsia"/>
                <w:sz w:val="18"/>
                <w:szCs w:val="18"/>
              </w:rPr>
              <w:t>版、证券日报</w:t>
            </w:r>
            <w:r>
              <w:rPr>
                <w:rFonts w:ascii="Times New Roman" w:hAnsi="Times New Roman" w:cs="Times New Roman"/>
                <w:sz w:val="18"/>
                <w:szCs w:val="18"/>
              </w:rPr>
              <w:t>D10</w:t>
            </w:r>
            <w:r>
              <w:rPr>
                <w:rFonts w:hint="eastAsia"/>
                <w:sz w:val="18"/>
                <w:szCs w:val="18"/>
              </w:rPr>
              <w:t>版、上海证券报</w:t>
            </w:r>
            <w:r>
              <w:rPr>
                <w:rFonts w:ascii="Times New Roman" w:hAnsi="Times New Roman" w:cs="Times New Roman"/>
                <w:sz w:val="18"/>
                <w:szCs w:val="18"/>
              </w:rPr>
              <w:t>39</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2023-09</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关于控股股东所持公司股份解除司法冻结的公告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2023-3-15</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B021</w:t>
            </w:r>
            <w:r>
              <w:rPr>
                <w:rFonts w:hint="eastAsia"/>
                <w:sz w:val="18"/>
                <w:szCs w:val="18"/>
              </w:rPr>
              <w:t>版、证券时报</w:t>
            </w:r>
            <w:r>
              <w:rPr>
                <w:rFonts w:ascii="Times New Roman" w:hAnsi="Times New Roman" w:cs="Times New Roman"/>
                <w:sz w:val="18"/>
                <w:szCs w:val="18"/>
              </w:rPr>
              <w:t>B02</w:t>
            </w:r>
            <w:r>
              <w:rPr>
                <w:rFonts w:hint="eastAsia"/>
                <w:sz w:val="18"/>
                <w:szCs w:val="18"/>
              </w:rPr>
              <w:t>版、证券日报</w:t>
            </w:r>
            <w:r>
              <w:rPr>
                <w:rFonts w:ascii="Times New Roman" w:hAnsi="Times New Roman" w:cs="Times New Roman"/>
                <w:sz w:val="18"/>
                <w:szCs w:val="18"/>
              </w:rPr>
              <w:t>D30</w:t>
            </w:r>
            <w:r>
              <w:rPr>
                <w:rFonts w:hint="eastAsia"/>
                <w:sz w:val="18"/>
                <w:szCs w:val="18"/>
              </w:rPr>
              <w:t>版、上海证券报</w:t>
            </w:r>
            <w:r>
              <w:rPr>
                <w:rFonts w:ascii="Times New Roman" w:hAnsi="Times New Roman" w:cs="Times New Roman"/>
                <w:sz w:val="18"/>
                <w:szCs w:val="18"/>
              </w:rPr>
              <w:t>54</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2023-10</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第十届董事会第二十二次会议决议公告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B099</w:t>
            </w:r>
            <w:r>
              <w:rPr>
                <w:rFonts w:hint="eastAsia"/>
                <w:sz w:val="18"/>
                <w:szCs w:val="18"/>
              </w:rPr>
              <w:t>版、证券时报</w:t>
            </w:r>
            <w:r>
              <w:rPr>
                <w:rFonts w:ascii="Times New Roman" w:hAnsi="Times New Roman" w:cs="Times New Roman"/>
                <w:sz w:val="18"/>
                <w:szCs w:val="18"/>
              </w:rPr>
              <w:t>B107</w:t>
            </w:r>
            <w:r>
              <w:rPr>
                <w:rFonts w:hint="eastAsia"/>
                <w:sz w:val="18"/>
                <w:szCs w:val="18"/>
              </w:rPr>
              <w:t>版、证券日报</w:t>
            </w:r>
            <w:r>
              <w:rPr>
                <w:rFonts w:ascii="Times New Roman" w:hAnsi="Times New Roman" w:cs="Times New Roman"/>
                <w:sz w:val="18"/>
                <w:szCs w:val="18"/>
              </w:rPr>
              <w:t>C61</w:t>
            </w:r>
            <w:r>
              <w:rPr>
                <w:rFonts w:hint="eastAsia"/>
                <w:sz w:val="18"/>
                <w:szCs w:val="18"/>
              </w:rPr>
              <w:t>版、上海证券报</w:t>
            </w:r>
            <w:r>
              <w:rPr>
                <w:rFonts w:ascii="Times New Roman" w:hAnsi="Times New Roman" w:cs="Times New Roman"/>
                <w:sz w:val="18"/>
                <w:szCs w:val="18"/>
              </w:rPr>
              <w:t>88</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2023-11</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第十届监事会第十七次会议决议公告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B099</w:t>
            </w:r>
            <w:r>
              <w:rPr>
                <w:rFonts w:hint="eastAsia"/>
                <w:sz w:val="18"/>
                <w:szCs w:val="18"/>
              </w:rPr>
              <w:t>版、证券时报</w:t>
            </w:r>
            <w:r>
              <w:rPr>
                <w:rFonts w:ascii="Times New Roman" w:hAnsi="Times New Roman" w:cs="Times New Roman"/>
                <w:sz w:val="18"/>
                <w:szCs w:val="18"/>
              </w:rPr>
              <w:t>B107</w:t>
            </w:r>
            <w:r>
              <w:rPr>
                <w:rFonts w:hint="eastAsia"/>
                <w:sz w:val="18"/>
                <w:szCs w:val="18"/>
              </w:rPr>
              <w:t>版、证券日报</w:t>
            </w:r>
            <w:r>
              <w:rPr>
                <w:rFonts w:ascii="Times New Roman" w:hAnsi="Times New Roman" w:cs="Times New Roman"/>
                <w:sz w:val="18"/>
                <w:szCs w:val="18"/>
              </w:rPr>
              <w:t>C61</w:t>
            </w:r>
            <w:r>
              <w:rPr>
                <w:rFonts w:hint="eastAsia"/>
                <w:sz w:val="18"/>
                <w:szCs w:val="18"/>
              </w:rPr>
              <w:t>版、上海证券报</w:t>
            </w:r>
            <w:r>
              <w:rPr>
                <w:rFonts w:ascii="Times New Roman" w:hAnsi="Times New Roman" w:cs="Times New Roman"/>
                <w:sz w:val="18"/>
                <w:szCs w:val="18"/>
              </w:rPr>
              <w:t>88</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2023-12</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2022年年度报告摘要</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B099</w:t>
            </w:r>
            <w:r>
              <w:rPr>
                <w:rFonts w:hint="eastAsia"/>
                <w:sz w:val="18"/>
                <w:szCs w:val="18"/>
              </w:rPr>
              <w:t>版、证券时报</w:t>
            </w:r>
            <w:r>
              <w:rPr>
                <w:rFonts w:ascii="Times New Roman" w:hAnsi="Times New Roman" w:cs="Times New Roman"/>
                <w:sz w:val="18"/>
                <w:szCs w:val="18"/>
              </w:rPr>
              <w:t>B107</w:t>
            </w:r>
            <w:r>
              <w:rPr>
                <w:rFonts w:hint="eastAsia"/>
                <w:sz w:val="18"/>
                <w:szCs w:val="18"/>
              </w:rPr>
              <w:t>版、证券日报</w:t>
            </w:r>
            <w:r>
              <w:rPr>
                <w:rFonts w:ascii="Times New Roman" w:hAnsi="Times New Roman" w:cs="Times New Roman"/>
                <w:sz w:val="18"/>
                <w:szCs w:val="18"/>
              </w:rPr>
              <w:t>C61</w:t>
            </w:r>
            <w:r>
              <w:rPr>
                <w:rFonts w:hint="eastAsia"/>
                <w:sz w:val="18"/>
                <w:szCs w:val="18"/>
              </w:rPr>
              <w:t>版、上海证券报</w:t>
            </w:r>
            <w:r>
              <w:rPr>
                <w:rFonts w:ascii="Times New Roman" w:hAnsi="Times New Roman" w:cs="Times New Roman"/>
                <w:sz w:val="18"/>
                <w:szCs w:val="18"/>
              </w:rPr>
              <w:t>88</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2023-13</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关于2023年度日常关联交易预计的公告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B099</w:t>
            </w:r>
            <w:r>
              <w:rPr>
                <w:rFonts w:hint="eastAsia"/>
                <w:sz w:val="18"/>
                <w:szCs w:val="18"/>
              </w:rPr>
              <w:t>版、证券时报</w:t>
            </w:r>
            <w:r>
              <w:rPr>
                <w:rFonts w:ascii="Times New Roman" w:hAnsi="Times New Roman" w:cs="Times New Roman"/>
                <w:sz w:val="18"/>
                <w:szCs w:val="18"/>
              </w:rPr>
              <w:t>B107</w:t>
            </w:r>
            <w:r>
              <w:rPr>
                <w:rFonts w:hint="eastAsia"/>
                <w:sz w:val="18"/>
                <w:szCs w:val="18"/>
              </w:rPr>
              <w:t>版、证券日报</w:t>
            </w:r>
            <w:r>
              <w:rPr>
                <w:rFonts w:ascii="Times New Roman" w:hAnsi="Times New Roman" w:cs="Times New Roman"/>
                <w:sz w:val="18"/>
                <w:szCs w:val="18"/>
              </w:rPr>
              <w:t>C61</w:t>
            </w:r>
            <w:r>
              <w:rPr>
                <w:rFonts w:hint="eastAsia"/>
                <w:sz w:val="18"/>
                <w:szCs w:val="18"/>
              </w:rPr>
              <w:t>版、上海证券报</w:t>
            </w:r>
            <w:r>
              <w:rPr>
                <w:rFonts w:ascii="Times New Roman" w:hAnsi="Times New Roman" w:cs="Times New Roman"/>
                <w:sz w:val="18"/>
                <w:szCs w:val="18"/>
              </w:rPr>
              <w:t>88</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2023-14</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关于会计政策变更的公告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B099</w:t>
            </w:r>
            <w:r>
              <w:rPr>
                <w:rFonts w:hint="eastAsia"/>
                <w:sz w:val="18"/>
                <w:szCs w:val="18"/>
              </w:rPr>
              <w:t>版、证券时报</w:t>
            </w:r>
            <w:r>
              <w:rPr>
                <w:rFonts w:ascii="Times New Roman" w:hAnsi="Times New Roman" w:cs="Times New Roman"/>
                <w:sz w:val="18"/>
                <w:szCs w:val="18"/>
              </w:rPr>
              <w:t>B107</w:t>
            </w:r>
            <w:r>
              <w:rPr>
                <w:rFonts w:hint="eastAsia"/>
                <w:sz w:val="18"/>
                <w:szCs w:val="18"/>
              </w:rPr>
              <w:t>版、证券日报</w:t>
            </w:r>
            <w:r>
              <w:rPr>
                <w:rFonts w:ascii="Times New Roman" w:hAnsi="Times New Roman" w:cs="Times New Roman"/>
                <w:sz w:val="18"/>
                <w:szCs w:val="18"/>
              </w:rPr>
              <w:t>C61</w:t>
            </w:r>
            <w:r>
              <w:rPr>
                <w:rFonts w:hint="eastAsia"/>
                <w:sz w:val="18"/>
                <w:szCs w:val="18"/>
              </w:rPr>
              <w:t>版、上海证券报</w:t>
            </w:r>
            <w:r>
              <w:rPr>
                <w:rFonts w:ascii="Times New Roman" w:hAnsi="Times New Roman" w:cs="Times New Roman"/>
                <w:sz w:val="18"/>
                <w:szCs w:val="18"/>
              </w:rPr>
              <w:t>88</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2023-15</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关于控股股东部分股份质押的公告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B099</w:t>
            </w:r>
            <w:r>
              <w:rPr>
                <w:rFonts w:hint="eastAsia"/>
                <w:sz w:val="18"/>
                <w:szCs w:val="18"/>
              </w:rPr>
              <w:t>版、证券时报</w:t>
            </w:r>
            <w:r>
              <w:rPr>
                <w:rFonts w:ascii="Times New Roman" w:hAnsi="Times New Roman" w:cs="Times New Roman"/>
                <w:sz w:val="18"/>
                <w:szCs w:val="18"/>
              </w:rPr>
              <w:t>B107</w:t>
            </w:r>
            <w:r>
              <w:rPr>
                <w:rFonts w:hint="eastAsia"/>
                <w:sz w:val="18"/>
                <w:szCs w:val="18"/>
              </w:rPr>
              <w:t>版、证券日报</w:t>
            </w:r>
            <w:r>
              <w:rPr>
                <w:rFonts w:ascii="Times New Roman" w:hAnsi="Times New Roman" w:cs="Times New Roman"/>
                <w:sz w:val="18"/>
                <w:szCs w:val="18"/>
              </w:rPr>
              <w:t>C61</w:t>
            </w:r>
            <w:r>
              <w:rPr>
                <w:rFonts w:hint="eastAsia"/>
                <w:sz w:val="18"/>
                <w:szCs w:val="18"/>
              </w:rPr>
              <w:t>版、上海证券报</w:t>
            </w:r>
            <w:r>
              <w:rPr>
                <w:rFonts w:ascii="Times New Roman" w:hAnsi="Times New Roman" w:cs="Times New Roman"/>
                <w:sz w:val="18"/>
                <w:szCs w:val="18"/>
              </w:rPr>
              <w:t>88</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2023-16</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关于公司高级管理人员减持股份的预披露公告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2023-4-15</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B022</w:t>
            </w:r>
            <w:r>
              <w:rPr>
                <w:rFonts w:hint="eastAsia"/>
                <w:sz w:val="18"/>
                <w:szCs w:val="18"/>
              </w:rPr>
              <w:t>版、证券时报</w:t>
            </w:r>
            <w:r>
              <w:rPr>
                <w:rFonts w:ascii="Times New Roman" w:hAnsi="Times New Roman" w:cs="Times New Roman"/>
                <w:sz w:val="18"/>
                <w:szCs w:val="18"/>
              </w:rPr>
              <w:t>B40</w:t>
            </w:r>
            <w:r>
              <w:rPr>
                <w:rFonts w:hint="eastAsia"/>
                <w:sz w:val="18"/>
                <w:szCs w:val="18"/>
              </w:rPr>
              <w:t>版、证券日报</w:t>
            </w:r>
            <w:r>
              <w:rPr>
                <w:rFonts w:ascii="Times New Roman" w:hAnsi="Times New Roman" w:cs="Times New Roman"/>
                <w:sz w:val="18"/>
                <w:szCs w:val="18"/>
              </w:rPr>
              <w:t>C14</w:t>
            </w:r>
            <w:r>
              <w:rPr>
                <w:rFonts w:hint="eastAsia"/>
                <w:sz w:val="18"/>
                <w:szCs w:val="18"/>
              </w:rPr>
              <w:t>版、上海证券报</w:t>
            </w:r>
            <w:r>
              <w:rPr>
                <w:rFonts w:ascii="Times New Roman" w:hAnsi="Times New Roman" w:cs="Times New Roman"/>
                <w:sz w:val="18"/>
                <w:szCs w:val="18"/>
              </w:rPr>
              <w:t>215</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2023-17</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关于控股股东所持公司部分股份解除质押的公告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2023-4-19</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B049</w:t>
            </w:r>
            <w:r>
              <w:rPr>
                <w:rFonts w:hint="eastAsia"/>
                <w:sz w:val="18"/>
                <w:szCs w:val="18"/>
              </w:rPr>
              <w:t>版、证券时报</w:t>
            </w:r>
            <w:r>
              <w:rPr>
                <w:rFonts w:ascii="Times New Roman" w:hAnsi="Times New Roman" w:cs="Times New Roman"/>
                <w:sz w:val="18"/>
                <w:szCs w:val="18"/>
              </w:rPr>
              <w:t>B154</w:t>
            </w:r>
            <w:r>
              <w:rPr>
                <w:rFonts w:hint="eastAsia"/>
                <w:sz w:val="18"/>
                <w:szCs w:val="18"/>
              </w:rPr>
              <w:t>版、证券日报</w:t>
            </w:r>
            <w:r>
              <w:rPr>
                <w:rFonts w:ascii="Times New Roman" w:hAnsi="Times New Roman" w:cs="Times New Roman"/>
                <w:sz w:val="18"/>
                <w:szCs w:val="18"/>
              </w:rPr>
              <w:t>D83</w:t>
            </w:r>
            <w:r>
              <w:rPr>
                <w:rFonts w:hint="eastAsia"/>
                <w:sz w:val="18"/>
                <w:szCs w:val="18"/>
              </w:rPr>
              <w:t>版、上海证券报</w:t>
            </w:r>
            <w:r>
              <w:rPr>
                <w:rFonts w:ascii="Times New Roman" w:hAnsi="Times New Roman" w:cs="Times New Roman"/>
                <w:sz w:val="18"/>
                <w:szCs w:val="18"/>
              </w:rPr>
              <w:t>124</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2023-18</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第十届董事会第二十三次会议决议公告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2023-4-22</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B227</w:t>
            </w:r>
            <w:r>
              <w:rPr>
                <w:rFonts w:hint="eastAsia"/>
                <w:sz w:val="18"/>
                <w:szCs w:val="18"/>
              </w:rPr>
              <w:t>版、证券时报</w:t>
            </w:r>
            <w:r>
              <w:rPr>
                <w:rFonts w:ascii="Times New Roman" w:hAnsi="Times New Roman" w:cs="Times New Roman"/>
                <w:sz w:val="18"/>
                <w:szCs w:val="18"/>
              </w:rPr>
              <w:t>B203</w:t>
            </w:r>
            <w:r>
              <w:rPr>
                <w:rFonts w:hint="eastAsia"/>
                <w:sz w:val="18"/>
                <w:szCs w:val="18"/>
              </w:rPr>
              <w:t>版、证券日报</w:t>
            </w:r>
            <w:r>
              <w:rPr>
                <w:rFonts w:ascii="Times New Roman" w:hAnsi="Times New Roman" w:cs="Times New Roman"/>
                <w:sz w:val="18"/>
                <w:szCs w:val="18"/>
              </w:rPr>
              <w:t>C127</w:t>
            </w:r>
            <w:r>
              <w:rPr>
                <w:rFonts w:hint="eastAsia"/>
                <w:sz w:val="18"/>
                <w:szCs w:val="18"/>
              </w:rPr>
              <w:t>版、上海证券报</w:t>
            </w:r>
            <w:r>
              <w:rPr>
                <w:rFonts w:ascii="Times New Roman" w:hAnsi="Times New Roman" w:cs="Times New Roman"/>
                <w:sz w:val="18"/>
                <w:szCs w:val="18"/>
              </w:rPr>
              <w:t>195</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2023-19</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广东甘化科工股份有限公司2023年第一季度报告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2023-4-22</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B227</w:t>
            </w:r>
            <w:r>
              <w:rPr>
                <w:rFonts w:hint="eastAsia"/>
                <w:sz w:val="18"/>
                <w:szCs w:val="18"/>
              </w:rPr>
              <w:t>版、证券时报</w:t>
            </w:r>
            <w:r>
              <w:rPr>
                <w:rFonts w:ascii="Times New Roman" w:hAnsi="Times New Roman" w:cs="Times New Roman"/>
                <w:sz w:val="18"/>
                <w:szCs w:val="18"/>
              </w:rPr>
              <w:t>B203</w:t>
            </w:r>
            <w:r>
              <w:rPr>
                <w:rFonts w:hint="eastAsia"/>
                <w:sz w:val="18"/>
                <w:szCs w:val="18"/>
              </w:rPr>
              <w:t>版、证券日报</w:t>
            </w:r>
            <w:r>
              <w:rPr>
                <w:rFonts w:ascii="Times New Roman" w:hAnsi="Times New Roman" w:cs="Times New Roman"/>
                <w:sz w:val="18"/>
                <w:szCs w:val="18"/>
              </w:rPr>
              <w:t>C127</w:t>
            </w:r>
            <w:r>
              <w:rPr>
                <w:rFonts w:hint="eastAsia"/>
                <w:sz w:val="18"/>
                <w:szCs w:val="18"/>
              </w:rPr>
              <w:t>版、上海证券报</w:t>
            </w:r>
            <w:r>
              <w:rPr>
                <w:rFonts w:ascii="Times New Roman" w:hAnsi="Times New Roman" w:cs="Times New Roman"/>
                <w:sz w:val="18"/>
                <w:szCs w:val="18"/>
              </w:rPr>
              <w:t>195</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2023-20</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关于续聘公司2023年度审计机构的公告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2023-4-22</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B227</w:t>
            </w:r>
            <w:r>
              <w:rPr>
                <w:rFonts w:hint="eastAsia"/>
                <w:sz w:val="18"/>
                <w:szCs w:val="18"/>
              </w:rPr>
              <w:t>版、证券时报</w:t>
            </w:r>
            <w:r>
              <w:rPr>
                <w:rFonts w:ascii="Times New Roman" w:hAnsi="Times New Roman" w:cs="Times New Roman"/>
                <w:sz w:val="18"/>
                <w:szCs w:val="18"/>
              </w:rPr>
              <w:t>B203</w:t>
            </w:r>
            <w:r>
              <w:rPr>
                <w:rFonts w:hint="eastAsia"/>
                <w:sz w:val="18"/>
                <w:szCs w:val="18"/>
              </w:rPr>
              <w:t>版、证券日报</w:t>
            </w:r>
            <w:r>
              <w:rPr>
                <w:rFonts w:ascii="Times New Roman" w:hAnsi="Times New Roman" w:cs="Times New Roman"/>
                <w:sz w:val="18"/>
                <w:szCs w:val="18"/>
              </w:rPr>
              <w:t>C127</w:t>
            </w:r>
            <w:r>
              <w:rPr>
                <w:rFonts w:hint="eastAsia"/>
                <w:sz w:val="18"/>
                <w:szCs w:val="18"/>
              </w:rPr>
              <w:t>版、上海证券报</w:t>
            </w:r>
            <w:r>
              <w:rPr>
                <w:rFonts w:ascii="Times New Roman" w:hAnsi="Times New Roman" w:cs="Times New Roman"/>
                <w:sz w:val="18"/>
                <w:szCs w:val="18"/>
              </w:rPr>
              <w:t>195</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lastRenderedPageBreak/>
              <w:t>2023-21</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关于部分限制性股票回购注销完成的公告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2023-5-6</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B031</w:t>
            </w:r>
            <w:r>
              <w:rPr>
                <w:rFonts w:hint="eastAsia"/>
                <w:sz w:val="18"/>
                <w:szCs w:val="18"/>
              </w:rPr>
              <w:t>版、证券时报</w:t>
            </w:r>
            <w:r>
              <w:rPr>
                <w:rFonts w:ascii="Times New Roman" w:hAnsi="Times New Roman" w:cs="Times New Roman"/>
                <w:sz w:val="18"/>
                <w:szCs w:val="18"/>
              </w:rPr>
              <w:t>B51</w:t>
            </w:r>
            <w:r>
              <w:rPr>
                <w:rFonts w:hint="eastAsia"/>
                <w:sz w:val="18"/>
                <w:szCs w:val="18"/>
              </w:rPr>
              <w:t>版、证券日报</w:t>
            </w:r>
            <w:r>
              <w:rPr>
                <w:rFonts w:ascii="Times New Roman" w:hAnsi="Times New Roman" w:cs="Times New Roman"/>
                <w:sz w:val="18"/>
                <w:szCs w:val="18"/>
              </w:rPr>
              <w:t>C23</w:t>
            </w:r>
            <w:r>
              <w:rPr>
                <w:rFonts w:hint="eastAsia"/>
                <w:sz w:val="18"/>
                <w:szCs w:val="18"/>
              </w:rPr>
              <w:t>版、上海证券报</w:t>
            </w:r>
            <w:r>
              <w:rPr>
                <w:rFonts w:ascii="Times New Roman" w:hAnsi="Times New Roman" w:cs="Times New Roman"/>
                <w:sz w:val="18"/>
                <w:szCs w:val="18"/>
              </w:rPr>
              <w:t>101</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2023-22</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关于公司董事长收到行政处罚事先告知书的公告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2023-5-9</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B053</w:t>
            </w:r>
            <w:r>
              <w:rPr>
                <w:rFonts w:hint="eastAsia"/>
                <w:sz w:val="18"/>
                <w:szCs w:val="18"/>
              </w:rPr>
              <w:t>版、证券时报</w:t>
            </w:r>
            <w:r>
              <w:rPr>
                <w:rFonts w:ascii="Times New Roman" w:hAnsi="Times New Roman" w:cs="Times New Roman"/>
                <w:sz w:val="18"/>
                <w:szCs w:val="18"/>
              </w:rPr>
              <w:t>B111</w:t>
            </w:r>
            <w:r>
              <w:rPr>
                <w:rFonts w:hint="eastAsia"/>
                <w:sz w:val="18"/>
                <w:szCs w:val="18"/>
              </w:rPr>
              <w:t>版、证券日报</w:t>
            </w:r>
            <w:r>
              <w:rPr>
                <w:rFonts w:ascii="Times New Roman" w:hAnsi="Times New Roman" w:cs="Times New Roman"/>
                <w:sz w:val="18"/>
                <w:szCs w:val="18"/>
              </w:rPr>
              <w:t>D54</w:t>
            </w:r>
            <w:r>
              <w:rPr>
                <w:rFonts w:hint="eastAsia"/>
                <w:sz w:val="18"/>
                <w:szCs w:val="18"/>
              </w:rPr>
              <w:t>版、上海证券报</w:t>
            </w:r>
            <w:r>
              <w:rPr>
                <w:rFonts w:ascii="Times New Roman" w:hAnsi="Times New Roman" w:cs="Times New Roman"/>
                <w:sz w:val="18"/>
                <w:szCs w:val="18"/>
              </w:rPr>
              <w:t>70</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2023-23</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关于公司董事长收到行政处罚决定书的公告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2023-5-25</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B079</w:t>
            </w:r>
            <w:r>
              <w:rPr>
                <w:rFonts w:hint="eastAsia"/>
                <w:sz w:val="18"/>
                <w:szCs w:val="18"/>
              </w:rPr>
              <w:t>版、证券时报</w:t>
            </w:r>
            <w:r>
              <w:rPr>
                <w:rFonts w:ascii="Times New Roman" w:hAnsi="Times New Roman" w:cs="Times New Roman"/>
                <w:sz w:val="18"/>
                <w:szCs w:val="18"/>
              </w:rPr>
              <w:t>B75</w:t>
            </w:r>
            <w:r>
              <w:rPr>
                <w:rFonts w:hint="eastAsia"/>
                <w:sz w:val="18"/>
                <w:szCs w:val="18"/>
              </w:rPr>
              <w:t>版、证券日报</w:t>
            </w:r>
            <w:r>
              <w:rPr>
                <w:rFonts w:ascii="Times New Roman" w:hAnsi="Times New Roman" w:cs="Times New Roman"/>
                <w:sz w:val="18"/>
                <w:szCs w:val="18"/>
              </w:rPr>
              <w:t>D16</w:t>
            </w:r>
            <w:r>
              <w:rPr>
                <w:rFonts w:hint="eastAsia"/>
                <w:sz w:val="18"/>
                <w:szCs w:val="18"/>
              </w:rPr>
              <w:t>版、上海证券报</w:t>
            </w:r>
            <w:r>
              <w:rPr>
                <w:rFonts w:ascii="Times New Roman" w:hAnsi="Times New Roman" w:cs="Times New Roman"/>
                <w:sz w:val="18"/>
                <w:szCs w:val="18"/>
              </w:rPr>
              <w:t>79</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2023-24</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第十届董事会第二十四次会议决议公告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2023-5-30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B002</w:t>
            </w:r>
            <w:r>
              <w:rPr>
                <w:rFonts w:hint="eastAsia"/>
                <w:sz w:val="18"/>
                <w:szCs w:val="18"/>
              </w:rPr>
              <w:t>版、证券时报</w:t>
            </w:r>
            <w:r>
              <w:rPr>
                <w:rFonts w:ascii="Times New Roman" w:hAnsi="Times New Roman" w:cs="Times New Roman"/>
                <w:sz w:val="18"/>
                <w:szCs w:val="18"/>
              </w:rPr>
              <w:t>B63</w:t>
            </w:r>
            <w:r>
              <w:rPr>
                <w:rFonts w:hint="eastAsia"/>
                <w:sz w:val="18"/>
                <w:szCs w:val="18"/>
              </w:rPr>
              <w:t>版、证券日报</w:t>
            </w:r>
            <w:r>
              <w:rPr>
                <w:rFonts w:ascii="Times New Roman" w:hAnsi="Times New Roman" w:cs="Times New Roman"/>
                <w:sz w:val="18"/>
                <w:szCs w:val="18"/>
              </w:rPr>
              <w:t>D22</w:t>
            </w:r>
            <w:r>
              <w:rPr>
                <w:rFonts w:hint="eastAsia"/>
                <w:sz w:val="18"/>
                <w:szCs w:val="18"/>
              </w:rPr>
              <w:t>版、上海证券报</w:t>
            </w:r>
            <w:r>
              <w:rPr>
                <w:rFonts w:ascii="Times New Roman" w:hAnsi="Times New Roman" w:cs="Times New Roman"/>
                <w:sz w:val="18"/>
                <w:szCs w:val="18"/>
              </w:rPr>
              <w:t>136</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2023-25</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第十届监事会第十九次会议决议公告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2023-5-30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B002</w:t>
            </w:r>
            <w:r>
              <w:rPr>
                <w:rFonts w:hint="eastAsia"/>
                <w:sz w:val="18"/>
                <w:szCs w:val="18"/>
              </w:rPr>
              <w:t>版、证券时报</w:t>
            </w:r>
            <w:r>
              <w:rPr>
                <w:rFonts w:ascii="Times New Roman" w:hAnsi="Times New Roman" w:cs="Times New Roman"/>
                <w:sz w:val="18"/>
                <w:szCs w:val="18"/>
              </w:rPr>
              <w:t>B63</w:t>
            </w:r>
            <w:r>
              <w:rPr>
                <w:rFonts w:hint="eastAsia"/>
                <w:sz w:val="18"/>
                <w:szCs w:val="18"/>
              </w:rPr>
              <w:t>版、证券日报</w:t>
            </w:r>
            <w:r>
              <w:rPr>
                <w:rFonts w:ascii="Times New Roman" w:hAnsi="Times New Roman" w:cs="Times New Roman"/>
                <w:sz w:val="18"/>
                <w:szCs w:val="18"/>
              </w:rPr>
              <w:t>D22</w:t>
            </w:r>
            <w:r>
              <w:rPr>
                <w:rFonts w:hint="eastAsia"/>
                <w:sz w:val="18"/>
                <w:szCs w:val="18"/>
              </w:rPr>
              <w:t>版、上海证券报</w:t>
            </w:r>
            <w:r>
              <w:rPr>
                <w:rFonts w:ascii="Times New Roman" w:hAnsi="Times New Roman" w:cs="Times New Roman"/>
                <w:sz w:val="18"/>
                <w:szCs w:val="18"/>
              </w:rPr>
              <w:t>136</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2023-26</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关于公司2021年限制性股票激励计划首次授予第二个解除限售期解除限售条件成就及预留授予第一个解除限售期解除限售条件成就的公告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2023-5-30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B002</w:t>
            </w:r>
            <w:r>
              <w:rPr>
                <w:rFonts w:hint="eastAsia"/>
                <w:sz w:val="18"/>
                <w:szCs w:val="18"/>
              </w:rPr>
              <w:t>版、证券时报</w:t>
            </w:r>
            <w:r>
              <w:rPr>
                <w:rFonts w:ascii="Times New Roman" w:hAnsi="Times New Roman" w:cs="Times New Roman"/>
                <w:sz w:val="18"/>
                <w:szCs w:val="18"/>
              </w:rPr>
              <w:t>B63</w:t>
            </w:r>
            <w:r>
              <w:rPr>
                <w:rFonts w:hint="eastAsia"/>
                <w:sz w:val="18"/>
                <w:szCs w:val="18"/>
              </w:rPr>
              <w:t>版、证券日报</w:t>
            </w:r>
            <w:r>
              <w:rPr>
                <w:rFonts w:ascii="Times New Roman" w:hAnsi="Times New Roman" w:cs="Times New Roman"/>
                <w:sz w:val="18"/>
                <w:szCs w:val="18"/>
              </w:rPr>
              <w:t>D22</w:t>
            </w:r>
            <w:r>
              <w:rPr>
                <w:rFonts w:hint="eastAsia"/>
                <w:sz w:val="18"/>
                <w:szCs w:val="18"/>
              </w:rPr>
              <w:t>版、上海证券报</w:t>
            </w:r>
            <w:r>
              <w:rPr>
                <w:rFonts w:ascii="Times New Roman" w:hAnsi="Times New Roman" w:cs="Times New Roman"/>
                <w:sz w:val="18"/>
                <w:szCs w:val="18"/>
              </w:rPr>
              <w:t>136</w:t>
            </w:r>
            <w:r>
              <w:rPr>
                <w:rFonts w:hint="eastAsia"/>
                <w:sz w:val="18"/>
                <w:szCs w:val="18"/>
              </w:rPr>
              <w:t>版、巨潮资讯网</w:t>
            </w:r>
          </w:p>
        </w:tc>
      </w:tr>
      <w:tr w:rsidR="00B13593" w:rsidTr="0069695C">
        <w:trPr>
          <w:divId w:val="120949475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2023-27</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关于授权使用自有闲置资金进行投资理财的公告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2023-5-30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B002</w:t>
            </w:r>
            <w:r>
              <w:rPr>
                <w:rFonts w:hint="eastAsia"/>
                <w:sz w:val="18"/>
                <w:szCs w:val="18"/>
              </w:rPr>
              <w:t>版、证券时报</w:t>
            </w:r>
            <w:r>
              <w:rPr>
                <w:rFonts w:ascii="Times New Roman" w:hAnsi="Times New Roman" w:cs="Times New Roman"/>
                <w:sz w:val="18"/>
                <w:szCs w:val="18"/>
              </w:rPr>
              <w:t>B63</w:t>
            </w:r>
            <w:r>
              <w:rPr>
                <w:rFonts w:hint="eastAsia"/>
                <w:sz w:val="18"/>
                <w:szCs w:val="18"/>
              </w:rPr>
              <w:t>版、证券日报</w:t>
            </w:r>
            <w:r>
              <w:rPr>
                <w:rFonts w:ascii="Times New Roman" w:hAnsi="Times New Roman" w:cs="Times New Roman"/>
                <w:sz w:val="18"/>
                <w:szCs w:val="18"/>
              </w:rPr>
              <w:t>D22</w:t>
            </w:r>
            <w:r>
              <w:rPr>
                <w:rFonts w:hint="eastAsia"/>
                <w:sz w:val="18"/>
                <w:szCs w:val="18"/>
              </w:rPr>
              <w:t>版、上海证券报</w:t>
            </w:r>
            <w:r>
              <w:rPr>
                <w:rFonts w:ascii="Times New Roman" w:hAnsi="Times New Roman" w:cs="Times New Roman"/>
                <w:sz w:val="18"/>
                <w:szCs w:val="18"/>
              </w:rPr>
              <w:t>136</w:t>
            </w:r>
            <w:r>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2023-28</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关于召开公司2022年度股东大会的通知</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2023-5-30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B002</w:t>
            </w:r>
            <w:r>
              <w:rPr>
                <w:rFonts w:hint="eastAsia"/>
                <w:sz w:val="18"/>
                <w:szCs w:val="18"/>
              </w:rPr>
              <w:t>版、证券时报</w:t>
            </w:r>
            <w:r>
              <w:rPr>
                <w:rFonts w:ascii="Times New Roman" w:hAnsi="Times New Roman" w:cs="Times New Roman"/>
                <w:sz w:val="18"/>
                <w:szCs w:val="18"/>
              </w:rPr>
              <w:t>B63</w:t>
            </w:r>
            <w:r>
              <w:rPr>
                <w:rFonts w:hint="eastAsia"/>
                <w:sz w:val="18"/>
                <w:szCs w:val="18"/>
              </w:rPr>
              <w:t>版、证券日报</w:t>
            </w:r>
            <w:r>
              <w:rPr>
                <w:rFonts w:ascii="Times New Roman" w:hAnsi="Times New Roman" w:cs="Times New Roman"/>
                <w:sz w:val="18"/>
                <w:szCs w:val="18"/>
              </w:rPr>
              <w:t>D22</w:t>
            </w:r>
            <w:r>
              <w:rPr>
                <w:rFonts w:hint="eastAsia"/>
                <w:sz w:val="18"/>
                <w:szCs w:val="18"/>
              </w:rPr>
              <w:t>版、上海证券报</w:t>
            </w:r>
            <w:r>
              <w:rPr>
                <w:rFonts w:ascii="Times New Roman" w:hAnsi="Times New Roman" w:cs="Times New Roman"/>
                <w:sz w:val="18"/>
                <w:szCs w:val="18"/>
              </w:rPr>
              <w:t>136</w:t>
            </w:r>
            <w:r>
              <w:rPr>
                <w:rFonts w:hint="eastAsia"/>
                <w:sz w:val="18"/>
                <w:szCs w:val="18"/>
              </w:rPr>
              <w:t>版、巨潮资讯网</w:t>
            </w:r>
          </w:p>
        </w:tc>
      </w:tr>
      <w:tr w:rsidR="00B13593" w:rsidRPr="00D9569D"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Pr="00420EE3" w:rsidRDefault="00B13593" w:rsidP="006815ED">
            <w:pPr>
              <w:pStyle w:val="a3"/>
              <w:widowControl w:val="0"/>
              <w:spacing w:before="0" w:beforeAutospacing="0" w:after="0" w:afterAutospacing="0" w:line="300" w:lineRule="atLeast"/>
              <w:jc w:val="center"/>
            </w:pPr>
            <w:r w:rsidRPr="00420EE3">
              <w:rPr>
                <w:rFonts w:ascii="Times New Roman" w:hAnsi="Times New Roman" w:cs="Times New Roman"/>
                <w:sz w:val="18"/>
                <w:szCs w:val="18"/>
              </w:rPr>
              <w:t>2023-2</w:t>
            </w:r>
            <w:r w:rsidR="006815ED" w:rsidRPr="00420EE3">
              <w:rPr>
                <w:rFonts w:ascii="Times New Roman" w:hAnsi="Times New Roman" w:cs="Times New Roman"/>
                <w:sz w:val="18"/>
                <w:szCs w:val="18"/>
              </w:rPr>
              <w:t>9</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Pr="00420EE3" w:rsidRDefault="00B13593" w:rsidP="00054B06">
            <w:pPr>
              <w:pStyle w:val="a3"/>
              <w:widowControl w:val="0"/>
              <w:spacing w:before="0" w:beforeAutospacing="0" w:after="0" w:afterAutospacing="0" w:line="300" w:lineRule="atLeast"/>
            </w:pPr>
            <w:r w:rsidRPr="00420EE3">
              <w:rPr>
                <w:rFonts w:hint="eastAsia"/>
                <w:sz w:val="18"/>
                <w:szCs w:val="18"/>
              </w:rPr>
              <w:t>关于深圳证券交易所年报问询函回复的公告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Pr="00420EE3" w:rsidRDefault="00B13593" w:rsidP="00054B06">
            <w:pPr>
              <w:pStyle w:val="a3"/>
              <w:widowControl w:val="0"/>
              <w:spacing w:before="0" w:beforeAutospacing="0" w:after="0" w:afterAutospacing="0" w:line="300" w:lineRule="atLeast"/>
              <w:jc w:val="center"/>
            </w:pPr>
            <w:r w:rsidRPr="00420EE3">
              <w:rPr>
                <w:rFonts w:ascii="Times New Roman" w:hAnsi="Times New Roman" w:cs="Times New Roman"/>
                <w:sz w:val="18"/>
                <w:szCs w:val="18"/>
              </w:rPr>
              <w:t>2023-5-30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Pr="00420EE3" w:rsidRDefault="00B13593" w:rsidP="00054B06">
            <w:pPr>
              <w:pStyle w:val="a3"/>
              <w:widowControl w:val="0"/>
              <w:spacing w:before="0" w:beforeAutospacing="0" w:after="0" w:afterAutospacing="0" w:line="300" w:lineRule="atLeast"/>
            </w:pPr>
            <w:r w:rsidRPr="00420EE3">
              <w:rPr>
                <w:rFonts w:hint="eastAsia"/>
                <w:sz w:val="18"/>
                <w:szCs w:val="18"/>
              </w:rPr>
              <w:t>中国证券报</w:t>
            </w:r>
            <w:r w:rsidRPr="00420EE3">
              <w:rPr>
                <w:rFonts w:ascii="Times New Roman" w:hAnsi="Times New Roman" w:cs="Times New Roman"/>
                <w:sz w:val="18"/>
                <w:szCs w:val="18"/>
              </w:rPr>
              <w:t>B082</w:t>
            </w:r>
            <w:r w:rsidRPr="00420EE3">
              <w:rPr>
                <w:rFonts w:hint="eastAsia"/>
                <w:sz w:val="18"/>
                <w:szCs w:val="18"/>
              </w:rPr>
              <w:t>版、证券时报</w:t>
            </w:r>
            <w:r w:rsidRPr="00420EE3">
              <w:rPr>
                <w:rFonts w:ascii="Times New Roman" w:hAnsi="Times New Roman" w:cs="Times New Roman"/>
                <w:sz w:val="18"/>
                <w:szCs w:val="18"/>
              </w:rPr>
              <w:t>B105</w:t>
            </w:r>
            <w:r w:rsidRPr="00420EE3">
              <w:rPr>
                <w:rFonts w:hint="eastAsia"/>
                <w:sz w:val="18"/>
                <w:szCs w:val="18"/>
              </w:rPr>
              <w:t>版、证券日报</w:t>
            </w:r>
            <w:r w:rsidRPr="00420EE3">
              <w:rPr>
                <w:rFonts w:ascii="Times New Roman" w:hAnsi="Times New Roman" w:cs="Times New Roman"/>
                <w:sz w:val="18"/>
                <w:szCs w:val="18"/>
              </w:rPr>
              <w:t>C7</w:t>
            </w:r>
            <w:r w:rsidRPr="00420EE3">
              <w:rPr>
                <w:rFonts w:hint="eastAsia"/>
                <w:sz w:val="18"/>
                <w:szCs w:val="18"/>
              </w:rPr>
              <w:t>版、上海证券报</w:t>
            </w:r>
            <w:r w:rsidRPr="00420EE3">
              <w:rPr>
                <w:rFonts w:ascii="Times New Roman" w:hAnsi="Times New Roman" w:cs="Times New Roman"/>
                <w:sz w:val="18"/>
                <w:szCs w:val="18"/>
              </w:rPr>
              <w:t>137</w:t>
            </w:r>
            <w:r w:rsidRPr="00420EE3">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2023-30</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关于《公司2022年度报告》的补充披露公告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2023-5-30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B082</w:t>
            </w:r>
            <w:r>
              <w:rPr>
                <w:rFonts w:hint="eastAsia"/>
                <w:sz w:val="18"/>
                <w:szCs w:val="18"/>
              </w:rPr>
              <w:t>版、证券时报</w:t>
            </w:r>
            <w:r>
              <w:rPr>
                <w:rFonts w:ascii="Times New Roman" w:hAnsi="Times New Roman" w:cs="Times New Roman"/>
                <w:sz w:val="18"/>
                <w:szCs w:val="18"/>
              </w:rPr>
              <w:t>B105</w:t>
            </w:r>
            <w:r>
              <w:rPr>
                <w:rFonts w:hint="eastAsia"/>
                <w:sz w:val="18"/>
                <w:szCs w:val="18"/>
              </w:rPr>
              <w:t>版、证券日报</w:t>
            </w:r>
            <w:r>
              <w:rPr>
                <w:rFonts w:ascii="Times New Roman" w:hAnsi="Times New Roman" w:cs="Times New Roman"/>
                <w:sz w:val="18"/>
                <w:szCs w:val="18"/>
              </w:rPr>
              <w:t>C8</w:t>
            </w:r>
            <w:r>
              <w:rPr>
                <w:rFonts w:hint="eastAsia"/>
                <w:sz w:val="18"/>
                <w:szCs w:val="18"/>
              </w:rPr>
              <w:t>版、上海证券报</w:t>
            </w:r>
            <w:r>
              <w:rPr>
                <w:rFonts w:ascii="Times New Roman" w:hAnsi="Times New Roman" w:cs="Times New Roman"/>
                <w:sz w:val="18"/>
                <w:szCs w:val="18"/>
              </w:rPr>
              <w:t>137</w:t>
            </w:r>
            <w:r>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2023-31</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关于公司2021年限制性股票激励计划首次授予第二个解除限售期解除限售股份上市流通的提示性公告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2023-6-2</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B061</w:t>
            </w:r>
            <w:r>
              <w:rPr>
                <w:rFonts w:hint="eastAsia"/>
                <w:sz w:val="18"/>
                <w:szCs w:val="18"/>
              </w:rPr>
              <w:t>版、证券时报</w:t>
            </w:r>
            <w:r>
              <w:rPr>
                <w:rFonts w:ascii="Times New Roman" w:hAnsi="Times New Roman" w:cs="Times New Roman"/>
                <w:sz w:val="18"/>
                <w:szCs w:val="18"/>
              </w:rPr>
              <w:t>B85</w:t>
            </w:r>
            <w:r>
              <w:rPr>
                <w:rFonts w:hint="eastAsia"/>
                <w:sz w:val="18"/>
                <w:szCs w:val="18"/>
              </w:rPr>
              <w:t>版、证券日报</w:t>
            </w:r>
            <w:r>
              <w:rPr>
                <w:rFonts w:ascii="Times New Roman" w:hAnsi="Times New Roman" w:cs="Times New Roman"/>
                <w:sz w:val="18"/>
                <w:szCs w:val="18"/>
              </w:rPr>
              <w:t>D49</w:t>
            </w:r>
            <w:r>
              <w:rPr>
                <w:rFonts w:hint="eastAsia"/>
                <w:sz w:val="18"/>
                <w:szCs w:val="18"/>
              </w:rPr>
              <w:t>版、上海证券报</w:t>
            </w:r>
            <w:r>
              <w:rPr>
                <w:rFonts w:ascii="Times New Roman" w:hAnsi="Times New Roman" w:cs="Times New Roman"/>
                <w:sz w:val="18"/>
                <w:szCs w:val="18"/>
              </w:rPr>
              <w:t>23</w:t>
            </w:r>
            <w:r>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2023-32</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关于公司2021年限制性股票激励计划预留授予第一个解除限售期解除限售股份上市流通的提示性公告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2023-6-2</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B061</w:t>
            </w:r>
            <w:r>
              <w:rPr>
                <w:rFonts w:hint="eastAsia"/>
                <w:sz w:val="18"/>
                <w:szCs w:val="18"/>
              </w:rPr>
              <w:t>版、证券时报</w:t>
            </w:r>
            <w:r>
              <w:rPr>
                <w:rFonts w:ascii="Times New Roman" w:hAnsi="Times New Roman" w:cs="Times New Roman"/>
                <w:sz w:val="18"/>
                <w:szCs w:val="18"/>
              </w:rPr>
              <w:t>A19</w:t>
            </w:r>
            <w:r>
              <w:rPr>
                <w:rFonts w:hint="eastAsia"/>
                <w:sz w:val="18"/>
                <w:szCs w:val="18"/>
              </w:rPr>
              <w:t>版、证券日报</w:t>
            </w:r>
            <w:r>
              <w:rPr>
                <w:rFonts w:ascii="Times New Roman" w:hAnsi="Times New Roman" w:cs="Times New Roman"/>
                <w:sz w:val="18"/>
                <w:szCs w:val="18"/>
              </w:rPr>
              <w:t>D49</w:t>
            </w:r>
            <w:r>
              <w:rPr>
                <w:rFonts w:hint="eastAsia"/>
                <w:sz w:val="18"/>
                <w:szCs w:val="18"/>
              </w:rPr>
              <w:t>版、上海证券报</w:t>
            </w:r>
            <w:r>
              <w:rPr>
                <w:rFonts w:ascii="Times New Roman" w:hAnsi="Times New Roman" w:cs="Times New Roman"/>
                <w:sz w:val="18"/>
                <w:szCs w:val="18"/>
              </w:rPr>
              <w:t>23</w:t>
            </w:r>
            <w:r>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2023-33</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关于部分高级管理人员减持股份的预披露公告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2023-6-7</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A19</w:t>
            </w:r>
            <w:r>
              <w:rPr>
                <w:rFonts w:hint="eastAsia"/>
                <w:sz w:val="18"/>
                <w:szCs w:val="18"/>
              </w:rPr>
              <w:t>版、证券时报</w:t>
            </w:r>
            <w:r>
              <w:rPr>
                <w:rFonts w:ascii="Times New Roman" w:hAnsi="Times New Roman" w:cs="Times New Roman"/>
                <w:sz w:val="18"/>
                <w:szCs w:val="18"/>
              </w:rPr>
              <w:t>B131</w:t>
            </w:r>
            <w:r>
              <w:rPr>
                <w:rFonts w:hint="eastAsia"/>
                <w:sz w:val="18"/>
                <w:szCs w:val="18"/>
              </w:rPr>
              <w:t>版、证券日报</w:t>
            </w:r>
            <w:r>
              <w:rPr>
                <w:rFonts w:ascii="Times New Roman" w:hAnsi="Times New Roman" w:cs="Times New Roman"/>
                <w:sz w:val="18"/>
                <w:szCs w:val="18"/>
              </w:rPr>
              <w:t>D72</w:t>
            </w:r>
            <w:r>
              <w:rPr>
                <w:rFonts w:hint="eastAsia"/>
                <w:sz w:val="18"/>
                <w:szCs w:val="18"/>
              </w:rPr>
              <w:t>版、上海证券报</w:t>
            </w:r>
            <w:r>
              <w:rPr>
                <w:rFonts w:ascii="Times New Roman" w:hAnsi="Times New Roman" w:cs="Times New Roman"/>
                <w:sz w:val="18"/>
                <w:szCs w:val="18"/>
              </w:rPr>
              <w:t>115</w:t>
            </w:r>
            <w:r>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2023-34</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关于补充披露公司2022年度委托理财事项的公告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2023-6-14</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B059</w:t>
            </w:r>
            <w:r>
              <w:rPr>
                <w:rFonts w:hint="eastAsia"/>
                <w:sz w:val="18"/>
                <w:szCs w:val="18"/>
              </w:rPr>
              <w:t>版、证券时报</w:t>
            </w:r>
            <w:r>
              <w:rPr>
                <w:rFonts w:ascii="Times New Roman" w:hAnsi="Times New Roman" w:cs="Times New Roman"/>
                <w:sz w:val="18"/>
                <w:szCs w:val="18"/>
              </w:rPr>
              <w:t>B99</w:t>
            </w:r>
            <w:r>
              <w:rPr>
                <w:rFonts w:hint="eastAsia"/>
                <w:sz w:val="18"/>
                <w:szCs w:val="18"/>
              </w:rPr>
              <w:t>版、证券日报</w:t>
            </w:r>
            <w:r>
              <w:rPr>
                <w:rFonts w:ascii="Times New Roman" w:hAnsi="Times New Roman" w:cs="Times New Roman"/>
                <w:sz w:val="18"/>
                <w:szCs w:val="18"/>
              </w:rPr>
              <w:t>D40</w:t>
            </w:r>
            <w:r>
              <w:rPr>
                <w:rFonts w:hint="eastAsia"/>
                <w:sz w:val="18"/>
                <w:szCs w:val="18"/>
              </w:rPr>
              <w:t>版、上海证券报</w:t>
            </w:r>
            <w:r>
              <w:rPr>
                <w:rFonts w:ascii="Times New Roman" w:hAnsi="Times New Roman" w:cs="Times New Roman"/>
                <w:sz w:val="18"/>
                <w:szCs w:val="18"/>
              </w:rPr>
              <w:t>91</w:t>
            </w:r>
            <w:r>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2023-35</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关于举办2022年度网上业绩说明会的公告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2023-6-20</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B019</w:t>
            </w:r>
            <w:r>
              <w:rPr>
                <w:rFonts w:hint="eastAsia"/>
                <w:sz w:val="18"/>
                <w:szCs w:val="18"/>
              </w:rPr>
              <w:t>版、证券时报</w:t>
            </w:r>
            <w:r>
              <w:rPr>
                <w:rFonts w:ascii="Times New Roman" w:hAnsi="Times New Roman" w:cs="Times New Roman"/>
                <w:sz w:val="18"/>
                <w:szCs w:val="18"/>
              </w:rPr>
              <w:t>B22</w:t>
            </w:r>
            <w:r>
              <w:rPr>
                <w:rFonts w:hint="eastAsia"/>
                <w:sz w:val="18"/>
                <w:szCs w:val="18"/>
              </w:rPr>
              <w:t>版、证券日报</w:t>
            </w:r>
            <w:r>
              <w:rPr>
                <w:rFonts w:ascii="Times New Roman" w:hAnsi="Times New Roman" w:cs="Times New Roman"/>
                <w:sz w:val="18"/>
                <w:szCs w:val="18"/>
              </w:rPr>
              <w:t>D34</w:t>
            </w:r>
            <w:r>
              <w:rPr>
                <w:rFonts w:hint="eastAsia"/>
                <w:sz w:val="18"/>
                <w:szCs w:val="18"/>
              </w:rPr>
              <w:t>版、上海证券报</w:t>
            </w:r>
            <w:r>
              <w:rPr>
                <w:rFonts w:ascii="Times New Roman" w:hAnsi="Times New Roman" w:cs="Times New Roman"/>
                <w:sz w:val="18"/>
                <w:szCs w:val="18"/>
              </w:rPr>
              <w:t>42</w:t>
            </w:r>
            <w:r>
              <w:rPr>
                <w:rFonts w:hint="eastAsia"/>
                <w:sz w:val="18"/>
                <w:szCs w:val="18"/>
              </w:rPr>
              <w:t>版、巨潮资讯网</w:t>
            </w:r>
          </w:p>
        </w:tc>
      </w:tr>
      <w:tr w:rsidR="00B13593" w:rsidTr="0069695C">
        <w:trPr>
          <w:divId w:val="1209494757"/>
          <w:trHeight w:val="567"/>
        </w:trPr>
        <w:tc>
          <w:tcPr>
            <w:tcW w:w="861"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2023-36</w:t>
            </w:r>
          </w:p>
        </w:tc>
        <w:tc>
          <w:tcPr>
            <w:tcW w:w="382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2022年度股东大会决议公告</w:t>
            </w:r>
          </w:p>
        </w:tc>
        <w:tc>
          <w:tcPr>
            <w:tcW w:w="9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jc w:val="center"/>
            </w:pPr>
            <w:r>
              <w:rPr>
                <w:rFonts w:ascii="Times New Roman" w:hAnsi="Times New Roman" w:cs="Times New Roman"/>
                <w:sz w:val="18"/>
                <w:szCs w:val="18"/>
              </w:rPr>
              <w:t>2023-6-28</w:t>
            </w:r>
          </w:p>
        </w:tc>
        <w:tc>
          <w:tcPr>
            <w:tcW w:w="382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B13593" w:rsidRDefault="00B13593" w:rsidP="00054B06">
            <w:pPr>
              <w:pStyle w:val="a3"/>
              <w:widowControl w:val="0"/>
              <w:spacing w:before="0" w:beforeAutospacing="0" w:after="0" w:afterAutospacing="0" w:line="300" w:lineRule="atLeast"/>
            </w:pPr>
            <w:r>
              <w:rPr>
                <w:rFonts w:hint="eastAsia"/>
                <w:sz w:val="18"/>
                <w:szCs w:val="18"/>
              </w:rPr>
              <w:t>中国证券报</w:t>
            </w:r>
            <w:r>
              <w:rPr>
                <w:rFonts w:ascii="Times New Roman" w:hAnsi="Times New Roman" w:cs="Times New Roman"/>
                <w:sz w:val="18"/>
                <w:szCs w:val="18"/>
              </w:rPr>
              <w:t>B024</w:t>
            </w:r>
            <w:r>
              <w:rPr>
                <w:rFonts w:hint="eastAsia"/>
                <w:sz w:val="18"/>
                <w:szCs w:val="18"/>
              </w:rPr>
              <w:t>版、证券时报</w:t>
            </w:r>
            <w:r>
              <w:rPr>
                <w:rFonts w:ascii="Times New Roman" w:hAnsi="Times New Roman" w:cs="Times New Roman"/>
                <w:sz w:val="18"/>
                <w:szCs w:val="18"/>
              </w:rPr>
              <w:t>B62</w:t>
            </w:r>
            <w:r>
              <w:rPr>
                <w:rFonts w:hint="eastAsia"/>
                <w:sz w:val="18"/>
                <w:szCs w:val="18"/>
              </w:rPr>
              <w:t>版、证券日报</w:t>
            </w:r>
            <w:r>
              <w:rPr>
                <w:rFonts w:ascii="Times New Roman" w:hAnsi="Times New Roman" w:cs="Times New Roman"/>
                <w:sz w:val="18"/>
                <w:szCs w:val="18"/>
              </w:rPr>
              <w:t>D34</w:t>
            </w:r>
            <w:r>
              <w:rPr>
                <w:rFonts w:hint="eastAsia"/>
                <w:sz w:val="18"/>
                <w:szCs w:val="18"/>
              </w:rPr>
              <w:t>版、上海证券报</w:t>
            </w:r>
            <w:r>
              <w:rPr>
                <w:rFonts w:ascii="Times New Roman" w:hAnsi="Times New Roman" w:cs="Times New Roman"/>
                <w:sz w:val="18"/>
                <w:szCs w:val="18"/>
              </w:rPr>
              <w:t>53</w:t>
            </w:r>
            <w:r>
              <w:rPr>
                <w:rFonts w:hint="eastAsia"/>
                <w:sz w:val="18"/>
                <w:szCs w:val="18"/>
              </w:rPr>
              <w:t>版、巨潮资讯网</w:t>
            </w:r>
          </w:p>
        </w:tc>
      </w:tr>
    </w:tbl>
    <w:p w:rsidR="00B13593" w:rsidRPr="00D71E8E"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79" w:name="_Toc988967"/>
      <w:r w:rsidRPr="00D71E8E">
        <w:rPr>
          <w:b/>
          <w:bCs/>
          <w:sz w:val="28"/>
          <w:szCs w:val="28"/>
        </w:rPr>
        <w:t>十四、公司子公司重大事项</w:t>
      </w:r>
      <w:bookmarkEnd w:id="79"/>
    </w:p>
    <w:p w:rsidR="00B13593" w:rsidRPr="00D71E8E"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D71E8E">
        <w:rPr>
          <w:rFonts w:ascii="仿宋" w:eastAsia="仿宋" w:hAnsi="仿宋"/>
          <w:sz w:val="28"/>
          <w:szCs w:val="28"/>
        </w:rPr>
        <w:t xml:space="preserve">□适用 </w:t>
      </w:r>
      <w:r w:rsidR="00D71E8E" w:rsidRPr="00D71E8E">
        <w:rPr>
          <w:rFonts w:ascii="仿宋" w:eastAsia="仿宋" w:hAnsi="仿宋" w:hint="eastAsia"/>
          <w:sz w:val="28"/>
          <w:szCs w:val="28"/>
        </w:rPr>
        <w:t xml:space="preserve"> </w:t>
      </w:r>
      <w:r w:rsidRPr="00D71E8E">
        <w:rPr>
          <w:rFonts w:ascii="仿宋" w:eastAsia="仿宋" w:hAnsi="仿宋"/>
          <w:sz w:val="28"/>
          <w:szCs w:val="28"/>
        </w:rPr>
        <w:sym w:font="Wingdings 2" w:char="F052"/>
      </w:r>
      <w:r w:rsidRPr="00D71E8E">
        <w:rPr>
          <w:rFonts w:ascii="仿宋" w:eastAsia="仿宋" w:hAnsi="仿宋"/>
          <w:sz w:val="28"/>
          <w:szCs w:val="28"/>
        </w:rPr>
        <w:t>不适用</w:t>
      </w:r>
    </w:p>
    <w:p w:rsidR="00B13593" w:rsidRDefault="00B13F8C" w:rsidP="00054B06">
      <w: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80" w:name="_Toc988968"/>
      <w:r>
        <w:rPr>
          <w:rFonts w:ascii="宋体" w:eastAsia="宋体" w:hAnsi="宋体" w:cs="宋体"/>
          <w:b/>
          <w:bCs/>
          <w:sz w:val="32"/>
          <w:szCs w:val="32"/>
        </w:rPr>
        <w:lastRenderedPageBreak/>
        <w:t>第七节 股份变动及股东情况</w:t>
      </w:r>
      <w:bookmarkEnd w:id="80"/>
    </w:p>
    <w:p w:rsidR="00B13593" w:rsidRPr="00284489"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81" w:name="_Toc988969"/>
      <w:r w:rsidRPr="00284489">
        <w:rPr>
          <w:b/>
          <w:bCs/>
          <w:sz w:val="28"/>
          <w:szCs w:val="28"/>
        </w:rPr>
        <w:t>一、股份变动情况</w:t>
      </w:r>
      <w:bookmarkEnd w:id="81"/>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bookmarkStart w:id="82" w:name="_Toc988970"/>
      <w:r w:rsidRPr="00284489">
        <w:rPr>
          <w:rFonts w:ascii="仿宋" w:eastAsia="仿宋" w:hAnsi="仿宋"/>
          <w:b/>
          <w:sz w:val="28"/>
          <w:szCs w:val="28"/>
        </w:rPr>
        <w:t>1、股份变动情况</w:t>
      </w:r>
      <w:bookmarkEnd w:id="8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63"/>
        <w:gridCol w:w="1272"/>
        <w:gridCol w:w="850"/>
        <w:gridCol w:w="709"/>
        <w:gridCol w:w="567"/>
        <w:gridCol w:w="850"/>
        <w:gridCol w:w="1134"/>
        <w:gridCol w:w="1134"/>
        <w:gridCol w:w="1276"/>
        <w:gridCol w:w="884"/>
      </w:tblGrid>
      <w:tr w:rsidR="00B13593" w:rsidTr="00284489">
        <w:trPr>
          <w:trHeight w:val="240"/>
        </w:trPr>
        <w:tc>
          <w:tcPr>
            <w:tcW w:w="9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260" w:lineRule="exact"/>
            </w:pPr>
          </w:p>
        </w:tc>
        <w:tc>
          <w:tcPr>
            <w:tcW w:w="212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本次变动前</w:t>
            </w:r>
          </w:p>
        </w:tc>
        <w:tc>
          <w:tcPr>
            <w:tcW w:w="439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本次变动增减（＋，－）</w:t>
            </w:r>
          </w:p>
        </w:tc>
        <w:tc>
          <w:tcPr>
            <w:tcW w:w="21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本次变动后</w:t>
            </w:r>
          </w:p>
        </w:tc>
      </w:tr>
      <w:tr w:rsidR="00284489" w:rsidTr="00284489">
        <w:trPr>
          <w:trHeight w:val="240"/>
        </w:trPr>
        <w:tc>
          <w:tcPr>
            <w:tcW w:w="9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260" w:lineRule="exact"/>
            </w:pPr>
          </w:p>
        </w:tc>
        <w:tc>
          <w:tcPr>
            <w:tcW w:w="127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数量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比例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发行新股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送股</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公积金转股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小计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数量</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jc w:val="center"/>
              <w:rPr>
                <w:rFonts w:ascii="宋体" w:eastAsia="宋体" w:hAnsi="宋体" w:cs="宋体"/>
                <w:sz w:val="18"/>
                <w:szCs w:val="18"/>
              </w:rPr>
            </w:pPr>
            <w:r>
              <w:rPr>
                <w:rFonts w:ascii="宋体" w:eastAsia="宋体" w:hAnsi="宋体" w:cs="宋体"/>
                <w:sz w:val="18"/>
                <w:szCs w:val="18"/>
              </w:rPr>
              <w:t>比例</w:t>
            </w: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一、有限售条件股份</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13,372,057</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3.02%</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-1,219,812</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-1,219,812</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12,152,245</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2.75%</w:t>
            </w: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1、国家持股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2、国有法人持股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3、其他内资持股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13,372,057</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3.02%</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-1,219,812</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-1,219,812</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12,152,245</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2.75%</w:t>
            </w: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其中：境内法人持股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2,496,185</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0.56%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2,496,185</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0.56%</w:t>
            </w: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境内自然人持股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10,875,872</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2.46%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-1,219,812</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-1,219,812</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9,656,060</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2.18%</w:t>
            </w: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4、外资持股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其中：境外法人持股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境外自然人持股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二、无限售条件股份</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429,489,267</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96.98%</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990,222</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990,222</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430,479,489</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97.25%</w:t>
            </w: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1、人民币普通股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429,489,267</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96.98%</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990,222</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990,222</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430,479,489</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97.25%</w:t>
            </w: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2、境内上市的外资股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3、境外上市的外资股</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4、其他</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r>
      <w:tr w:rsidR="00284489" w:rsidTr="00284489">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260" w:lineRule="exact"/>
              <w:rPr>
                <w:rFonts w:ascii="宋体" w:eastAsia="宋体" w:hAnsi="宋体" w:cs="宋体"/>
                <w:sz w:val="18"/>
                <w:szCs w:val="18"/>
              </w:rPr>
            </w:pPr>
            <w:r>
              <w:rPr>
                <w:rFonts w:ascii="宋体" w:eastAsia="宋体" w:hAnsi="宋体" w:cs="宋体"/>
                <w:sz w:val="18"/>
                <w:szCs w:val="18"/>
              </w:rPr>
              <w:t>三、股份总数</w:t>
            </w:r>
          </w:p>
        </w:tc>
        <w:tc>
          <w:tcPr>
            <w:tcW w:w="127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442,861,324</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6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-229,590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-229,590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442,631,734</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60" w:lineRule="exact"/>
              <w:jc w:val="right"/>
              <w:rPr>
                <w:rFonts w:ascii="宋体" w:eastAsia="宋体" w:hAnsi="宋体" w:cs="宋体"/>
                <w:sz w:val="18"/>
                <w:szCs w:val="18"/>
              </w:rPr>
            </w:pPr>
            <w:r>
              <w:rPr>
                <w:rFonts w:ascii="宋体" w:eastAsia="宋体" w:hAnsi="宋体" w:cs="宋体"/>
                <w:sz w:val="18"/>
                <w:szCs w:val="18"/>
              </w:rPr>
              <w:t>100.00%</w:t>
            </w:r>
          </w:p>
        </w:tc>
      </w:tr>
    </w:tbl>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284489">
        <w:rPr>
          <w:rFonts w:ascii="仿宋" w:eastAsia="仿宋" w:hAnsi="仿宋"/>
          <w:b/>
          <w:sz w:val="28"/>
          <w:szCs w:val="28"/>
        </w:rPr>
        <w:t>股份变动的原因</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284489">
        <w:rPr>
          <w:rFonts w:ascii="仿宋" w:eastAsia="仿宋" w:hAnsi="仿宋"/>
          <w:sz w:val="28"/>
          <w:szCs w:val="28"/>
        </w:rPr>
        <w:sym w:font="Wingdings 2" w:char="F052"/>
      </w:r>
      <w:r w:rsidRPr="00284489">
        <w:rPr>
          <w:rFonts w:ascii="仿宋" w:eastAsia="仿宋" w:hAnsi="仿宋"/>
          <w:sz w:val="28"/>
          <w:szCs w:val="28"/>
        </w:rPr>
        <w:t xml:space="preserve">适用 </w:t>
      </w:r>
      <w:r w:rsidR="00284489">
        <w:rPr>
          <w:rFonts w:ascii="仿宋" w:eastAsia="仿宋" w:hAnsi="仿宋" w:hint="eastAsia"/>
          <w:sz w:val="28"/>
          <w:szCs w:val="28"/>
        </w:rPr>
        <w:t xml:space="preserve"> </w:t>
      </w:r>
      <w:r w:rsidRPr="00284489">
        <w:rPr>
          <w:rFonts w:ascii="仿宋" w:eastAsia="仿宋" w:hAnsi="仿宋"/>
          <w:sz w:val="28"/>
          <w:szCs w:val="28"/>
        </w:rPr>
        <w:t>□不适用</w:t>
      </w:r>
    </w:p>
    <w:p w:rsidR="00B13593" w:rsidRPr="00284489" w:rsidRDefault="00B13593" w:rsidP="00054B06">
      <w:pPr>
        <w:pStyle w:val="a3"/>
        <w:widowControl w:val="0"/>
        <w:spacing w:before="0" w:beforeAutospacing="0" w:after="0" w:afterAutospacing="0" w:line="560" w:lineRule="exact"/>
        <w:ind w:firstLine="560"/>
        <w:jc w:val="both"/>
        <w:divId w:val="2116097028"/>
        <w:rPr>
          <w:rFonts w:ascii="仿宋" w:eastAsia="仿宋" w:hAnsi="仿宋"/>
          <w:sz w:val="28"/>
          <w:szCs w:val="28"/>
        </w:rPr>
      </w:pPr>
      <w:r>
        <w:rPr>
          <w:rFonts w:ascii="仿宋" w:eastAsia="仿宋" w:hAnsi="仿宋" w:hint="eastAsia"/>
          <w:sz w:val="28"/>
          <w:szCs w:val="28"/>
        </w:rPr>
        <w:lastRenderedPageBreak/>
        <w:t>1、公司于2023年5月4日</w:t>
      </w:r>
      <w:r w:rsidRPr="00284489">
        <w:rPr>
          <w:rFonts w:ascii="仿宋" w:eastAsia="仿宋" w:hAnsi="仿宋" w:hint="eastAsia"/>
          <w:sz w:val="28"/>
          <w:szCs w:val="28"/>
        </w:rPr>
        <w:t>办理完成了</w:t>
      </w:r>
      <w:r>
        <w:rPr>
          <w:rFonts w:ascii="仿宋" w:eastAsia="仿宋" w:hAnsi="仿宋" w:hint="eastAsia"/>
          <w:sz w:val="28"/>
          <w:szCs w:val="28"/>
        </w:rPr>
        <w:t>6名离职人员合计229,590股</w:t>
      </w:r>
      <w:r w:rsidRPr="00284489">
        <w:rPr>
          <w:rFonts w:ascii="仿宋" w:eastAsia="仿宋" w:hAnsi="仿宋" w:hint="eastAsia"/>
          <w:sz w:val="28"/>
          <w:szCs w:val="28"/>
        </w:rPr>
        <w:t>限制性股票的回购注销事宜</w:t>
      </w:r>
      <w:r>
        <w:rPr>
          <w:rFonts w:ascii="仿宋" w:eastAsia="仿宋" w:hAnsi="仿宋" w:hint="eastAsia"/>
          <w:sz w:val="28"/>
          <w:szCs w:val="28"/>
        </w:rPr>
        <w:t>。</w:t>
      </w:r>
    </w:p>
    <w:p w:rsidR="00B13593" w:rsidRPr="00284489" w:rsidRDefault="00B13593" w:rsidP="00054B06">
      <w:pPr>
        <w:pStyle w:val="a3"/>
        <w:widowControl w:val="0"/>
        <w:spacing w:before="0" w:beforeAutospacing="0" w:after="0" w:afterAutospacing="0" w:line="560" w:lineRule="exact"/>
        <w:ind w:firstLine="560"/>
        <w:jc w:val="both"/>
        <w:divId w:val="2116097028"/>
        <w:rPr>
          <w:rFonts w:ascii="仿宋" w:eastAsia="仿宋" w:hAnsi="仿宋"/>
          <w:sz w:val="28"/>
          <w:szCs w:val="28"/>
        </w:rPr>
      </w:pPr>
      <w:r>
        <w:rPr>
          <w:rFonts w:ascii="仿宋" w:eastAsia="仿宋" w:hAnsi="仿宋" w:hint="eastAsia"/>
          <w:sz w:val="28"/>
          <w:szCs w:val="28"/>
        </w:rPr>
        <w:t>2、公司于2023年6月办理了2021年限制性股票激励计划首次授予第二个解除限售期及预留授予第一个解除限售期涉及的股份上市流通手续，本次符合解除限售条件的激励对象共计66名，本次解除限售的限制性股票数量为125.3585万股。</w:t>
      </w:r>
    </w:p>
    <w:p w:rsidR="00B13593" w:rsidRPr="00284489" w:rsidRDefault="00B13593" w:rsidP="00054B06">
      <w:pPr>
        <w:pStyle w:val="a3"/>
        <w:widowControl w:val="0"/>
        <w:spacing w:before="0" w:beforeAutospacing="0" w:after="0" w:afterAutospacing="0" w:line="560" w:lineRule="exact"/>
        <w:ind w:firstLine="560"/>
        <w:jc w:val="both"/>
        <w:divId w:val="2116097028"/>
        <w:rPr>
          <w:rFonts w:ascii="仿宋" w:eastAsia="仿宋" w:hAnsi="仿宋"/>
          <w:sz w:val="28"/>
          <w:szCs w:val="28"/>
        </w:rPr>
      </w:pPr>
      <w:r>
        <w:rPr>
          <w:rFonts w:ascii="仿宋" w:eastAsia="仿宋" w:hAnsi="仿宋" w:hint="eastAsia"/>
          <w:sz w:val="28"/>
          <w:szCs w:val="28"/>
        </w:rPr>
        <w:t>3、公司原董事会秘书司景喆先生于2023年3月因个人原因辞职，其所持的公司股份全部锁定半年。</w:t>
      </w:r>
    </w:p>
    <w:p w:rsidR="00B13593" w:rsidRPr="00284489" w:rsidRDefault="00B13593" w:rsidP="00054B06">
      <w:pPr>
        <w:pStyle w:val="a3"/>
        <w:widowControl w:val="0"/>
        <w:spacing w:before="0" w:beforeAutospacing="0" w:after="0" w:afterAutospacing="0" w:line="560" w:lineRule="exact"/>
        <w:ind w:firstLine="560"/>
        <w:jc w:val="both"/>
        <w:divId w:val="2116097028"/>
        <w:rPr>
          <w:rFonts w:ascii="仿宋" w:eastAsia="仿宋" w:hAnsi="仿宋"/>
          <w:sz w:val="28"/>
          <w:szCs w:val="28"/>
        </w:rPr>
      </w:pPr>
      <w:r>
        <w:rPr>
          <w:rFonts w:ascii="仿宋" w:eastAsia="仿宋" w:hAnsi="仿宋" w:hint="eastAsia"/>
          <w:sz w:val="28"/>
          <w:szCs w:val="28"/>
        </w:rPr>
        <w:t>4、根据《深圳证券交易所上市公司董事、监事和高级管理人员所持本公司股份及其变动管理业务指引》相关规定，</w:t>
      </w:r>
      <w:r w:rsidRPr="00284489">
        <w:rPr>
          <w:rFonts w:ascii="仿宋" w:eastAsia="仿宋" w:hAnsi="仿宋" w:hint="eastAsia"/>
          <w:sz w:val="28"/>
          <w:szCs w:val="28"/>
        </w:rPr>
        <w:t>董监高在职期间每年其所持公司股份总数的25%为实际可上市流通股份，剩余75%股份将进行锁定。</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284489">
        <w:rPr>
          <w:rFonts w:ascii="仿宋" w:eastAsia="仿宋" w:hAnsi="仿宋"/>
          <w:b/>
          <w:sz w:val="28"/>
          <w:szCs w:val="28"/>
        </w:rPr>
        <w:t>股份变动的批准情况</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284489">
        <w:rPr>
          <w:rFonts w:ascii="仿宋" w:eastAsia="仿宋" w:hAnsi="仿宋"/>
          <w:sz w:val="28"/>
          <w:szCs w:val="28"/>
        </w:rPr>
        <w:t>□适用</w:t>
      </w:r>
      <w:r w:rsidR="00284489">
        <w:rPr>
          <w:rFonts w:ascii="仿宋" w:eastAsia="仿宋" w:hAnsi="仿宋" w:hint="eastAsia"/>
          <w:sz w:val="28"/>
          <w:szCs w:val="28"/>
        </w:rPr>
        <w:t xml:space="preserve"> </w:t>
      </w:r>
      <w:r w:rsidRPr="00284489">
        <w:rPr>
          <w:rFonts w:ascii="仿宋" w:eastAsia="仿宋" w:hAnsi="仿宋"/>
          <w:sz w:val="28"/>
          <w:szCs w:val="28"/>
        </w:rPr>
        <w:t xml:space="preserve"> </w:t>
      </w:r>
      <w:r w:rsidRPr="00284489">
        <w:rPr>
          <w:rFonts w:ascii="仿宋" w:eastAsia="仿宋" w:hAnsi="仿宋"/>
          <w:sz w:val="28"/>
          <w:szCs w:val="28"/>
        </w:rPr>
        <w:sym w:font="Wingdings 2" w:char="F052"/>
      </w:r>
      <w:r w:rsidRPr="00284489">
        <w:rPr>
          <w:rFonts w:ascii="仿宋" w:eastAsia="仿宋" w:hAnsi="仿宋"/>
          <w:sz w:val="28"/>
          <w:szCs w:val="28"/>
        </w:rPr>
        <w:t>不适用</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284489">
        <w:rPr>
          <w:rFonts w:ascii="仿宋" w:eastAsia="仿宋" w:hAnsi="仿宋"/>
          <w:b/>
          <w:sz w:val="28"/>
          <w:szCs w:val="28"/>
        </w:rPr>
        <w:t>股份变动的过户情况</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284489">
        <w:rPr>
          <w:rFonts w:ascii="仿宋" w:eastAsia="仿宋" w:hAnsi="仿宋"/>
          <w:sz w:val="28"/>
          <w:szCs w:val="28"/>
        </w:rPr>
        <w:t>□适用</w:t>
      </w:r>
      <w:r w:rsidR="00284489">
        <w:rPr>
          <w:rFonts w:ascii="仿宋" w:eastAsia="仿宋" w:hAnsi="仿宋" w:hint="eastAsia"/>
          <w:sz w:val="28"/>
          <w:szCs w:val="28"/>
        </w:rPr>
        <w:t xml:space="preserve">  </w:t>
      </w:r>
      <w:r w:rsidRPr="00284489">
        <w:rPr>
          <w:rFonts w:ascii="仿宋" w:eastAsia="仿宋" w:hAnsi="仿宋"/>
          <w:sz w:val="28"/>
          <w:szCs w:val="28"/>
        </w:rPr>
        <w:sym w:font="Wingdings 2" w:char="F052"/>
      </w:r>
      <w:r w:rsidRPr="00284489">
        <w:rPr>
          <w:rFonts w:ascii="仿宋" w:eastAsia="仿宋" w:hAnsi="仿宋"/>
          <w:sz w:val="28"/>
          <w:szCs w:val="28"/>
        </w:rPr>
        <w:t>不适用</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284489">
        <w:rPr>
          <w:rFonts w:ascii="仿宋" w:eastAsia="仿宋" w:hAnsi="仿宋"/>
          <w:b/>
          <w:sz w:val="28"/>
          <w:szCs w:val="28"/>
        </w:rPr>
        <w:t>股份回购的实施进展情况</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284489">
        <w:rPr>
          <w:rFonts w:ascii="仿宋" w:eastAsia="仿宋" w:hAnsi="仿宋"/>
          <w:sz w:val="28"/>
          <w:szCs w:val="28"/>
        </w:rPr>
        <w:t>□适用</w:t>
      </w:r>
      <w:r w:rsidR="00284489">
        <w:rPr>
          <w:rFonts w:ascii="仿宋" w:eastAsia="仿宋" w:hAnsi="仿宋" w:hint="eastAsia"/>
          <w:sz w:val="28"/>
          <w:szCs w:val="28"/>
        </w:rPr>
        <w:t xml:space="preserve"> </w:t>
      </w:r>
      <w:r w:rsidRPr="00284489">
        <w:rPr>
          <w:rFonts w:ascii="仿宋" w:eastAsia="仿宋" w:hAnsi="仿宋"/>
          <w:sz w:val="28"/>
          <w:szCs w:val="28"/>
        </w:rPr>
        <w:t xml:space="preserve"> </w:t>
      </w:r>
      <w:r w:rsidRPr="00284489">
        <w:rPr>
          <w:rFonts w:ascii="仿宋" w:eastAsia="仿宋" w:hAnsi="仿宋"/>
          <w:sz w:val="28"/>
          <w:szCs w:val="28"/>
        </w:rPr>
        <w:sym w:font="Wingdings 2" w:char="F052"/>
      </w:r>
      <w:r w:rsidRPr="00284489">
        <w:rPr>
          <w:rFonts w:ascii="仿宋" w:eastAsia="仿宋" w:hAnsi="仿宋"/>
          <w:sz w:val="28"/>
          <w:szCs w:val="28"/>
        </w:rPr>
        <w:t>不适用</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284489">
        <w:rPr>
          <w:rFonts w:ascii="仿宋" w:eastAsia="仿宋" w:hAnsi="仿宋"/>
          <w:b/>
          <w:sz w:val="28"/>
          <w:szCs w:val="28"/>
        </w:rPr>
        <w:t>采用集中竞价方式减持回购股份的实施进展情况</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284489">
        <w:rPr>
          <w:rFonts w:ascii="仿宋" w:eastAsia="仿宋" w:hAnsi="仿宋"/>
          <w:sz w:val="28"/>
          <w:szCs w:val="28"/>
        </w:rPr>
        <w:t xml:space="preserve">□适用 </w:t>
      </w:r>
      <w:r w:rsidR="00284489">
        <w:rPr>
          <w:rFonts w:ascii="仿宋" w:eastAsia="仿宋" w:hAnsi="仿宋" w:hint="eastAsia"/>
          <w:sz w:val="28"/>
          <w:szCs w:val="28"/>
        </w:rPr>
        <w:t xml:space="preserve"> </w:t>
      </w:r>
      <w:r w:rsidRPr="00284489">
        <w:rPr>
          <w:rFonts w:ascii="仿宋" w:eastAsia="仿宋" w:hAnsi="仿宋"/>
          <w:sz w:val="28"/>
          <w:szCs w:val="28"/>
        </w:rPr>
        <w:sym w:font="Wingdings 2" w:char="F052"/>
      </w:r>
      <w:r w:rsidRPr="00284489">
        <w:rPr>
          <w:rFonts w:ascii="仿宋" w:eastAsia="仿宋" w:hAnsi="仿宋"/>
          <w:sz w:val="28"/>
          <w:szCs w:val="28"/>
        </w:rPr>
        <w:t>不适用</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284489">
        <w:rPr>
          <w:rFonts w:ascii="仿宋" w:eastAsia="仿宋" w:hAnsi="仿宋"/>
          <w:b/>
          <w:sz w:val="28"/>
          <w:szCs w:val="28"/>
        </w:rPr>
        <w:t>股份变动对最近一年和最近一期基本每股收益和稀释每股收益、归属于公司普通股股东的每股净资产等财务指标的影响</w:t>
      </w:r>
    </w:p>
    <w:p w:rsidR="00284489" w:rsidRDefault="00B13F8C" w:rsidP="00054B06">
      <w:pPr>
        <w:pStyle w:val="a3"/>
        <w:widowControl w:val="0"/>
        <w:spacing w:before="0" w:beforeAutospacing="0" w:after="0" w:afterAutospacing="0" w:line="560" w:lineRule="exact"/>
        <w:ind w:firstLine="561"/>
        <w:jc w:val="both"/>
        <w:divId w:val="2103721305"/>
        <w:rPr>
          <w:rFonts w:ascii="仿宋" w:eastAsia="仿宋" w:hAnsi="仿宋"/>
          <w:sz w:val="28"/>
          <w:szCs w:val="28"/>
        </w:rPr>
      </w:pPr>
      <w:r w:rsidRPr="00284489">
        <w:rPr>
          <w:rFonts w:ascii="仿宋" w:eastAsia="仿宋" w:hAnsi="仿宋"/>
          <w:sz w:val="28"/>
          <w:szCs w:val="28"/>
        </w:rPr>
        <w:sym w:font="Wingdings 2" w:char="F052"/>
      </w:r>
      <w:r w:rsidRPr="00284489">
        <w:rPr>
          <w:rFonts w:ascii="仿宋" w:eastAsia="仿宋" w:hAnsi="仿宋"/>
          <w:sz w:val="28"/>
          <w:szCs w:val="28"/>
        </w:rPr>
        <w:t xml:space="preserve">适用 </w:t>
      </w:r>
      <w:r w:rsidR="00284489">
        <w:rPr>
          <w:rFonts w:ascii="仿宋" w:eastAsia="仿宋" w:hAnsi="仿宋" w:hint="eastAsia"/>
          <w:sz w:val="28"/>
          <w:szCs w:val="28"/>
        </w:rPr>
        <w:t xml:space="preserve"> </w:t>
      </w:r>
      <w:r w:rsidRPr="00284489">
        <w:rPr>
          <w:rFonts w:ascii="仿宋" w:eastAsia="仿宋" w:hAnsi="仿宋"/>
          <w:sz w:val="28"/>
          <w:szCs w:val="28"/>
        </w:rPr>
        <w:t>□不适用</w:t>
      </w:r>
    </w:p>
    <w:p w:rsidR="00B13593" w:rsidRPr="00284489" w:rsidRDefault="00284489" w:rsidP="00054B06">
      <w:pPr>
        <w:pStyle w:val="a3"/>
        <w:widowControl w:val="0"/>
        <w:spacing w:before="0" w:beforeAutospacing="0" w:after="0" w:afterAutospacing="0" w:line="560" w:lineRule="exact"/>
        <w:ind w:firstLine="561"/>
        <w:jc w:val="both"/>
        <w:divId w:val="2103721305"/>
        <w:rPr>
          <w:rFonts w:ascii="仿宋" w:eastAsia="仿宋" w:hAnsi="仿宋"/>
          <w:sz w:val="28"/>
          <w:szCs w:val="28"/>
        </w:rPr>
      </w:pPr>
      <w:r>
        <w:rPr>
          <w:rFonts w:ascii="仿宋" w:eastAsia="仿宋" w:hAnsi="仿宋" w:hint="eastAsia"/>
          <w:sz w:val="28"/>
          <w:szCs w:val="28"/>
        </w:rPr>
        <w:t>报告期内，公司注销</w:t>
      </w:r>
      <w:r w:rsidR="006565C4">
        <w:rPr>
          <w:rFonts w:ascii="仿宋" w:eastAsia="仿宋" w:hAnsi="仿宋" w:hint="eastAsia"/>
          <w:sz w:val="28"/>
          <w:szCs w:val="28"/>
        </w:rPr>
        <w:t>了</w:t>
      </w:r>
      <w:r w:rsidR="00B13593">
        <w:rPr>
          <w:rFonts w:ascii="仿宋" w:eastAsia="仿宋" w:hAnsi="仿宋" w:hint="eastAsia"/>
          <w:sz w:val="28"/>
          <w:szCs w:val="28"/>
        </w:rPr>
        <w:t>229,590股</w:t>
      </w:r>
      <w:r w:rsidR="00B13593" w:rsidRPr="00284489">
        <w:rPr>
          <w:rFonts w:ascii="仿宋" w:eastAsia="仿宋" w:hAnsi="仿宋" w:hint="eastAsia"/>
          <w:sz w:val="28"/>
          <w:szCs w:val="28"/>
        </w:rPr>
        <w:t>限制性股票，由于股份变动数量占期末总股本比例极小，股份变动对最近一期基本每股收益和稀释每股收益、归</w:t>
      </w:r>
      <w:r w:rsidR="00B13593" w:rsidRPr="00284489">
        <w:rPr>
          <w:rFonts w:ascii="仿宋" w:eastAsia="仿宋" w:hAnsi="仿宋" w:hint="eastAsia"/>
          <w:sz w:val="28"/>
          <w:szCs w:val="28"/>
        </w:rPr>
        <w:lastRenderedPageBreak/>
        <w:t>属于公司普通股股东的每股净资产等指标影响极小。</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r w:rsidRPr="00284489">
        <w:rPr>
          <w:rFonts w:ascii="仿宋" w:eastAsia="仿宋" w:hAnsi="仿宋"/>
          <w:b/>
          <w:sz w:val="28"/>
          <w:szCs w:val="28"/>
        </w:rPr>
        <w:t>公司认为必要或证券监管机构要求披露的其他内容</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284489">
        <w:rPr>
          <w:rFonts w:ascii="仿宋" w:eastAsia="仿宋" w:hAnsi="仿宋"/>
          <w:sz w:val="28"/>
          <w:szCs w:val="28"/>
        </w:rPr>
        <w:t xml:space="preserve">□适用 </w:t>
      </w:r>
      <w:r w:rsidR="00284489">
        <w:rPr>
          <w:rFonts w:ascii="仿宋" w:eastAsia="仿宋" w:hAnsi="仿宋" w:hint="eastAsia"/>
          <w:sz w:val="28"/>
          <w:szCs w:val="28"/>
        </w:rPr>
        <w:t xml:space="preserve"> </w:t>
      </w:r>
      <w:r w:rsidRPr="00284489">
        <w:rPr>
          <w:rFonts w:ascii="仿宋" w:eastAsia="仿宋" w:hAnsi="仿宋"/>
          <w:sz w:val="28"/>
          <w:szCs w:val="28"/>
        </w:rPr>
        <w:sym w:font="Wingdings 2" w:char="F052"/>
      </w:r>
      <w:r w:rsidRPr="00284489">
        <w:rPr>
          <w:rFonts w:ascii="仿宋" w:eastAsia="仿宋" w:hAnsi="仿宋"/>
          <w:sz w:val="28"/>
          <w:szCs w:val="28"/>
        </w:rPr>
        <w:t>不适用</w:t>
      </w:r>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b/>
          <w:sz w:val="28"/>
          <w:szCs w:val="28"/>
        </w:rPr>
      </w:pPr>
      <w:bookmarkStart w:id="83" w:name="_Toc988971"/>
      <w:r w:rsidRPr="00284489">
        <w:rPr>
          <w:rFonts w:ascii="仿宋" w:eastAsia="仿宋" w:hAnsi="仿宋"/>
          <w:b/>
          <w:sz w:val="28"/>
          <w:szCs w:val="28"/>
        </w:rPr>
        <w:t>2、限售股份变动情况</w:t>
      </w:r>
      <w:bookmarkEnd w:id="83"/>
    </w:p>
    <w:p w:rsidR="00B13593" w:rsidRPr="00284489" w:rsidRDefault="00B13F8C" w:rsidP="00054B06">
      <w:pPr>
        <w:pStyle w:val="a3"/>
        <w:widowControl w:val="0"/>
        <w:spacing w:before="0" w:beforeAutospacing="0" w:after="0" w:afterAutospacing="0" w:line="560" w:lineRule="exact"/>
        <w:ind w:firstLine="560"/>
        <w:jc w:val="both"/>
        <w:rPr>
          <w:rFonts w:ascii="仿宋" w:eastAsia="仿宋" w:hAnsi="仿宋"/>
          <w:sz w:val="28"/>
          <w:szCs w:val="28"/>
        </w:rPr>
      </w:pPr>
      <w:r w:rsidRPr="00284489">
        <w:rPr>
          <w:rFonts w:ascii="仿宋" w:eastAsia="仿宋" w:hAnsi="仿宋"/>
          <w:sz w:val="28"/>
          <w:szCs w:val="28"/>
        </w:rPr>
        <w:sym w:font="Wingdings 2" w:char="F052"/>
      </w:r>
      <w:r w:rsidRPr="00284489">
        <w:rPr>
          <w:rFonts w:ascii="仿宋" w:eastAsia="仿宋" w:hAnsi="仿宋"/>
          <w:sz w:val="28"/>
          <w:szCs w:val="28"/>
        </w:rPr>
        <w:t>适用</w:t>
      </w:r>
      <w:r w:rsidR="00284489" w:rsidRPr="00284489">
        <w:rPr>
          <w:rFonts w:ascii="仿宋" w:eastAsia="仿宋" w:hAnsi="仿宋" w:hint="eastAsia"/>
          <w:sz w:val="28"/>
          <w:szCs w:val="28"/>
        </w:rPr>
        <w:t xml:space="preserve"> </w:t>
      </w:r>
      <w:r w:rsidRPr="00284489">
        <w:rPr>
          <w:rFonts w:ascii="仿宋" w:eastAsia="仿宋" w:hAnsi="仿宋"/>
          <w:sz w:val="28"/>
          <w:szCs w:val="28"/>
        </w:rPr>
        <w:t xml:space="preserve"> □不适用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26"/>
        <w:gridCol w:w="1228"/>
        <w:gridCol w:w="1040"/>
        <w:gridCol w:w="1276"/>
        <w:gridCol w:w="1134"/>
        <w:gridCol w:w="1701"/>
        <w:gridCol w:w="1734"/>
      </w:tblGrid>
      <w:tr w:rsidR="00B13593" w:rsidTr="00284489">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2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期初限售股数</w:t>
            </w:r>
          </w:p>
        </w:tc>
        <w:tc>
          <w:tcPr>
            <w:tcW w:w="104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期末限售股数</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限售原因</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解除限售日期</w:t>
            </w:r>
          </w:p>
        </w:tc>
      </w:tr>
      <w:tr w:rsidR="00B13593" w:rsidTr="0028448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股权激励限售股</w:t>
            </w:r>
          </w:p>
        </w:tc>
        <w:tc>
          <w:tcPr>
            <w:tcW w:w="12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3,214,233</w:t>
            </w:r>
          </w:p>
        </w:tc>
        <w:tc>
          <w:tcPr>
            <w:tcW w:w="104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1,483,175</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1,731,058</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限制性股票激励计划的限制性股票。</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2023年5月4日回购注销了229,590股；2023年6月6日，解除限售1,253,585股 。</w:t>
            </w:r>
          </w:p>
        </w:tc>
      </w:tr>
      <w:tr w:rsidR="00B13593" w:rsidTr="0028448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高管锁定股</w:t>
            </w:r>
          </w:p>
        </w:tc>
        <w:tc>
          <w:tcPr>
            <w:tcW w:w="12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7,661,639</w:t>
            </w:r>
          </w:p>
        </w:tc>
        <w:tc>
          <w:tcPr>
            <w:tcW w:w="104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263,363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7,925,002</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根据相关法律法规的规定，董监高在职期间每年其所持公司股份总数的25%为实际可上市流通股份，剩余75%股份将进行锁定。</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每年所持股份的25%解除限售，任期届满后六个月后所持股份全部解除限售。</w:t>
            </w:r>
          </w:p>
        </w:tc>
      </w:tr>
      <w:tr w:rsidR="00B13593" w:rsidTr="00284489">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合计</w:t>
            </w:r>
          </w:p>
        </w:tc>
        <w:tc>
          <w:tcPr>
            <w:tcW w:w="122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10,875,872</w:t>
            </w:r>
          </w:p>
        </w:tc>
        <w:tc>
          <w:tcPr>
            <w:tcW w:w="104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1,483,175</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263,363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9,656,060</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w:t>
            </w:r>
          </w:p>
        </w:tc>
      </w:tr>
    </w:tbl>
    <w:p w:rsidR="00B13593" w:rsidRPr="00BC131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84" w:name="_Toc988972"/>
      <w:r w:rsidRPr="00BC1314">
        <w:rPr>
          <w:b/>
          <w:bCs/>
          <w:sz w:val="28"/>
          <w:szCs w:val="28"/>
        </w:rPr>
        <w:t>二、证券发行与上市情况</w:t>
      </w:r>
      <w:bookmarkEnd w:id="84"/>
    </w:p>
    <w:p w:rsidR="00B13593" w:rsidRPr="00BC1314"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BC1314">
        <w:rPr>
          <w:rFonts w:ascii="仿宋" w:eastAsia="仿宋" w:hAnsi="仿宋"/>
          <w:sz w:val="28"/>
          <w:szCs w:val="28"/>
        </w:rPr>
        <w:t xml:space="preserve">□适用 </w:t>
      </w:r>
      <w:r w:rsidRPr="00BC1314">
        <w:rPr>
          <w:rFonts w:ascii="仿宋" w:eastAsia="仿宋" w:hAnsi="仿宋"/>
          <w:sz w:val="28"/>
          <w:szCs w:val="28"/>
        </w:rPr>
        <w:sym w:font="Wingdings 2" w:char="F052"/>
      </w:r>
      <w:r w:rsidRPr="00BC1314">
        <w:rPr>
          <w:rFonts w:ascii="仿宋" w:eastAsia="仿宋" w:hAnsi="仿宋"/>
          <w:sz w:val="28"/>
          <w:szCs w:val="28"/>
        </w:rPr>
        <w:t>不适用</w:t>
      </w:r>
    </w:p>
    <w:p w:rsidR="00B13593" w:rsidRPr="00BC1314"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85" w:name="_Toc988973"/>
      <w:r w:rsidRPr="00BC1314">
        <w:rPr>
          <w:b/>
          <w:bCs/>
          <w:sz w:val="28"/>
          <w:szCs w:val="28"/>
        </w:rPr>
        <w:t>三、公司股东数量及持股情况</w:t>
      </w:r>
      <w:bookmarkEnd w:id="85"/>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2"/>
        <w:gridCol w:w="900"/>
        <w:gridCol w:w="234"/>
        <w:gridCol w:w="851"/>
        <w:gridCol w:w="1057"/>
        <w:gridCol w:w="219"/>
        <w:gridCol w:w="850"/>
        <w:gridCol w:w="1073"/>
        <w:gridCol w:w="770"/>
        <w:gridCol w:w="283"/>
        <w:gridCol w:w="18"/>
        <w:gridCol w:w="975"/>
        <w:gridCol w:w="96"/>
        <w:gridCol w:w="1071"/>
      </w:tblGrid>
      <w:tr w:rsidR="00B13593">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27,903</w:t>
            </w:r>
          </w:p>
        </w:tc>
        <w:tc>
          <w:tcPr>
            <w:tcW w:w="3213"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报告期末表决权恢复的优先股股东总数（如有）（参见注8）</w:t>
            </w:r>
          </w:p>
        </w:tc>
        <w:tc>
          <w:tcPr>
            <w:tcW w:w="2142"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B13593">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持股5%以上的普通股股东或前10名普通股股东持股情况</w:t>
            </w:r>
          </w:p>
        </w:tc>
      </w:tr>
      <w:tr w:rsidR="00B13593" w:rsidTr="00131330">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股东性质</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27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报告期末持有的普通股数量</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07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持有有限售条件的普通股数量</w:t>
            </w:r>
          </w:p>
        </w:tc>
        <w:tc>
          <w:tcPr>
            <w:tcW w:w="105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持有无限售条件的普通股数量</w:t>
            </w:r>
          </w:p>
        </w:tc>
        <w:tc>
          <w:tcPr>
            <w:tcW w:w="216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B13593" w:rsidTr="00131330">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276"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07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05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股份状态</w:t>
            </w:r>
          </w:p>
        </w:tc>
        <w:tc>
          <w:tcPr>
            <w:tcW w:w="116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数量</w:t>
            </w: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德力西集团有限公司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境内非国有法人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41.80%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185,000,000</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质押</w:t>
            </w: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40,000,000</w:t>
            </w: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谢慧明</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2.89%</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12,789,268</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冯骏</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2.34%</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10,348,119</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7,761,089</w:t>
            </w: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2,587,030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胡成中</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1.43%</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黄炜</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0.61%</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2,700,033</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陶昌梅</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0.52%</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2,323,300</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香港中央结算有限公司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境外法人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0.47%</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2,096,393</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周丽</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0.43%</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1,923,000</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孙茂林</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0.42%</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1,837,800</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中华联合人寿保险股份有限公司－传统保险产品</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其他</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0.41%</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1,810,400</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05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战略投资者或一般法人因配售新股成为前10名普通股股东的情况（如有）（参见注3）</w:t>
            </w:r>
          </w:p>
        </w:tc>
        <w:tc>
          <w:tcPr>
            <w:tcW w:w="7263" w:type="dxa"/>
            <w:gridSpan w:val="11"/>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公司无作为战略投资者或一般法人参与配售新股成为前10名的股东。</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263" w:type="dxa"/>
            <w:gridSpan w:val="11"/>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263" w:type="dxa"/>
            <w:gridSpan w:val="11"/>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上述股东不涉及委托/委托表决权、放弃表决权的情况。</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前10名股东中存在回购专户的特别说明（如有）（参见注11）</w:t>
            </w:r>
          </w:p>
        </w:tc>
        <w:tc>
          <w:tcPr>
            <w:tcW w:w="7263" w:type="dxa"/>
            <w:gridSpan w:val="11"/>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广东甘化科工股份有限公司回购专用证券账户为公司回购股份设立的专用证券账户，持有公司股票4,482,462股，在前10名股东中排名第5，该回购专用证券账户中的股份不享有股东大会表决权、利润分配、公积金转增股本、配股、质押等权利。</w:t>
            </w:r>
          </w:p>
        </w:tc>
      </w:tr>
      <w:tr w:rsidR="00B13593">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前10名无限售条件普通股股东持股情况</w:t>
            </w:r>
          </w:p>
        </w:tc>
      </w:tr>
      <w:tr w:rsidR="00B13593" w:rsidTr="00131330">
        <w:trPr>
          <w:trHeight w:val="240"/>
        </w:trPr>
        <w:tc>
          <w:tcPr>
            <w:tcW w:w="2376"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4820" w:type="dxa"/>
            <w:gridSpan w:val="6"/>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报告期末持有无限售条件普通股股份数量</w:t>
            </w:r>
          </w:p>
        </w:tc>
        <w:tc>
          <w:tcPr>
            <w:tcW w:w="2443"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股份种类</w:t>
            </w:r>
          </w:p>
        </w:tc>
      </w:tr>
      <w:tr w:rsidR="00B13593" w:rsidTr="00131330">
        <w:trPr>
          <w:trHeight w:val="240"/>
        </w:trPr>
        <w:tc>
          <w:tcPr>
            <w:tcW w:w="2376"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4820" w:type="dxa"/>
            <w:gridSpan w:val="6"/>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37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股份种类</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数量</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德力西集团有限公司</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185,000,000</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185,000,000</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谢慧明</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12,789,268</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12,789,268</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胡成中</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6,350,000</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黄炜</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2,700,033</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2,700,033</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冯骏</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2,587,030</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2,587,030</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陶昌梅</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2,323,300</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2,323,300</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香港中央结算有限公司</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2,096,393</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2,096,393</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周丽</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1,923,000</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1,923,000</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孙茂林</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1,837,800</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1,837,800</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中华联合人寿保险股份有限公司－传统保险产品</w:t>
            </w:r>
          </w:p>
        </w:tc>
        <w:tc>
          <w:tcPr>
            <w:tcW w:w="4820" w:type="dxa"/>
            <w:gridSpan w:val="6"/>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1,810,400</w:t>
            </w:r>
          </w:p>
        </w:tc>
        <w:tc>
          <w:tcPr>
            <w:tcW w:w="1372" w:type="dxa"/>
            <w:gridSpan w:val="4"/>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1,810,400</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前10名无限售条件普通股股东之间，以及前10名无限售条件普通股股东和前10名普通股股东之间关联关系或一致行动的说明</w:t>
            </w:r>
          </w:p>
        </w:tc>
        <w:tc>
          <w:tcPr>
            <w:tcW w:w="7263" w:type="dxa"/>
            <w:gridSpan w:val="11"/>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前10名无限售条件普通股股东之间，以及其他前10名无限售条件普通股股东和其他前10名普通股股东之间是否存在关联关系或属于《上市公司收购管理办法》中规定的一致行动人。</w:t>
            </w:r>
          </w:p>
        </w:tc>
      </w:tr>
      <w:tr w:rsidR="00B13593" w:rsidTr="0013133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前10名普通股股东参与融</w:t>
            </w:r>
            <w:r>
              <w:rPr>
                <w:rFonts w:ascii="宋体" w:eastAsia="宋体" w:hAnsi="宋体" w:cs="宋体"/>
                <w:sz w:val="18"/>
                <w:szCs w:val="18"/>
              </w:rPr>
              <w:lastRenderedPageBreak/>
              <w:t>资融券业务情况说明（如有）（参见注4）</w:t>
            </w:r>
          </w:p>
        </w:tc>
        <w:tc>
          <w:tcPr>
            <w:tcW w:w="7263" w:type="dxa"/>
            <w:gridSpan w:val="11"/>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前10名股东中，德力西集团有限公司通过财通证券股份有限公司客户信用交易担保证券</w:t>
            </w:r>
            <w:r>
              <w:rPr>
                <w:rFonts w:ascii="宋体" w:eastAsia="宋体" w:hAnsi="宋体" w:cs="宋体"/>
                <w:sz w:val="18"/>
                <w:szCs w:val="18"/>
              </w:rPr>
              <w:lastRenderedPageBreak/>
              <w:t>账户持有公司股份35,000,000股，占公司总股本的7.91%。谢慧明通过西南证券股份有限公司客户信用交易担保证券账户持有公司股份12,139,968股，占公司总股本的2.74%；黄炜通过申万宏源证券有限公司客户信用交易担保证券账户持有公司股份2,700,033股，占公司总股本的0.61%。</w:t>
            </w:r>
          </w:p>
        </w:tc>
      </w:tr>
    </w:tbl>
    <w:p w:rsidR="00B13593" w:rsidRPr="00131330"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131330">
        <w:rPr>
          <w:rFonts w:ascii="仿宋" w:eastAsia="仿宋" w:hAnsi="仿宋"/>
          <w:b/>
          <w:sz w:val="28"/>
          <w:szCs w:val="28"/>
        </w:rPr>
        <w:lastRenderedPageBreak/>
        <w:t>公司前10名普通股股东、前10名无限售条件普通股股东在报告期内是否进行约定购回交易</w:t>
      </w:r>
    </w:p>
    <w:p w:rsidR="00B13593" w:rsidRPr="00131330"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131330">
        <w:rPr>
          <w:rFonts w:ascii="仿宋" w:eastAsia="仿宋" w:hAnsi="仿宋"/>
          <w:sz w:val="28"/>
          <w:szCs w:val="28"/>
        </w:rPr>
        <w:t xml:space="preserve">□是 </w:t>
      </w:r>
      <w:r w:rsidR="00131330">
        <w:rPr>
          <w:rFonts w:ascii="仿宋" w:eastAsia="仿宋" w:hAnsi="仿宋" w:hint="eastAsia"/>
          <w:sz w:val="28"/>
          <w:szCs w:val="28"/>
        </w:rPr>
        <w:t xml:space="preserve"> </w:t>
      </w:r>
      <w:r w:rsidRPr="00131330">
        <w:rPr>
          <w:rFonts w:ascii="仿宋" w:eastAsia="仿宋" w:hAnsi="仿宋"/>
          <w:sz w:val="28"/>
          <w:szCs w:val="28"/>
        </w:rPr>
        <w:sym w:font="Wingdings 2" w:char="F052"/>
      </w:r>
      <w:r w:rsidRPr="00131330">
        <w:rPr>
          <w:rFonts w:ascii="仿宋" w:eastAsia="仿宋" w:hAnsi="仿宋"/>
          <w:sz w:val="28"/>
          <w:szCs w:val="28"/>
        </w:rPr>
        <w:t>否</w:t>
      </w:r>
    </w:p>
    <w:p w:rsidR="00B13593" w:rsidRPr="00131330"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131330">
        <w:rPr>
          <w:rFonts w:ascii="仿宋" w:eastAsia="仿宋" w:hAnsi="仿宋"/>
          <w:sz w:val="28"/>
          <w:szCs w:val="28"/>
        </w:rPr>
        <w:t>公司前10名普通股股东、前10名无限售条件普通股股东在报告期内未进行约定购回交易。</w:t>
      </w:r>
    </w:p>
    <w:p w:rsidR="00B13593" w:rsidRPr="00876E1F"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86" w:name="_Toc988974"/>
      <w:r w:rsidRPr="00876E1F">
        <w:rPr>
          <w:b/>
          <w:bCs/>
          <w:sz w:val="28"/>
          <w:szCs w:val="28"/>
        </w:rPr>
        <w:t>四、董事、监事和高级管理人员持股变动</w:t>
      </w:r>
      <w:bookmarkEnd w:id="86"/>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876E1F">
        <w:rPr>
          <w:rFonts w:ascii="仿宋" w:eastAsia="仿宋" w:hAnsi="仿宋"/>
          <w:sz w:val="28"/>
          <w:szCs w:val="28"/>
        </w:rPr>
        <w:t>□适用</w:t>
      </w:r>
      <w:r w:rsidR="00876E1F">
        <w:rPr>
          <w:rFonts w:ascii="仿宋" w:eastAsia="仿宋" w:hAnsi="仿宋" w:hint="eastAsia"/>
          <w:sz w:val="28"/>
          <w:szCs w:val="28"/>
        </w:rPr>
        <w:t xml:space="preserve"> </w:t>
      </w:r>
      <w:r w:rsidRPr="00876E1F">
        <w:rPr>
          <w:rFonts w:ascii="仿宋" w:eastAsia="仿宋" w:hAnsi="仿宋"/>
          <w:sz w:val="28"/>
          <w:szCs w:val="28"/>
        </w:rPr>
        <w:t xml:space="preserve"> </w:t>
      </w:r>
      <w:r w:rsidRPr="00876E1F">
        <w:rPr>
          <w:rFonts w:ascii="仿宋" w:eastAsia="仿宋" w:hAnsi="仿宋"/>
          <w:sz w:val="28"/>
          <w:szCs w:val="28"/>
        </w:rPr>
        <w:sym w:font="Wingdings 2" w:char="F052"/>
      </w:r>
      <w:r w:rsidRPr="00876E1F">
        <w:rPr>
          <w:rFonts w:ascii="仿宋" w:eastAsia="仿宋" w:hAnsi="仿宋"/>
          <w:sz w:val="28"/>
          <w:szCs w:val="28"/>
        </w:rPr>
        <w:t>不适用</w:t>
      </w:r>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876E1F">
        <w:rPr>
          <w:rFonts w:ascii="仿宋" w:eastAsia="仿宋" w:hAnsi="仿宋"/>
          <w:sz w:val="28"/>
          <w:szCs w:val="28"/>
        </w:rPr>
        <w:t>公司董事、监事和高级管理人员在报告期持股情况没有发生变动，具体可参见2022年年报。</w:t>
      </w:r>
    </w:p>
    <w:p w:rsidR="00B13593" w:rsidRPr="00876E1F"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87" w:name="_Toc988975"/>
      <w:r w:rsidRPr="00876E1F">
        <w:rPr>
          <w:b/>
          <w:bCs/>
          <w:sz w:val="28"/>
          <w:szCs w:val="28"/>
        </w:rPr>
        <w:t>五、控股股东或实际控制人变更情况</w:t>
      </w:r>
      <w:bookmarkEnd w:id="87"/>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876E1F">
        <w:rPr>
          <w:rFonts w:ascii="仿宋" w:eastAsia="仿宋" w:hAnsi="仿宋"/>
          <w:b/>
          <w:sz w:val="28"/>
          <w:szCs w:val="28"/>
        </w:rPr>
        <w:t>控股股东报告期内变更</w:t>
      </w:r>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876E1F">
        <w:rPr>
          <w:rFonts w:ascii="仿宋" w:eastAsia="仿宋" w:hAnsi="仿宋"/>
          <w:sz w:val="28"/>
          <w:szCs w:val="28"/>
        </w:rPr>
        <w:t xml:space="preserve">□适用 </w:t>
      </w:r>
      <w:r w:rsidR="00876E1F">
        <w:rPr>
          <w:rFonts w:ascii="仿宋" w:eastAsia="仿宋" w:hAnsi="仿宋" w:hint="eastAsia"/>
          <w:sz w:val="28"/>
          <w:szCs w:val="28"/>
        </w:rPr>
        <w:t xml:space="preserve"> </w:t>
      </w:r>
      <w:r w:rsidRPr="00876E1F">
        <w:rPr>
          <w:rFonts w:ascii="仿宋" w:eastAsia="仿宋" w:hAnsi="仿宋"/>
          <w:sz w:val="28"/>
          <w:szCs w:val="28"/>
        </w:rPr>
        <w:sym w:font="Wingdings 2" w:char="F052"/>
      </w:r>
      <w:r w:rsidRPr="00876E1F">
        <w:rPr>
          <w:rFonts w:ascii="仿宋" w:eastAsia="仿宋" w:hAnsi="仿宋"/>
          <w:sz w:val="28"/>
          <w:szCs w:val="28"/>
        </w:rPr>
        <w:t>不适用</w:t>
      </w:r>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876E1F">
        <w:rPr>
          <w:rFonts w:ascii="仿宋" w:eastAsia="仿宋" w:hAnsi="仿宋"/>
          <w:sz w:val="28"/>
          <w:szCs w:val="28"/>
        </w:rPr>
        <w:t>公司报告期控股股东未发生变更。</w:t>
      </w:r>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876E1F">
        <w:rPr>
          <w:rFonts w:ascii="仿宋" w:eastAsia="仿宋" w:hAnsi="仿宋"/>
          <w:b/>
          <w:sz w:val="28"/>
          <w:szCs w:val="28"/>
        </w:rPr>
        <w:t>实际控制人报告期内变更</w:t>
      </w:r>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876E1F">
        <w:rPr>
          <w:rFonts w:ascii="仿宋" w:eastAsia="仿宋" w:hAnsi="仿宋"/>
          <w:sz w:val="28"/>
          <w:szCs w:val="28"/>
        </w:rPr>
        <w:t xml:space="preserve">□适用 </w:t>
      </w:r>
      <w:r w:rsidR="00876E1F">
        <w:rPr>
          <w:rFonts w:ascii="仿宋" w:eastAsia="仿宋" w:hAnsi="仿宋" w:hint="eastAsia"/>
          <w:sz w:val="28"/>
          <w:szCs w:val="28"/>
        </w:rPr>
        <w:t xml:space="preserve"> </w:t>
      </w:r>
      <w:r w:rsidRPr="00876E1F">
        <w:rPr>
          <w:rFonts w:ascii="仿宋" w:eastAsia="仿宋" w:hAnsi="仿宋"/>
          <w:sz w:val="28"/>
          <w:szCs w:val="28"/>
        </w:rPr>
        <w:sym w:font="Wingdings 2" w:char="F052"/>
      </w:r>
      <w:r w:rsidRPr="00876E1F">
        <w:rPr>
          <w:rFonts w:ascii="仿宋" w:eastAsia="仿宋" w:hAnsi="仿宋"/>
          <w:sz w:val="28"/>
          <w:szCs w:val="28"/>
        </w:rPr>
        <w:t>不适用</w:t>
      </w:r>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876E1F">
        <w:rPr>
          <w:rFonts w:ascii="仿宋" w:eastAsia="仿宋" w:hAnsi="仿宋"/>
          <w:sz w:val="28"/>
          <w:szCs w:val="28"/>
        </w:rPr>
        <w:t>公司报告期实际控制人未发生变更。</w:t>
      </w:r>
    </w:p>
    <w:p w:rsidR="00B13593" w:rsidRPr="00876E1F"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876E1F">
        <w:rPr>
          <w:rFonts w:ascii="仿宋" w:eastAsia="仿宋" w:hAnsi="仿宋"/>
          <w:sz w:val="28"/>
          <w:szCs w:val="28"/>
        </w:rP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88" w:name="_Toc988976"/>
      <w:r>
        <w:rPr>
          <w:rFonts w:ascii="宋体" w:eastAsia="宋体" w:hAnsi="宋体" w:cs="宋体"/>
          <w:b/>
          <w:bCs/>
          <w:sz w:val="32"/>
          <w:szCs w:val="32"/>
        </w:rPr>
        <w:lastRenderedPageBreak/>
        <w:t>第八节 优先股相关情况</w:t>
      </w:r>
      <w:bookmarkEnd w:id="88"/>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4F34C9">
        <w:rPr>
          <w:rFonts w:ascii="仿宋" w:eastAsia="仿宋" w:hAnsi="仿宋"/>
          <w:sz w:val="28"/>
          <w:szCs w:val="28"/>
        </w:rPr>
        <w:t xml:space="preserve">□适用 </w:t>
      </w:r>
      <w:r w:rsidR="004F34C9">
        <w:rPr>
          <w:rFonts w:ascii="仿宋" w:eastAsia="仿宋" w:hAnsi="仿宋" w:hint="eastAsia"/>
          <w:sz w:val="28"/>
          <w:szCs w:val="28"/>
        </w:rPr>
        <w:t xml:space="preserve"> </w:t>
      </w:r>
      <w:r w:rsidRPr="004F34C9">
        <w:rPr>
          <w:rFonts w:ascii="仿宋" w:eastAsia="仿宋" w:hAnsi="仿宋"/>
          <w:sz w:val="28"/>
          <w:szCs w:val="28"/>
        </w:rPr>
        <w:sym w:font="Wingdings 2" w:char="F052"/>
      </w:r>
      <w:r w:rsidRPr="004F34C9">
        <w:rPr>
          <w:rFonts w:ascii="仿宋" w:eastAsia="仿宋" w:hAnsi="仿宋"/>
          <w:sz w:val="28"/>
          <w:szCs w:val="28"/>
        </w:rPr>
        <w:t>不适用</w:t>
      </w:r>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4F34C9">
        <w:rPr>
          <w:rFonts w:ascii="仿宋" w:eastAsia="仿宋" w:hAnsi="仿宋"/>
          <w:sz w:val="28"/>
          <w:szCs w:val="28"/>
        </w:rPr>
        <w:t>报告期公司不存在优先股。</w:t>
      </w:r>
    </w:p>
    <w:p w:rsidR="00B13593" w:rsidRDefault="00B13F8C" w:rsidP="00054B06">
      <w: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89" w:name="_Toc988977"/>
      <w:r>
        <w:rPr>
          <w:rFonts w:ascii="宋体" w:eastAsia="宋体" w:hAnsi="宋体" w:cs="宋体"/>
          <w:b/>
          <w:bCs/>
          <w:sz w:val="32"/>
          <w:szCs w:val="32"/>
        </w:rPr>
        <w:lastRenderedPageBreak/>
        <w:t>第九节 债券相关情况</w:t>
      </w:r>
      <w:bookmarkEnd w:id="89"/>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4F34C9">
        <w:rPr>
          <w:rFonts w:ascii="仿宋" w:eastAsia="仿宋" w:hAnsi="仿宋"/>
          <w:sz w:val="28"/>
          <w:szCs w:val="28"/>
        </w:rPr>
        <w:t>□适用</w:t>
      </w:r>
      <w:r w:rsidR="004F34C9">
        <w:rPr>
          <w:rFonts w:ascii="仿宋" w:eastAsia="仿宋" w:hAnsi="仿宋" w:hint="eastAsia"/>
          <w:sz w:val="28"/>
          <w:szCs w:val="28"/>
        </w:rPr>
        <w:t xml:space="preserve"> </w:t>
      </w:r>
      <w:r w:rsidRPr="004F34C9">
        <w:rPr>
          <w:rFonts w:ascii="仿宋" w:eastAsia="仿宋" w:hAnsi="仿宋"/>
          <w:sz w:val="28"/>
          <w:szCs w:val="28"/>
        </w:rPr>
        <w:t xml:space="preserve"> </w:t>
      </w:r>
      <w:r w:rsidRPr="004F34C9">
        <w:rPr>
          <w:rFonts w:ascii="仿宋" w:eastAsia="仿宋" w:hAnsi="仿宋"/>
          <w:sz w:val="28"/>
          <w:szCs w:val="28"/>
        </w:rPr>
        <w:sym w:font="Wingdings 2" w:char="F052"/>
      </w:r>
      <w:r w:rsidRPr="004F34C9">
        <w:rPr>
          <w:rFonts w:ascii="仿宋" w:eastAsia="仿宋" w:hAnsi="仿宋"/>
          <w:sz w:val="28"/>
          <w:szCs w:val="28"/>
        </w:rPr>
        <w:t>不适用</w:t>
      </w:r>
    </w:p>
    <w:p w:rsidR="00B13593" w:rsidRDefault="00B13F8C" w:rsidP="00054B06">
      <w:r>
        <w:br w:type="page"/>
      </w:r>
    </w:p>
    <w:p w:rsidR="00B13593" w:rsidRDefault="00B13F8C" w:rsidP="00054B06">
      <w:pPr>
        <w:pStyle w:val="headingh1"/>
        <w:spacing w:before="340" w:after="330" w:line="773" w:lineRule="exact"/>
        <w:jc w:val="center"/>
        <w:rPr>
          <w:rFonts w:ascii="宋体" w:eastAsia="宋体" w:hAnsi="宋体" w:cs="宋体"/>
          <w:b/>
          <w:bCs/>
          <w:sz w:val="32"/>
          <w:szCs w:val="32"/>
        </w:rPr>
      </w:pPr>
      <w:bookmarkStart w:id="90" w:name="_Toc988978"/>
      <w:r>
        <w:rPr>
          <w:rFonts w:ascii="宋体" w:eastAsia="宋体" w:hAnsi="宋体" w:cs="宋体"/>
          <w:b/>
          <w:bCs/>
          <w:sz w:val="32"/>
          <w:szCs w:val="32"/>
        </w:rPr>
        <w:lastRenderedPageBreak/>
        <w:t>第十节 财务报告</w:t>
      </w:r>
      <w:bookmarkEnd w:id="90"/>
    </w:p>
    <w:p w:rsidR="00B13593" w:rsidRPr="004F34C9"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91" w:name="_Toc988979"/>
      <w:r w:rsidRPr="004F34C9">
        <w:rPr>
          <w:b/>
          <w:bCs/>
          <w:sz w:val="28"/>
          <w:szCs w:val="28"/>
        </w:rPr>
        <w:t>一、审计报告</w:t>
      </w:r>
      <w:bookmarkEnd w:id="91"/>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4F34C9">
        <w:rPr>
          <w:rFonts w:ascii="仿宋" w:eastAsia="仿宋" w:hAnsi="仿宋"/>
          <w:b/>
          <w:sz w:val="28"/>
          <w:szCs w:val="28"/>
        </w:rPr>
        <w:t>半年度报告是否经过审计</w:t>
      </w:r>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4F34C9">
        <w:rPr>
          <w:rFonts w:ascii="仿宋" w:eastAsia="仿宋" w:hAnsi="仿宋"/>
          <w:sz w:val="28"/>
          <w:szCs w:val="28"/>
        </w:rPr>
        <w:t xml:space="preserve">□是 </w:t>
      </w:r>
      <w:r w:rsidR="004F34C9">
        <w:rPr>
          <w:rFonts w:ascii="仿宋" w:eastAsia="仿宋" w:hAnsi="仿宋" w:hint="eastAsia"/>
          <w:sz w:val="28"/>
          <w:szCs w:val="28"/>
        </w:rPr>
        <w:t xml:space="preserve"> </w:t>
      </w:r>
      <w:r w:rsidRPr="004F34C9">
        <w:rPr>
          <w:rFonts w:ascii="仿宋" w:eastAsia="仿宋" w:hAnsi="仿宋"/>
          <w:sz w:val="28"/>
          <w:szCs w:val="28"/>
        </w:rPr>
        <w:sym w:font="Wingdings 2" w:char="F052"/>
      </w:r>
      <w:r w:rsidRPr="004F34C9">
        <w:rPr>
          <w:rFonts w:ascii="仿宋" w:eastAsia="仿宋" w:hAnsi="仿宋"/>
          <w:sz w:val="28"/>
          <w:szCs w:val="28"/>
        </w:rPr>
        <w:t>否</w:t>
      </w:r>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4F34C9">
        <w:rPr>
          <w:rFonts w:ascii="仿宋" w:eastAsia="仿宋" w:hAnsi="仿宋"/>
          <w:sz w:val="28"/>
          <w:szCs w:val="28"/>
        </w:rPr>
        <w:t>公司半年度财务报告未经审计。</w:t>
      </w:r>
    </w:p>
    <w:p w:rsidR="00B13593" w:rsidRPr="004F34C9"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92" w:name="_Toc988980"/>
      <w:r w:rsidRPr="004F34C9">
        <w:rPr>
          <w:b/>
          <w:bCs/>
          <w:sz w:val="28"/>
          <w:szCs w:val="28"/>
        </w:rPr>
        <w:t>二、财务报表</w:t>
      </w:r>
      <w:bookmarkEnd w:id="92"/>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sz w:val="28"/>
          <w:szCs w:val="28"/>
        </w:rPr>
      </w:pPr>
      <w:r w:rsidRPr="004F34C9">
        <w:rPr>
          <w:rFonts w:ascii="仿宋" w:eastAsia="仿宋" w:hAnsi="仿宋"/>
          <w:sz w:val="28"/>
          <w:szCs w:val="28"/>
        </w:rPr>
        <w:t>财务附注中报表的单位为：元</w:t>
      </w:r>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93" w:name="_Toc988981"/>
      <w:r w:rsidRPr="004F34C9">
        <w:rPr>
          <w:rFonts w:ascii="仿宋" w:eastAsia="仿宋" w:hAnsi="仿宋"/>
          <w:b/>
          <w:sz w:val="28"/>
          <w:szCs w:val="28"/>
        </w:rPr>
        <w:t>1、合并资产负债表</w:t>
      </w:r>
      <w:bookmarkEnd w:id="93"/>
    </w:p>
    <w:p w:rsidR="00B13593" w:rsidRDefault="00B13F8C" w:rsidP="00054B06">
      <w:pPr>
        <w:spacing w:line="560" w:lineRule="exact"/>
        <w:rPr>
          <w:rFonts w:ascii="宋体" w:eastAsia="宋体" w:hAnsi="宋体" w:cs="宋体"/>
          <w:sz w:val="18"/>
          <w:szCs w:val="18"/>
        </w:rPr>
      </w:pPr>
      <w:r>
        <w:rPr>
          <w:rFonts w:ascii="宋体" w:eastAsia="宋体" w:hAnsi="宋体" w:cs="宋体"/>
          <w:sz w:val="18"/>
          <w:szCs w:val="18"/>
        </w:rPr>
        <w:t>编制单位：广东甘化科工股份有限公司</w:t>
      </w:r>
    </w:p>
    <w:p w:rsidR="00B13593" w:rsidRDefault="00B13F8C" w:rsidP="00054B06">
      <w:pPr>
        <w:spacing w:line="240" w:lineRule="exact"/>
        <w:jc w:val="center"/>
        <w:rPr>
          <w:rFonts w:ascii="宋体" w:eastAsia="宋体" w:hAnsi="宋体" w:cs="宋体"/>
          <w:sz w:val="18"/>
          <w:szCs w:val="18"/>
        </w:rPr>
      </w:pPr>
      <w:r>
        <w:rPr>
          <w:rFonts w:ascii="宋体" w:eastAsia="宋体" w:hAnsi="宋体" w:cs="宋体"/>
          <w:sz w:val="18"/>
          <w:szCs w:val="18"/>
        </w:rPr>
        <w:t>2023年06月30日</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2023年1月1日</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223,985,361.36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141,639,744.87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111,192,320.68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292,231,491.07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136,973,213.71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156,156,288.85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246,862,379.10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151,471,551.63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18,250,585.23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2,576,171.12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5,388,500.61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3,567,612.39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400,274.00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150,939,344.30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159,144,000.01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555,645.54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5,835,550.75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4,259,768.85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899,982,901.28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911,602,274.33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lastRenderedPageBreak/>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5,260,610.02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183,358,681.07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164,439,177.20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22,000,000.00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22,000,000.00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22,217,779.57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22,577,561.65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66,982,010.45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57,770,822.39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273,451.33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55,544,507.31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57,660,520.15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11,377,584.08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10,951,948.68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718,624,779.20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718,624,779.20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19,910,990.42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14,366,851.59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20,789,398.91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19,028,178.81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804,510.00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2,126,692.16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1,126,870,851.03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1,095,080,593.18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2,026,853,752.31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2,006,682,867.51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15,145,984.70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24,091,793.12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49,102,536.69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30,547,001.40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2,759,559.19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5,520,477.18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14,111,926.52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40,046,442.41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054B06">
            <w:pPr>
              <w:spacing w:line="300" w:lineRule="exact"/>
              <w:jc w:val="right"/>
              <w:rPr>
                <w:rFonts w:ascii="宋体" w:eastAsia="宋体" w:hAnsi="宋体" w:cs="宋体"/>
                <w:sz w:val="18"/>
                <w:szCs w:val="18"/>
              </w:rPr>
            </w:pPr>
            <w:r w:rsidRPr="00E152AF">
              <w:rPr>
                <w:rFonts w:ascii="宋体" w:eastAsia="宋体" w:hAnsi="宋体" w:cs="宋体"/>
                <w:sz w:val="18"/>
                <w:szCs w:val="18"/>
              </w:rPr>
              <w:t>3,908,293.51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20,732,485.44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054B06">
            <w:pPr>
              <w:spacing w:line="300" w:lineRule="exact"/>
              <w:jc w:val="right"/>
              <w:rPr>
                <w:rFonts w:ascii="宋体" w:eastAsia="宋体" w:hAnsi="宋体" w:cs="宋体"/>
                <w:sz w:val="18"/>
                <w:szCs w:val="18"/>
              </w:rPr>
            </w:pPr>
            <w:r w:rsidRPr="00E152AF">
              <w:rPr>
                <w:rFonts w:ascii="宋体" w:eastAsia="宋体" w:hAnsi="宋体" w:cs="宋体"/>
                <w:sz w:val="18"/>
                <w:szCs w:val="18"/>
              </w:rPr>
              <w:t>37,073,506.37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28,106,873.04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923,915.18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2,352,991.52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2,693,991.27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197,272.20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718,789.14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124,652,070.70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152,457,853.00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58,939,430.29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60,071,068.19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3,948,649.28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32,993.52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850,500.42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1,720,365.19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3,255,762.74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3,423,779.10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66,994,342.73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65,248,206.00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191,646,413.43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217,706,059.00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710,199,281.78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708,693,669.05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65,326,541.77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6,145,123.04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5,317,066.43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608,781,643.58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572,279,282.75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1,801,325,709.01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1,754,753,747.99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33,881,629.87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34,223,060.52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1,835,207,338.88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1,788,976,808.51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2,026,853,752.31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2,006,682,867.51</w:t>
            </w:r>
          </w:p>
        </w:tc>
      </w:tr>
    </w:tbl>
    <w:p w:rsidR="00B13593" w:rsidRDefault="00B13F8C" w:rsidP="00054B06">
      <w:pPr>
        <w:spacing w:before="100" w:after="100" w:line="240" w:lineRule="exact"/>
        <w:jc w:val="center"/>
        <w:rPr>
          <w:rFonts w:ascii="宋体" w:eastAsia="宋体" w:hAnsi="宋体" w:cs="宋体"/>
          <w:sz w:val="18"/>
          <w:szCs w:val="18"/>
        </w:rPr>
      </w:pPr>
      <w:r>
        <w:rPr>
          <w:rFonts w:ascii="宋体" w:eastAsia="宋体" w:hAnsi="宋体" w:cs="宋体"/>
          <w:sz w:val="18"/>
          <w:szCs w:val="18"/>
        </w:rPr>
        <w:t>法定代表人：黄克</w:t>
      </w:r>
      <w:r w:rsidR="004F34C9">
        <w:rPr>
          <w:rFonts w:ascii="宋体" w:eastAsia="宋体" w:hAnsi="宋体" w:cs="宋体" w:hint="eastAsia"/>
          <w:sz w:val="18"/>
          <w:szCs w:val="18"/>
        </w:rPr>
        <w:t xml:space="preserve">                   </w:t>
      </w:r>
      <w:r>
        <w:rPr>
          <w:rFonts w:ascii="宋体" w:eastAsia="宋体" w:hAnsi="宋体" w:cs="宋体"/>
          <w:sz w:val="18"/>
          <w:szCs w:val="18"/>
        </w:rPr>
        <w:t xml:space="preserve">    主管会计工作负责人：陈波   </w:t>
      </w:r>
      <w:r w:rsidR="004F34C9">
        <w:rPr>
          <w:rFonts w:ascii="宋体" w:eastAsia="宋体" w:hAnsi="宋体" w:cs="宋体" w:hint="eastAsia"/>
          <w:sz w:val="18"/>
          <w:szCs w:val="18"/>
        </w:rPr>
        <w:t xml:space="preserve">          </w:t>
      </w:r>
      <w:r>
        <w:rPr>
          <w:rFonts w:ascii="宋体" w:eastAsia="宋体" w:hAnsi="宋体" w:cs="宋体"/>
          <w:sz w:val="18"/>
          <w:szCs w:val="18"/>
        </w:rPr>
        <w:t xml:space="preserve">    会计机构负责人：徐佳君</w:t>
      </w:r>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94" w:name="_Toc988982"/>
      <w:r w:rsidRPr="004F34C9">
        <w:rPr>
          <w:rFonts w:ascii="仿宋" w:eastAsia="仿宋" w:hAnsi="仿宋"/>
          <w:b/>
          <w:sz w:val="28"/>
          <w:szCs w:val="28"/>
        </w:rPr>
        <w:t>2、母公司资产负债表</w:t>
      </w:r>
      <w:bookmarkEnd w:id="9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2023年1月1日</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207,093,961.77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54,520,838.84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10,132,876.43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208,776,123.46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56,301.70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56,301.70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42,731,850.04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26,966,418.11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565,335.60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25,774,035.49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555,645.54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3,847,117.25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3,733,428.54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264,417,752.73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294,608,756.19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5,260,610.02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1,317,976,459.38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1,290,102,254.87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20,000,000.00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22,217,779.57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22,577,561.65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16,603,378.34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16,825,918.79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1,349,635.81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1,745,176.53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1,534,983.30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1,606,765.14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15,703,006.99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14,506,246.58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1,400,645,853.41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1,372,624,533.58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1,665,063,606.14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1,667,233,289.77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1,843.00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1,843.00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3,551,411.21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6,840,394.35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1,960,948.92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1,804,895.83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18,619,133.31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26,761,178.67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923,915.18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176,461.84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688,190.32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24,309,798.28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36,096,502.17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831,115.20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831,115.20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33,181.63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452,116.58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864,296.83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1,283,231.78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25,174,095.11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37,379,733.95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855,846,254.02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854,298,803.51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65,326,541.77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306,379,701.45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305,627,127.60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1,639,889,511.03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1,629,853,555.82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1,665,063,606.14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1,667,233,289.77</w:t>
            </w:r>
          </w:p>
        </w:tc>
      </w:tr>
    </w:tbl>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95" w:name="_Toc988983"/>
      <w:r w:rsidRPr="004F34C9">
        <w:rPr>
          <w:rFonts w:ascii="仿宋" w:eastAsia="仿宋" w:hAnsi="仿宋"/>
          <w:b/>
          <w:sz w:val="28"/>
          <w:szCs w:val="28"/>
        </w:rPr>
        <w:t>3、合并利润表</w:t>
      </w:r>
      <w:bookmarkEnd w:id="9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361"/>
        <w:gridCol w:w="2835"/>
        <w:gridCol w:w="2443"/>
      </w:tblGrid>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2022年半年度</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一、营业总收入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201,901,213.66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180,386,695.40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201,901,213.66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180,386,695.40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二、营业总成本</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165,335,723.97</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152,702,909.03</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78,605,006.64</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81,512,834.09</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lastRenderedPageBreak/>
              <w:t>保单红利支出</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2,027,552.69</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803,398.26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15,962,655.41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22,551,943.79</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25,384,119.48</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26,159,193.84</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43,385,491.34</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21,305,764.55</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-29,101.59</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369,774.50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1,469,619.23</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1,495,293.44</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1,379,140.16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1,008,519.30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1,663,506.25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6,764,161.03</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7,945,546.65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9,962,547.76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3,919,503.87</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5,906,530.78</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-997,719.19</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-3,298,910.84</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-4,219,071.66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-2,630,434.12</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-3,396,387.54</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-4,793.19</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17,649.58</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三、营业利润（亏损以“－”号填列）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37,556,571.01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38,498,799.78</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29,470.56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392,316.00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31,414.03</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117,433.79</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37,554,627.54</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38,773,681.99</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1,597,103.46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4,667,322.27</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五、净利润（净亏损以“－”号填列）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35,957,524.08</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34,106,359.72</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35,957,524.08</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34,106,359.72</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33,419,174.86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-544,836.75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687,184.86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lastRenderedPageBreak/>
              <w:t>4.其他债权投资信用减值准备</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七、综合收益总额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35,957,524.08</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34,106,359.72</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33,419,174.86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-544,836.75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687,184.86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八、每股收益：</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0.0839</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0.0770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0.0836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0.0766</w:t>
            </w:r>
          </w:p>
        </w:tc>
      </w:tr>
    </w:tbl>
    <w:p w:rsidR="00B13593" w:rsidRDefault="00B13F8C" w:rsidP="00054B06">
      <w:pPr>
        <w:spacing w:before="100" w:after="100" w:line="240" w:lineRule="exact"/>
        <w:jc w:val="center"/>
        <w:rPr>
          <w:rFonts w:ascii="宋体" w:eastAsia="宋体" w:hAnsi="宋体" w:cs="宋体"/>
          <w:sz w:val="18"/>
          <w:szCs w:val="18"/>
        </w:rPr>
      </w:pPr>
      <w:r>
        <w:rPr>
          <w:rFonts w:ascii="宋体" w:eastAsia="宋体" w:hAnsi="宋体" w:cs="宋体"/>
          <w:sz w:val="18"/>
          <w:szCs w:val="18"/>
        </w:rPr>
        <w:t xml:space="preserve">法定代表人：黄克  </w:t>
      </w:r>
      <w:r w:rsidR="004F34C9">
        <w:rPr>
          <w:rFonts w:ascii="宋体" w:eastAsia="宋体" w:hAnsi="宋体" w:cs="宋体" w:hint="eastAsia"/>
          <w:sz w:val="18"/>
          <w:szCs w:val="18"/>
        </w:rPr>
        <w:t xml:space="preserve">                  </w:t>
      </w:r>
      <w:r>
        <w:rPr>
          <w:rFonts w:ascii="宋体" w:eastAsia="宋体" w:hAnsi="宋体" w:cs="宋体"/>
          <w:sz w:val="18"/>
          <w:szCs w:val="18"/>
        </w:rPr>
        <w:t xml:space="preserve">  主管会计工作负责人：陈波 </w:t>
      </w:r>
      <w:r w:rsidR="004F34C9">
        <w:rPr>
          <w:rFonts w:ascii="宋体" w:eastAsia="宋体" w:hAnsi="宋体" w:cs="宋体" w:hint="eastAsia"/>
          <w:sz w:val="18"/>
          <w:szCs w:val="18"/>
        </w:rPr>
        <w:t xml:space="preserve">             </w:t>
      </w:r>
      <w:r>
        <w:rPr>
          <w:rFonts w:ascii="宋体" w:eastAsia="宋体" w:hAnsi="宋体" w:cs="宋体"/>
          <w:sz w:val="18"/>
          <w:szCs w:val="18"/>
        </w:rPr>
        <w:t xml:space="preserve">    会计机构负责人：徐佳君</w:t>
      </w:r>
    </w:p>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96" w:name="_Toc988984"/>
      <w:r w:rsidRPr="004F34C9">
        <w:rPr>
          <w:rFonts w:ascii="仿宋" w:eastAsia="仿宋" w:hAnsi="仿宋"/>
          <w:b/>
          <w:sz w:val="28"/>
          <w:szCs w:val="28"/>
        </w:rPr>
        <w:t>4、母公司利润表</w:t>
      </w:r>
      <w:bookmarkEnd w:id="9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361"/>
        <w:gridCol w:w="2835"/>
        <w:gridCol w:w="2443"/>
      </w:tblGrid>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2022年半年度</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一、营业收入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2,301,290.22</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29,992,674.38</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450,178.97</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27,762,384.04</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370,967.48</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393,458.94</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531,090.75</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11,183,496.66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11,078,834.67</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-1,113,978.61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-727,593.16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30,528.40</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11,317.43</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1,153,359.02</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748,018.02</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36,585.27</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92,390.53</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9,413,020.37</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9,701,155.05</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5,599,659.91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7,037,438.08</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-1,675,739.81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-3,298,910.84</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-18,018.81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345,220.80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-1,022.25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二、营业利润（亏损以“－”号填列）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-834,549.51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-2,205,645.32</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1,400.00</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384,316.00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29,972.00</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17,400.00</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-863,121.51</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-1,838,729.32</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-1,615,695.36</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-1,179,079.96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752,573.85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-659,649.36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752,573.85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-659,649.36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lastRenderedPageBreak/>
              <w:t>1.重新计量设定受益计划变动额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六、综合收益总额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752,573.85</w:t>
            </w: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-659,649.36</w:t>
            </w: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七、每股收益：</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bl>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97" w:name="_Toc988985"/>
      <w:r w:rsidRPr="004F34C9">
        <w:rPr>
          <w:rFonts w:ascii="仿宋" w:eastAsia="仿宋" w:hAnsi="仿宋"/>
          <w:b/>
          <w:sz w:val="28"/>
          <w:szCs w:val="28"/>
        </w:rPr>
        <w:t>5、合并现金流量表</w:t>
      </w:r>
      <w:bookmarkEnd w:id="9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11"/>
        <w:gridCol w:w="2410"/>
        <w:gridCol w:w="2018"/>
      </w:tblGrid>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2022年半年度</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C87517" w:rsidP="00054B06">
            <w:pPr>
              <w:spacing w:line="300" w:lineRule="exact"/>
              <w:jc w:val="right"/>
              <w:rPr>
                <w:rFonts w:ascii="宋体" w:eastAsia="宋体" w:hAnsi="宋体" w:cs="宋体"/>
                <w:sz w:val="18"/>
                <w:szCs w:val="18"/>
              </w:rPr>
            </w:pPr>
            <w:r w:rsidRPr="00726ABD">
              <w:rPr>
                <w:rFonts w:ascii="宋体" w:eastAsia="宋体" w:hAnsi="宋体" w:cs="宋体"/>
                <w:sz w:val="18"/>
                <w:szCs w:val="18"/>
              </w:rPr>
              <w:t>143,314,552.65</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147,356,313.42</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2,840.98</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5,422,412.29</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3,072,799.74</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4,863,284.82</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经营活动现金流入小计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8B420D">
            <w:pPr>
              <w:spacing w:line="300" w:lineRule="exact"/>
              <w:jc w:val="right"/>
              <w:rPr>
                <w:rFonts w:ascii="宋体" w:eastAsia="宋体" w:hAnsi="宋体" w:cs="宋体"/>
                <w:sz w:val="18"/>
                <w:szCs w:val="18"/>
              </w:rPr>
            </w:pPr>
            <w:r w:rsidRPr="00726ABD">
              <w:rPr>
                <w:rFonts w:ascii="宋体" w:eastAsia="宋体" w:hAnsi="宋体" w:cs="宋体"/>
                <w:sz w:val="18"/>
                <w:szCs w:val="18"/>
              </w:rPr>
              <w:t>146,390,193.37</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157,642,010.53</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8B420D">
            <w:pPr>
              <w:spacing w:line="300" w:lineRule="exact"/>
              <w:jc w:val="right"/>
              <w:rPr>
                <w:rFonts w:ascii="宋体" w:eastAsia="宋体" w:hAnsi="宋体" w:cs="宋体"/>
                <w:sz w:val="18"/>
                <w:szCs w:val="18"/>
              </w:rPr>
            </w:pPr>
            <w:r w:rsidRPr="00726ABD">
              <w:rPr>
                <w:rFonts w:ascii="宋体" w:eastAsia="宋体" w:hAnsi="宋体" w:cs="宋体"/>
                <w:sz w:val="18"/>
                <w:szCs w:val="18"/>
              </w:rPr>
              <w:t>92,545,289.83</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106,713,776.53</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56,097,992.30</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60,532,409.49</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42,303,160.27</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7,051,817.56</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lastRenderedPageBreak/>
              <w:t>支付其他与经营活动有关的现金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15,320,828.51</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19,281,000.74</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经营活动现金流出小计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8B420D">
            <w:pPr>
              <w:spacing w:line="300" w:lineRule="exact"/>
              <w:jc w:val="right"/>
              <w:rPr>
                <w:rFonts w:ascii="宋体" w:eastAsia="宋体" w:hAnsi="宋体" w:cs="宋体"/>
                <w:sz w:val="18"/>
                <w:szCs w:val="18"/>
              </w:rPr>
            </w:pPr>
            <w:r w:rsidRPr="00726ABD">
              <w:rPr>
                <w:rFonts w:ascii="宋体" w:eastAsia="宋体" w:hAnsi="宋体" w:cs="宋体"/>
                <w:sz w:val="18"/>
                <w:szCs w:val="18"/>
              </w:rPr>
              <w:t>206,267,270.91</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193,579,004.32</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-59,877,077.54</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-35,936,993.79</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pP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653,856,786.79</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1,165,671,192.61</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4,457,760.53</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8,723,464.52</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11,600.00</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28,962.60</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167,596.77</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投资活动现金流入小计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658,493,744.09</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1,174,423,619.73</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18,760,579.20</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9,280,043.47</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506,850,000.00</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1,057,109,798.48</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投资活动现金流出小计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525,610,579.20</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1,066,389,841.95</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132,883,164.89</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108,033,777.78</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pP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2,400,637.99</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筹资活动现金流入小计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2,400,637.99</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1,500,000.00</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206,644.48</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247,695.42</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3,557,823.70</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2,461,500.00</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筹资活动现金流出小计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5,264,468.18</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2,709,195.42</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-5,264,468.18</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-308,557.43</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10,391.62</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13,374.16</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67,752,010.79</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71,801,600.72</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94,345,379.71</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69,505,499.46</w:t>
            </w:r>
          </w:p>
        </w:tc>
      </w:tr>
      <w:tr w:rsidR="00C87517"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Default="00C87517" w:rsidP="00054B06">
            <w:pPr>
              <w:spacing w:line="30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410"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162,097,390.50</w:t>
            </w:r>
          </w:p>
        </w:tc>
        <w:tc>
          <w:tcPr>
            <w:tcW w:w="2018" w:type="dxa"/>
            <w:tcBorders>
              <w:top w:val="single" w:sz="2" w:space="0" w:color="auto"/>
              <w:left w:val="single" w:sz="2" w:space="0" w:color="auto"/>
              <w:bottom w:val="single" w:sz="2" w:space="0" w:color="auto"/>
              <w:right w:val="single" w:sz="2" w:space="0" w:color="auto"/>
            </w:tcBorders>
            <w:vAlign w:val="center"/>
          </w:tcPr>
          <w:p w:rsidR="00C87517" w:rsidRDefault="00C87517" w:rsidP="00054B06">
            <w:pPr>
              <w:spacing w:line="300" w:lineRule="exact"/>
              <w:jc w:val="right"/>
              <w:rPr>
                <w:rFonts w:ascii="宋体" w:eastAsia="宋体" w:hAnsi="宋体" w:cs="宋体"/>
                <w:sz w:val="18"/>
                <w:szCs w:val="18"/>
              </w:rPr>
            </w:pPr>
            <w:r>
              <w:rPr>
                <w:rFonts w:ascii="宋体" w:eastAsia="宋体" w:hAnsi="宋体" w:cs="宋体"/>
                <w:sz w:val="18"/>
                <w:szCs w:val="18"/>
              </w:rPr>
              <w:t>141,307,100.18</w:t>
            </w:r>
          </w:p>
        </w:tc>
      </w:tr>
    </w:tbl>
    <w:p w:rsidR="00B13593" w:rsidRPr="004F34C9"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98" w:name="_Toc988986"/>
      <w:r w:rsidRPr="004F34C9">
        <w:rPr>
          <w:rFonts w:ascii="仿宋" w:eastAsia="仿宋" w:hAnsi="仿宋"/>
          <w:b/>
          <w:sz w:val="28"/>
          <w:szCs w:val="28"/>
        </w:rPr>
        <w:t>6、母公司现金流量表</w:t>
      </w:r>
      <w:bookmarkEnd w:id="98"/>
    </w:p>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11"/>
        <w:gridCol w:w="2410"/>
        <w:gridCol w:w="2018"/>
      </w:tblGrid>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2022年半年度</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2,009,429.87</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33,696,034.70</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1,904,079.04</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648,641.72</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2,105,276.71</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经营活动现金流入小计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2,658,071.59</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37,705,390.45</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236,481.91</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31,064,209.55</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8,670,066.21</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8,893,985.40</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751,519.36</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937,024.14</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4,219,611.47</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4,357,867.23</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经营活动现金流出小计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13,877,678.95</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45,253,086.32</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-11,219,607.36</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-7,547,695.87</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536,896,691.42</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875,619,316.11</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3,935,832.21</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6,837,859.12</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投资活动现金流入小计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540,832,523.63</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882,457,175.23</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75,325.16</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142,758.71</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380,600,000.00</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790,000,798.48</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15,000,000.00</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投资活动现金流出小计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395,675,325.16</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790,143,557.19</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145,157,198.47</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92,313,618.04</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2,400,637.99</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筹资活动现金流入小计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2,400,637.99</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206,644.48</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247,695.42</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1,157,823.70</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61,500.00</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筹资活动现金流出小计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1,364,468.18</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309,195.42</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-1,364,468.18</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2,091,442.57</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132,573,122.93</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86,857,364.74</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14,520,838.84</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15,747,489.31</w:t>
            </w:r>
          </w:p>
        </w:tc>
      </w:tr>
      <w:tr w:rsidR="00B13593" w:rsidTr="004F34C9">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147,093,961.77</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102,604,854.05</w:t>
            </w:r>
          </w:p>
        </w:tc>
      </w:tr>
    </w:tbl>
    <w:p w:rsidR="00714BD8" w:rsidRDefault="00714BD8"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99" w:name="_Toc988987"/>
    </w:p>
    <w:p w:rsidR="00714BD8" w:rsidRDefault="00714BD8" w:rsidP="00054B06">
      <w:pPr>
        <w:rPr>
          <w:rFonts w:ascii="仿宋" w:eastAsia="仿宋" w:hAnsi="仿宋" w:cs="宋体"/>
          <w:b/>
          <w:kern w:val="0"/>
          <w:sz w:val="28"/>
          <w:szCs w:val="28"/>
        </w:rPr>
      </w:pPr>
      <w:r>
        <w:rPr>
          <w:rFonts w:ascii="仿宋" w:eastAsia="仿宋" w:hAnsi="仿宋"/>
          <w:b/>
          <w:sz w:val="28"/>
          <w:szCs w:val="28"/>
        </w:rPr>
        <w:br w:type="page"/>
      </w:r>
    </w:p>
    <w:p w:rsidR="00DF77DD" w:rsidRDefault="00DF77DD" w:rsidP="00054B06">
      <w:pPr>
        <w:pStyle w:val="a3"/>
        <w:widowControl w:val="0"/>
        <w:spacing w:before="0" w:beforeAutospacing="0" w:after="0" w:afterAutospacing="0" w:line="560" w:lineRule="exact"/>
        <w:ind w:firstLine="561"/>
        <w:jc w:val="both"/>
        <w:rPr>
          <w:rFonts w:ascii="仿宋" w:eastAsia="仿宋" w:hAnsi="仿宋"/>
          <w:b/>
          <w:sz w:val="28"/>
          <w:szCs w:val="28"/>
        </w:rPr>
        <w:sectPr w:rsidR="00DF77DD" w:rsidSect="00DF77DD">
          <w:headerReference w:type="default" r:id="rId9"/>
          <w:footerReference w:type="default" r:id="rId10"/>
          <w:pgSz w:w="11905" w:h="16840"/>
          <w:pgMar w:top="1440" w:right="1134" w:bottom="1440" w:left="1134" w:header="850" w:footer="992" w:gutter="0"/>
          <w:pgNumType w:start="0"/>
          <w:cols w:space="720"/>
          <w:titlePg/>
          <w:docGrid w:type="linesAndChars" w:linePitch="312"/>
        </w:sectPr>
      </w:pPr>
    </w:p>
    <w:p w:rsidR="00B13593" w:rsidRPr="00714BD8"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714BD8">
        <w:rPr>
          <w:rFonts w:ascii="仿宋" w:eastAsia="仿宋" w:hAnsi="仿宋"/>
          <w:b/>
          <w:sz w:val="28"/>
          <w:szCs w:val="28"/>
        </w:rPr>
        <w:lastRenderedPageBreak/>
        <w:t>7、合并所有者权益变动表</w:t>
      </w:r>
      <w:bookmarkEnd w:id="99"/>
    </w:p>
    <w:p w:rsidR="00B13593" w:rsidRPr="00A60866"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A60866">
        <w:rPr>
          <w:rFonts w:ascii="仿宋" w:eastAsia="仿宋" w:hAnsi="仿宋"/>
          <w:b/>
          <w:sz w:val="28"/>
          <w:szCs w:val="28"/>
        </w:rPr>
        <w:t>本期金额</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4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84"/>
        <w:gridCol w:w="992"/>
        <w:gridCol w:w="426"/>
        <w:gridCol w:w="567"/>
        <w:gridCol w:w="567"/>
        <w:gridCol w:w="992"/>
        <w:gridCol w:w="1134"/>
        <w:gridCol w:w="709"/>
        <w:gridCol w:w="850"/>
        <w:gridCol w:w="851"/>
        <w:gridCol w:w="850"/>
        <w:gridCol w:w="992"/>
        <w:gridCol w:w="709"/>
        <w:gridCol w:w="1134"/>
        <w:gridCol w:w="992"/>
        <w:gridCol w:w="993"/>
      </w:tblGrid>
      <w:tr w:rsidR="00B13593" w:rsidTr="00A60866">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2758"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r>
      <w:tr w:rsidR="00B13593" w:rsidTr="00A60866">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0773"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少数股东权益</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60866" w:rsidTr="00A60866">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156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专项储备</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一般风险准备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小计</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A60866" w:rsidTr="00A60866">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850"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一、上年期末余额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708,693,669.05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5,317,066.43</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572,279,282.75</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1,754,753,747.99</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34,223,060.52</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1,788,976,808.51</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加：会计政策变更</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DF77DD" w:rsidP="00054B06">
            <w:pPr>
              <w:spacing w:line="300" w:lineRule="exact"/>
              <w:rPr>
                <w:rFonts w:ascii="宋体" w:eastAsia="宋体" w:hAnsi="宋体" w:cs="宋体"/>
                <w:sz w:val="18"/>
                <w:szCs w:val="18"/>
              </w:rPr>
            </w:pPr>
            <w:r>
              <w:rPr>
                <w:rFonts w:ascii="宋体" w:eastAsia="宋体" w:hAnsi="宋体" w:cs="宋体"/>
                <w:sz w:val="18"/>
                <w:szCs w:val="18"/>
              </w:rPr>
              <w:t>前期差错</w:t>
            </w:r>
            <w:r w:rsidR="00B13F8C">
              <w:rPr>
                <w:rFonts w:ascii="宋体" w:eastAsia="宋体" w:hAnsi="宋体" w:cs="宋体"/>
                <w:sz w:val="18"/>
                <w:szCs w:val="18"/>
              </w:rPr>
              <w:t>正</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同一控制下企业合并</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708,693,669.05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5,317,066.43</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572,279,282.75</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1,754,753,747.99</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34,223,060.52</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1,788,976,808.51</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1,505,612.73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-7,965,520.85</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828,056.61</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46,571,961.02</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-341,430.65</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46,230,530.37</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（一）综合收益总额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-544,836.75</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35,957,524.08</w:t>
            </w: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（二）所有者投入和减少资</w:t>
            </w:r>
            <w:r>
              <w:rPr>
                <w:rFonts w:ascii="宋体" w:eastAsia="宋体" w:hAnsi="宋体" w:cs="宋体"/>
                <w:sz w:val="18"/>
                <w:szCs w:val="18"/>
              </w:rPr>
              <w:lastRenderedPageBreak/>
              <w:t>本</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lastRenderedPageBreak/>
              <w:t>-229,590.</w:t>
            </w:r>
            <w:r>
              <w:rPr>
                <w:rFonts w:ascii="宋体" w:eastAsia="宋体" w:hAnsi="宋体" w:cs="宋体"/>
                <w:sz w:val="18"/>
                <w:szCs w:val="18"/>
              </w:rPr>
              <w:lastRenderedPageBreak/>
              <w:t>00</w:t>
            </w: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sidRPr="00B54771">
              <w:rPr>
                <w:rFonts w:ascii="宋体" w:eastAsia="宋体" w:hAnsi="宋体" w:cs="宋体"/>
                <w:sz w:val="18"/>
                <w:szCs w:val="18"/>
              </w:rPr>
              <w:t>1,505,612.73</w:t>
            </w: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-1,200,755.</w:t>
            </w:r>
            <w:r>
              <w:rPr>
                <w:rFonts w:ascii="宋体" w:eastAsia="宋体" w:hAnsi="宋体" w:cs="宋体"/>
                <w:sz w:val="18"/>
                <w:szCs w:val="18"/>
              </w:rPr>
              <w:lastRenderedPageBreak/>
              <w:t>70</w:t>
            </w: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sidRPr="00B72E04">
              <w:rPr>
                <w:rFonts w:ascii="宋体" w:eastAsia="宋体" w:hAnsi="宋体" w:cs="宋体"/>
                <w:sz w:val="18"/>
                <w:szCs w:val="18"/>
              </w:rPr>
              <w:t>2,476,778.43</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41,837.78</w:t>
            </w: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sidRPr="00B72E04">
              <w:rPr>
                <w:rFonts w:ascii="宋体" w:eastAsia="宋体" w:hAnsi="宋体" w:cs="宋体"/>
                <w:sz w:val="18"/>
                <w:szCs w:val="18"/>
              </w:rPr>
              <w:t>2,518,616.21</w:t>
            </w: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2,476,778.43</w:t>
            </w: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2,476,778.43</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41,837.78</w:t>
            </w: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sidRPr="008458FF">
              <w:rPr>
                <w:rFonts w:ascii="宋体" w:eastAsia="宋体" w:hAnsi="宋体" w:cs="宋体"/>
                <w:sz w:val="18"/>
                <w:szCs w:val="18"/>
              </w:rPr>
              <w:t>2,518,616.21</w:t>
            </w: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4．其他</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-971,165.70</w:t>
            </w: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-1,200,755.70</w:t>
            </w: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（三）利润分配</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1．提取盈余公积</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2．提取一般风险准备</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3．对所有者（或股东）的分配</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4．其他</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lastRenderedPageBreak/>
              <w:t>3．盈余公积弥补亏损</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6．其他</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（五）专项储备</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828,056.61</w:t>
            </w: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828,056.61</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161,568.32</w:t>
            </w: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989,624.93</w:t>
            </w: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1．本期提取</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902,065.95</w:t>
            </w: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902,065.95</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173,028.29</w:t>
            </w: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1,075,094.24</w:t>
            </w: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2．本期使用</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74,009.34</w:t>
            </w: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74,009.34</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11,459.97</w:t>
            </w: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85,469.31</w:t>
            </w: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（六）其他</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-6,764,765.15</w:t>
            </w: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sidRPr="008458FF">
              <w:rPr>
                <w:rFonts w:ascii="宋体" w:eastAsia="宋体" w:hAnsi="宋体" w:cs="宋体"/>
                <w:sz w:val="18"/>
                <w:szCs w:val="18"/>
              </w:rPr>
              <w:t>6,764,765.15</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sidRPr="008458FF">
              <w:rPr>
                <w:rFonts w:ascii="宋体" w:eastAsia="宋体" w:hAnsi="宋体" w:cs="宋体"/>
                <w:sz w:val="18"/>
                <w:szCs w:val="18"/>
              </w:rPr>
              <w:t>6,764,765.15</w:t>
            </w:r>
          </w:p>
        </w:tc>
      </w:tr>
      <w:tr w:rsidR="00B72E04"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72E04" w:rsidRDefault="00B72E04" w:rsidP="00B72E04">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426"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710,199,281.78</w:t>
            </w: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6,145,123.04</w:t>
            </w:r>
          </w:p>
        </w:tc>
        <w:tc>
          <w:tcPr>
            <w:tcW w:w="851"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850"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608,781,643.58</w:t>
            </w:r>
          </w:p>
        </w:tc>
        <w:tc>
          <w:tcPr>
            <w:tcW w:w="709"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1,801,325,709.01</w:t>
            </w:r>
          </w:p>
        </w:tc>
        <w:tc>
          <w:tcPr>
            <w:tcW w:w="992"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33,881,629.87</w:t>
            </w:r>
          </w:p>
        </w:tc>
        <w:tc>
          <w:tcPr>
            <w:tcW w:w="993" w:type="dxa"/>
            <w:tcBorders>
              <w:top w:val="single" w:sz="2" w:space="0" w:color="auto"/>
              <w:left w:val="single" w:sz="2" w:space="0" w:color="auto"/>
              <w:bottom w:val="single" w:sz="2" w:space="0" w:color="auto"/>
              <w:right w:val="single" w:sz="2" w:space="0" w:color="auto"/>
            </w:tcBorders>
            <w:vAlign w:val="center"/>
          </w:tcPr>
          <w:p w:rsidR="00B72E04" w:rsidRDefault="00B72E04" w:rsidP="00B72E04">
            <w:pPr>
              <w:spacing w:line="300" w:lineRule="exact"/>
              <w:jc w:val="right"/>
              <w:rPr>
                <w:rFonts w:ascii="宋体" w:eastAsia="宋体" w:hAnsi="宋体" w:cs="宋体"/>
                <w:sz w:val="18"/>
                <w:szCs w:val="18"/>
              </w:rPr>
            </w:pPr>
            <w:r>
              <w:rPr>
                <w:rFonts w:ascii="宋体" w:eastAsia="宋体" w:hAnsi="宋体" w:cs="宋体"/>
                <w:sz w:val="18"/>
                <w:szCs w:val="18"/>
              </w:rPr>
              <w:t>1,835,207,338.88</w:t>
            </w:r>
          </w:p>
        </w:tc>
      </w:tr>
    </w:tbl>
    <w:p w:rsidR="00B13593" w:rsidRPr="00A60866"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A60866">
        <w:rPr>
          <w:rFonts w:ascii="仿宋" w:eastAsia="仿宋" w:hAnsi="仿宋"/>
          <w:b/>
          <w:sz w:val="28"/>
          <w:szCs w:val="28"/>
        </w:rPr>
        <w:t>上年金额</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4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84"/>
        <w:gridCol w:w="992"/>
        <w:gridCol w:w="426"/>
        <w:gridCol w:w="567"/>
        <w:gridCol w:w="567"/>
        <w:gridCol w:w="992"/>
        <w:gridCol w:w="1134"/>
        <w:gridCol w:w="709"/>
        <w:gridCol w:w="850"/>
        <w:gridCol w:w="851"/>
        <w:gridCol w:w="850"/>
        <w:gridCol w:w="992"/>
        <w:gridCol w:w="709"/>
        <w:gridCol w:w="1134"/>
        <w:gridCol w:w="992"/>
        <w:gridCol w:w="993"/>
      </w:tblGrid>
      <w:tr w:rsidR="00B13593" w:rsidTr="00A60866">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2758"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2022年半年度</w:t>
            </w:r>
          </w:p>
        </w:tc>
      </w:tr>
      <w:tr w:rsidR="00B13593" w:rsidTr="00A60866">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0773"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少数股东权益</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60866" w:rsidTr="00A60866">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156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专项储备</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一般风险准备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小计</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A60866" w:rsidTr="00A60866">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850"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一、上年期末</w:t>
            </w:r>
            <w:r>
              <w:rPr>
                <w:rFonts w:ascii="宋体" w:eastAsia="宋体" w:hAnsi="宋体" w:cs="宋体"/>
                <w:sz w:val="18"/>
                <w:szCs w:val="18"/>
              </w:rPr>
              <w:lastRenderedPageBreak/>
              <w:t>余额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lastRenderedPageBreak/>
              <w:t>442,861,</w:t>
            </w:r>
            <w:r>
              <w:rPr>
                <w:rFonts w:ascii="宋体" w:eastAsia="宋体" w:hAnsi="宋体" w:cs="宋体"/>
                <w:sz w:val="18"/>
                <w:szCs w:val="18"/>
              </w:rPr>
              <w:lastRenderedPageBreak/>
              <w:t>324.00</w:t>
            </w: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704,254,</w:t>
            </w:r>
            <w:r>
              <w:rPr>
                <w:rFonts w:ascii="宋体" w:eastAsia="宋体" w:hAnsi="宋体" w:cs="宋体"/>
                <w:sz w:val="18"/>
                <w:szCs w:val="18"/>
              </w:rPr>
              <w:lastRenderedPageBreak/>
              <w:t>180.85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lastRenderedPageBreak/>
              <w:t>74,214,504</w:t>
            </w:r>
            <w:r>
              <w:rPr>
                <w:rFonts w:ascii="宋体" w:eastAsia="宋体" w:hAnsi="宋体" w:cs="宋体"/>
                <w:sz w:val="18"/>
                <w:szCs w:val="18"/>
              </w:rPr>
              <w:lastRenderedPageBreak/>
              <w:t>.38</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4,475,6</w:t>
            </w:r>
            <w:r>
              <w:rPr>
                <w:rFonts w:ascii="宋体" w:eastAsia="宋体" w:hAnsi="宋体" w:cs="宋体"/>
                <w:sz w:val="18"/>
                <w:szCs w:val="18"/>
              </w:rPr>
              <w:lastRenderedPageBreak/>
              <w:t>51.97</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lastRenderedPageBreak/>
              <w:t>85,729,</w:t>
            </w:r>
            <w:r>
              <w:rPr>
                <w:rFonts w:ascii="宋体" w:eastAsia="宋体" w:hAnsi="宋体" w:cs="宋体"/>
                <w:sz w:val="18"/>
                <w:szCs w:val="18"/>
              </w:rPr>
              <w:lastRenderedPageBreak/>
              <w:t>477.01</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458,070,</w:t>
            </w:r>
            <w:r>
              <w:rPr>
                <w:rFonts w:ascii="宋体" w:eastAsia="宋体" w:hAnsi="宋体" w:cs="宋体"/>
                <w:sz w:val="18"/>
                <w:szCs w:val="18"/>
              </w:rPr>
              <w:lastRenderedPageBreak/>
              <w:t>573.76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1,621,176,</w:t>
            </w:r>
            <w:r>
              <w:rPr>
                <w:rFonts w:ascii="宋体" w:eastAsia="宋体" w:hAnsi="宋体" w:cs="宋体"/>
                <w:sz w:val="18"/>
                <w:szCs w:val="18"/>
              </w:rPr>
              <w:lastRenderedPageBreak/>
              <w:t>703.21</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lastRenderedPageBreak/>
              <w:t>9,530,49</w:t>
            </w:r>
            <w:r>
              <w:rPr>
                <w:rFonts w:ascii="宋体" w:eastAsia="宋体" w:hAnsi="宋体" w:cs="宋体"/>
                <w:sz w:val="18"/>
                <w:szCs w:val="18"/>
              </w:rPr>
              <w:lastRenderedPageBreak/>
              <w:t>9.73</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lastRenderedPageBreak/>
              <w:t>1,630,70</w:t>
            </w:r>
            <w:r>
              <w:rPr>
                <w:rFonts w:ascii="宋体" w:eastAsia="宋体" w:hAnsi="宋体" w:cs="宋体"/>
                <w:sz w:val="18"/>
                <w:szCs w:val="18"/>
              </w:rPr>
              <w:lastRenderedPageBreak/>
              <w:t>7,202.94</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加：会计政策变更</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前期差错更正</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同一控制下企业合并</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704,254,180.85</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74,214,504.38</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4,475,651.97</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85,729,477.01</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458,070,573.76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1,621,176,703.21</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9,530,499.73</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1,630,707,202.94</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5,396,796.78</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-6,376,883.40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761,043.10</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33,419,174.86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45,953,898.14</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876,493.20</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46,830,391.34</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（一）综合收益总额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33,419,174.86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33,419,174.86</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687,184.86</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34,106,359.72</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（二）所有者投入和减少资本</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-6,376,883.40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6,376,883.40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6,376,883.40</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1．所有者投入的普通股</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4．其他</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-6,376,883.40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6,376,883.40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6,376,883.40</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（三）利润分</w:t>
            </w:r>
            <w:r>
              <w:rPr>
                <w:rFonts w:ascii="宋体" w:eastAsia="宋体" w:hAnsi="宋体" w:cs="宋体"/>
                <w:sz w:val="18"/>
                <w:szCs w:val="18"/>
              </w:rPr>
              <w:lastRenderedPageBreak/>
              <w:t>配</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1．提取盈余公积</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2．提取一般风险准备</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3．对所有者（或股东）的分配</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4．其他</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3．盈余公积弥补亏损</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6．其他</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（五）专项储备</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761,043.10</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761,043.10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84,560.34</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845,603.44</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1．本期提取</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804,766.42</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804,766.42</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89,418.49</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894,184.91</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2．本期使用</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43,723.32</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43,723.32</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4,858.15</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48,581.47</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（六）其他</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5,396,796.78</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5,396,796.78</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104,748.00</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5,501,544.78</w:t>
            </w:r>
          </w:p>
        </w:tc>
      </w:tr>
      <w:tr w:rsidR="00A60866" w:rsidTr="00A6086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42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709,650,977.63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67,837,620.98</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5,236,695.07</w:t>
            </w: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85,729,477.01</w:t>
            </w:r>
          </w:p>
        </w:tc>
        <w:tc>
          <w:tcPr>
            <w:tcW w:w="85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491,489,748.62</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1,667,130,601.35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10,406,992.93</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9D4540" w:rsidP="00054B06">
            <w:pPr>
              <w:spacing w:line="300" w:lineRule="exact"/>
              <w:jc w:val="right"/>
              <w:rPr>
                <w:rFonts w:ascii="宋体" w:eastAsia="宋体" w:hAnsi="宋体" w:cs="宋体"/>
                <w:sz w:val="18"/>
                <w:szCs w:val="18"/>
              </w:rPr>
            </w:pPr>
            <w:r w:rsidRPr="009D4540">
              <w:rPr>
                <w:rFonts w:ascii="宋体" w:eastAsia="宋体" w:hAnsi="宋体" w:cs="宋体"/>
                <w:sz w:val="18"/>
                <w:szCs w:val="18"/>
              </w:rPr>
              <w:t>1,677,537,594.28</w:t>
            </w:r>
          </w:p>
        </w:tc>
      </w:tr>
    </w:tbl>
    <w:p w:rsidR="00B13593" w:rsidRPr="00A60866"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bookmarkStart w:id="100" w:name="_Toc988988"/>
      <w:r w:rsidRPr="00A60866">
        <w:rPr>
          <w:rFonts w:ascii="仿宋" w:eastAsia="仿宋" w:hAnsi="仿宋"/>
          <w:b/>
          <w:sz w:val="28"/>
          <w:szCs w:val="28"/>
        </w:rPr>
        <w:t>8、母公司所有者权益变动表</w:t>
      </w:r>
      <w:bookmarkEnd w:id="100"/>
    </w:p>
    <w:p w:rsidR="00B13593" w:rsidRPr="00A60866"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A60866">
        <w:rPr>
          <w:rFonts w:ascii="仿宋" w:eastAsia="仿宋" w:hAnsi="仿宋"/>
          <w:b/>
          <w:sz w:val="28"/>
          <w:szCs w:val="28"/>
        </w:rPr>
        <w:t>本期金额</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4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00"/>
        <w:gridCol w:w="1460"/>
        <w:gridCol w:w="709"/>
        <w:gridCol w:w="708"/>
        <w:gridCol w:w="851"/>
        <w:gridCol w:w="1559"/>
        <w:gridCol w:w="1418"/>
        <w:gridCol w:w="992"/>
        <w:gridCol w:w="1134"/>
        <w:gridCol w:w="992"/>
        <w:gridCol w:w="1134"/>
        <w:gridCol w:w="709"/>
        <w:gridCol w:w="1276"/>
      </w:tblGrid>
      <w:tr w:rsidR="00B13593" w:rsidTr="00A60866">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2942"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r>
      <w:tr w:rsidR="00A60866" w:rsidTr="00A60866">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4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226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专项储备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60866" w:rsidTr="00A60866">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4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一、上年期末余额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854,298,803.51</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305,627,127.60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1,629,853,555.82</w:t>
            </w: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加：会计政策变更</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前期差错更正</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854,298,803.51</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305,627,127.60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1,629,853,555.82</w:t>
            </w: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1,547,450.51</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-7,965,520.85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752,573.85</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10,035,955.21</w:t>
            </w: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（一）综合</w:t>
            </w:r>
            <w:r>
              <w:rPr>
                <w:rFonts w:ascii="宋体" w:eastAsia="宋体" w:hAnsi="宋体" w:cs="宋体"/>
                <w:sz w:val="18"/>
                <w:szCs w:val="18"/>
              </w:rPr>
              <w:lastRenderedPageBreak/>
              <w:t>收益总额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752,573.85</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752,573.85</w:t>
            </w: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（二）所有者投入和减少资本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 xml:space="preserve">1,547,450.51 </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-1,200,755.70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72E04" w:rsidP="00054B06">
            <w:pPr>
              <w:spacing w:line="300" w:lineRule="exact"/>
              <w:jc w:val="right"/>
              <w:rPr>
                <w:rFonts w:ascii="宋体" w:eastAsia="宋体" w:hAnsi="宋体" w:cs="宋体"/>
                <w:sz w:val="18"/>
                <w:szCs w:val="18"/>
              </w:rPr>
            </w:pPr>
            <w:r w:rsidRPr="00B72E04">
              <w:rPr>
                <w:rFonts w:ascii="宋体" w:eastAsia="宋体" w:hAnsi="宋体" w:cs="宋体"/>
                <w:sz w:val="18"/>
                <w:szCs w:val="18"/>
              </w:rPr>
              <w:t>2,518,616.21</w:t>
            </w: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1．所有者投入的普通股</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2,518,616.21</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2,518,616.21</w:t>
            </w: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4．其他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-971,165.70</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-1,200,755.70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（三）利润分配</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1．提取盈余公积</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2．对所有者（或股东）的分配</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2．盈余公</w:t>
            </w:r>
            <w:r>
              <w:rPr>
                <w:rFonts w:ascii="宋体" w:eastAsia="宋体" w:hAnsi="宋体" w:cs="宋体"/>
                <w:sz w:val="18"/>
                <w:szCs w:val="18"/>
              </w:rPr>
              <w:lastRenderedPageBreak/>
              <w:t>积转增资本（或股本）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3．盈余公积弥补亏损</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6．其他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（五）专项储备</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1．本期提取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2．本期使用</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（六）其他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-6,764,765.15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6,764,765.15</w:t>
            </w:r>
          </w:p>
        </w:tc>
      </w:tr>
      <w:tr w:rsidR="00A60866"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855,846,254.02</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306,379,701.45</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401672" w:rsidP="00054B06">
            <w:pPr>
              <w:spacing w:line="300" w:lineRule="exact"/>
              <w:jc w:val="right"/>
              <w:rPr>
                <w:rFonts w:ascii="宋体" w:eastAsia="宋体" w:hAnsi="宋体" w:cs="宋体"/>
                <w:sz w:val="18"/>
                <w:szCs w:val="18"/>
              </w:rPr>
            </w:pPr>
            <w:r w:rsidRPr="00401672">
              <w:rPr>
                <w:rFonts w:ascii="宋体" w:eastAsia="宋体" w:hAnsi="宋体" w:cs="宋体"/>
                <w:sz w:val="18"/>
                <w:szCs w:val="18"/>
              </w:rPr>
              <w:t>1,639,889,511.03</w:t>
            </w:r>
          </w:p>
        </w:tc>
      </w:tr>
    </w:tbl>
    <w:p w:rsidR="00B13593" w:rsidRPr="00A60866" w:rsidRDefault="00B13F8C" w:rsidP="00054B06">
      <w:pPr>
        <w:pStyle w:val="a3"/>
        <w:widowControl w:val="0"/>
        <w:spacing w:before="0" w:beforeAutospacing="0" w:after="0" w:afterAutospacing="0" w:line="560" w:lineRule="exact"/>
        <w:ind w:firstLine="561"/>
        <w:jc w:val="both"/>
        <w:rPr>
          <w:rFonts w:ascii="仿宋" w:eastAsia="仿宋" w:hAnsi="仿宋"/>
          <w:b/>
          <w:sz w:val="28"/>
          <w:szCs w:val="28"/>
        </w:rPr>
      </w:pPr>
      <w:r w:rsidRPr="00A60866">
        <w:rPr>
          <w:rFonts w:ascii="仿宋" w:eastAsia="仿宋" w:hAnsi="仿宋"/>
          <w:b/>
          <w:sz w:val="28"/>
          <w:szCs w:val="28"/>
        </w:rPr>
        <w:t>上年金额</w:t>
      </w:r>
    </w:p>
    <w:p w:rsidR="00A60866" w:rsidRDefault="00A60866" w:rsidP="00054B06">
      <w:pPr>
        <w:spacing w:before="120" w:after="120" w:line="240" w:lineRule="exact"/>
        <w:jc w:val="right"/>
        <w:rPr>
          <w:rFonts w:ascii="宋体" w:eastAsia="宋体" w:hAnsi="宋体" w:cs="宋体"/>
          <w:sz w:val="18"/>
          <w:szCs w:val="18"/>
        </w:rPr>
      </w:pP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4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00"/>
        <w:gridCol w:w="1460"/>
        <w:gridCol w:w="709"/>
        <w:gridCol w:w="708"/>
        <w:gridCol w:w="851"/>
        <w:gridCol w:w="1559"/>
        <w:gridCol w:w="1418"/>
        <w:gridCol w:w="992"/>
        <w:gridCol w:w="1134"/>
        <w:gridCol w:w="992"/>
        <w:gridCol w:w="1134"/>
        <w:gridCol w:w="709"/>
        <w:gridCol w:w="1276"/>
      </w:tblGrid>
      <w:tr w:rsidR="00B13593" w:rsidTr="00A60866">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2942"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2022年半年度</w:t>
            </w:r>
          </w:p>
        </w:tc>
      </w:tr>
      <w:tr w:rsidR="00B13593" w:rsidTr="00A60866">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4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226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专项储备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B13593" w:rsidTr="00A60866">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4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c>
          <w:tcPr>
            <w:tcW w:w="709" w:type="dxa"/>
            <w:vMerge/>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pPr>
              <w:spacing w:line="300" w:lineRule="exact"/>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一、上年期末余额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849,605,727.94</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74,214,504.38</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258,831,892.90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1,564,277,812.42</w:t>
            </w: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849,605,727.94</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74,214,504.38</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258,831,892.90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1,564,277,812.42</w:t>
            </w: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5,501,544.74</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-6,376,883.40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-659,649.36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11,218,778.78</w:t>
            </w: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（一）综合收益总额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-659,649.36</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-659,649.36</w:t>
            </w: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（二）所有者投入和减少资本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-6,376,883.40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6,376,883.40</w:t>
            </w: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1．所有者投入的普通股</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4．其他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-6,376,883.40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6,376,883.40</w:t>
            </w: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（三）利润分配</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1．提取盈余公积</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2．对所有者（或股东）的分配</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3．盈余公积弥补亏损</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6．其他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（五）专项</w:t>
            </w:r>
            <w:r>
              <w:rPr>
                <w:rFonts w:ascii="宋体" w:eastAsia="宋体" w:hAnsi="宋体" w:cs="宋体"/>
                <w:sz w:val="18"/>
                <w:szCs w:val="18"/>
              </w:rPr>
              <w:lastRenderedPageBreak/>
              <w:t>储备</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lastRenderedPageBreak/>
              <w:t>1．本期提取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2．本期使用</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（六）其他</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5,501,544.74</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5,501,544.74</w:t>
            </w:r>
          </w:p>
        </w:tc>
      </w:tr>
      <w:tr w:rsidR="00B13593" w:rsidTr="00A608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146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855,107,272.68</w:t>
            </w:r>
          </w:p>
        </w:tc>
        <w:tc>
          <w:tcPr>
            <w:tcW w:w="141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67,837,620.98</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258,172,243.54</w:t>
            </w: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300" w:lineRule="exact"/>
              <w:jc w:val="right"/>
              <w:rPr>
                <w:rFonts w:ascii="宋体" w:eastAsia="宋体" w:hAnsi="宋体" w:cs="宋体"/>
                <w:sz w:val="18"/>
                <w:szCs w:val="18"/>
              </w:rPr>
            </w:pPr>
            <w:r>
              <w:rPr>
                <w:rFonts w:ascii="宋体" w:eastAsia="宋体" w:hAnsi="宋体" w:cs="宋体"/>
                <w:sz w:val="18"/>
                <w:szCs w:val="18"/>
              </w:rPr>
              <w:t>1,575,496,591.20</w:t>
            </w:r>
          </w:p>
        </w:tc>
      </w:tr>
    </w:tbl>
    <w:p w:rsidR="00DF77DD" w:rsidRDefault="00DF77DD" w:rsidP="00054B06">
      <w:pPr>
        <w:pStyle w:val="2"/>
        <w:spacing w:before="300" w:after="300" w:line="320" w:lineRule="exact"/>
        <w:rPr>
          <w:rFonts w:ascii="宋体" w:eastAsia="宋体" w:hAnsi="宋体" w:cs="宋体"/>
          <w:b/>
          <w:bCs/>
          <w:sz w:val="24"/>
          <w:szCs w:val="24"/>
        </w:rPr>
        <w:sectPr w:rsidR="00DF77DD" w:rsidSect="00DF77DD">
          <w:pgSz w:w="16840" w:h="11905" w:orient="landscape"/>
          <w:pgMar w:top="1134" w:right="1440" w:bottom="1134" w:left="1440" w:header="851" w:footer="992" w:gutter="0"/>
          <w:cols w:space="720"/>
          <w:docGrid w:type="lines" w:linePitch="312"/>
        </w:sectPr>
      </w:pPr>
      <w:bookmarkStart w:id="101" w:name="_Toc988989"/>
    </w:p>
    <w:p w:rsidR="00B13593" w:rsidRPr="00CF65E6" w:rsidRDefault="00B13F8C" w:rsidP="00054B06">
      <w:pPr>
        <w:pStyle w:val="a3"/>
        <w:widowControl w:val="0"/>
        <w:spacing w:before="0" w:beforeAutospacing="0" w:after="0" w:afterAutospacing="0" w:line="560" w:lineRule="exact"/>
        <w:ind w:firstLineChars="200" w:firstLine="562"/>
        <w:jc w:val="both"/>
        <w:rPr>
          <w:b/>
          <w:bCs/>
          <w:sz w:val="28"/>
          <w:szCs w:val="28"/>
        </w:rPr>
      </w:pPr>
      <w:r w:rsidRPr="00CF65E6">
        <w:rPr>
          <w:b/>
          <w:bCs/>
          <w:sz w:val="28"/>
          <w:szCs w:val="28"/>
        </w:rPr>
        <w:lastRenderedPageBreak/>
        <w:t>三、公司基本情况</w:t>
      </w:r>
      <w:bookmarkEnd w:id="101"/>
    </w:p>
    <w:p w:rsidR="00B13593" w:rsidRDefault="00B13593" w:rsidP="00054B06">
      <w:pPr>
        <w:pStyle w:val="a3"/>
        <w:widowControl w:val="0"/>
        <w:spacing w:before="0" w:beforeAutospacing="0" w:after="0" w:afterAutospacing="0" w:line="560" w:lineRule="exact"/>
        <w:ind w:firstLineChars="200" w:firstLine="562"/>
        <w:jc w:val="both"/>
        <w:divId w:val="139425637"/>
      </w:pPr>
      <w:r>
        <w:rPr>
          <w:rStyle w:val="a4"/>
          <w:rFonts w:ascii="仿宋" w:eastAsia="仿宋" w:hAnsi="仿宋" w:hint="eastAsia"/>
          <w:sz w:val="28"/>
          <w:szCs w:val="28"/>
        </w:rPr>
        <w:t>1、公司概况</w:t>
      </w:r>
    </w:p>
    <w:p w:rsidR="00B13593" w:rsidRDefault="00B13593" w:rsidP="00054B06">
      <w:pPr>
        <w:pStyle w:val="a3"/>
        <w:widowControl w:val="0"/>
        <w:spacing w:before="0" w:beforeAutospacing="0" w:after="0" w:afterAutospacing="0" w:line="560" w:lineRule="exact"/>
        <w:ind w:firstLineChars="200" w:firstLine="560"/>
        <w:jc w:val="both"/>
        <w:divId w:val="139425637"/>
      </w:pPr>
      <w:r>
        <w:rPr>
          <w:rFonts w:ascii="仿宋" w:eastAsia="仿宋" w:hAnsi="仿宋" w:hint="eastAsia"/>
          <w:sz w:val="28"/>
          <w:szCs w:val="28"/>
        </w:rPr>
        <w:t>广东甘化科工股份有限公司（以下简称</w:t>
      </w:r>
      <w:r>
        <w:rPr>
          <w:rFonts w:ascii="仿宋" w:eastAsia="仿宋" w:hAnsi="仿宋" w:hint="eastAsia"/>
          <w:color w:val="000000"/>
          <w:sz w:val="28"/>
          <w:szCs w:val="28"/>
        </w:rPr>
        <w:t>甘化科工公司、</w:t>
      </w:r>
      <w:r>
        <w:rPr>
          <w:rFonts w:ascii="仿宋" w:eastAsia="仿宋" w:hAnsi="仿宋" w:hint="eastAsia"/>
          <w:sz w:val="28"/>
          <w:szCs w:val="28"/>
        </w:rPr>
        <w:t>本公司或公司），成立于1993年4月15日，在江门市市场监督管理局登记注册。现统一社会信用代码为91440700190357288E，注册资本人民币44,286.1324万元。公司总部的经营地址江门市蓬江区甘化路62号。法定代表人黄克。</w:t>
      </w:r>
    </w:p>
    <w:p w:rsidR="00B13593" w:rsidRDefault="00B13593" w:rsidP="00054B06">
      <w:pPr>
        <w:pStyle w:val="a3"/>
        <w:widowControl w:val="0"/>
        <w:spacing w:before="0" w:beforeAutospacing="0" w:after="0" w:afterAutospacing="0" w:line="560" w:lineRule="exact"/>
        <w:ind w:firstLineChars="200" w:firstLine="560"/>
        <w:jc w:val="both"/>
        <w:divId w:val="139425637"/>
      </w:pPr>
      <w:r>
        <w:rPr>
          <w:rFonts w:ascii="仿宋" w:eastAsia="仿宋" w:hAnsi="仿宋" w:hint="eastAsia"/>
          <w:sz w:val="28"/>
          <w:szCs w:val="28"/>
        </w:rPr>
        <w:t>公司原名江门甘蔗化工厂（集团）股份有限公司，于2020年10月30日变更为广东甘化科工股份有限公司。</w:t>
      </w:r>
    </w:p>
    <w:p w:rsidR="00B13593" w:rsidRDefault="00B13593" w:rsidP="00054B06">
      <w:pPr>
        <w:pStyle w:val="a3"/>
        <w:widowControl w:val="0"/>
        <w:spacing w:before="0" w:beforeAutospacing="0" w:after="0" w:afterAutospacing="0" w:line="560" w:lineRule="exact"/>
        <w:ind w:firstLineChars="200" w:firstLine="560"/>
        <w:jc w:val="both"/>
        <w:divId w:val="139425637"/>
      </w:pPr>
      <w:r>
        <w:rPr>
          <w:rFonts w:ascii="仿宋" w:eastAsia="仿宋" w:hAnsi="仿宋" w:hint="eastAsia"/>
          <w:sz w:val="28"/>
          <w:szCs w:val="28"/>
        </w:rPr>
        <w:t>公司主要的经营活动为食糖贸易业务和电源及相关产品、高性能特种合金材料制品等军工产品的研发、生产、销售，公司自2022年5月起终止食糖贸易业务。</w:t>
      </w:r>
    </w:p>
    <w:p w:rsidR="00B13593" w:rsidRDefault="00B13593" w:rsidP="00054B06">
      <w:pPr>
        <w:pStyle w:val="a3"/>
        <w:widowControl w:val="0"/>
        <w:spacing w:before="0" w:beforeAutospacing="0" w:after="0" w:afterAutospacing="0" w:line="560" w:lineRule="exact"/>
        <w:ind w:firstLineChars="200" w:firstLine="560"/>
        <w:jc w:val="both"/>
        <w:divId w:val="139425637"/>
        <w:rPr>
          <w:rFonts w:ascii="仿宋" w:eastAsia="仿宋" w:hAnsi="仿宋"/>
          <w:sz w:val="28"/>
          <w:szCs w:val="28"/>
        </w:rPr>
      </w:pPr>
      <w:r>
        <w:rPr>
          <w:rFonts w:ascii="仿宋" w:eastAsia="仿宋" w:hAnsi="仿宋" w:hint="eastAsia"/>
          <w:sz w:val="28"/>
          <w:szCs w:val="28"/>
        </w:rPr>
        <w:t>财务报表批准报出日：本财务报表业经公司董事会于</w:t>
      </w:r>
      <w:r w:rsidRPr="00CF65E6">
        <w:rPr>
          <w:rFonts w:ascii="仿宋" w:eastAsia="仿宋" w:hAnsi="仿宋" w:hint="eastAsia"/>
          <w:sz w:val="28"/>
          <w:szCs w:val="28"/>
        </w:rPr>
        <w:t>2023年8月22日</w:t>
      </w:r>
      <w:r>
        <w:rPr>
          <w:rFonts w:ascii="仿宋" w:eastAsia="仿宋" w:hAnsi="仿宋" w:hint="eastAsia"/>
          <w:sz w:val="28"/>
          <w:szCs w:val="28"/>
        </w:rPr>
        <w:t>决议批准报出。</w:t>
      </w:r>
    </w:p>
    <w:p w:rsidR="00B35101" w:rsidRDefault="00B35101" w:rsidP="00B35101">
      <w:pPr>
        <w:pStyle w:val="a3"/>
        <w:spacing w:before="0" w:beforeAutospacing="0" w:after="0" w:afterAutospacing="0" w:line="560" w:lineRule="exact"/>
        <w:ind w:firstLine="703"/>
        <w:jc w:val="both"/>
        <w:divId w:val="139425637"/>
      </w:pPr>
      <w:r>
        <w:rPr>
          <w:rStyle w:val="a4"/>
          <w:rFonts w:ascii="仿宋" w:eastAsia="仿宋" w:hAnsi="仿宋" w:hint="eastAsia"/>
          <w:sz w:val="28"/>
          <w:szCs w:val="28"/>
        </w:rPr>
        <w:t>2、合并财务报表范围及变化</w:t>
      </w:r>
    </w:p>
    <w:p w:rsidR="00B13593" w:rsidRDefault="00B13593" w:rsidP="00054B06">
      <w:pPr>
        <w:pStyle w:val="a3"/>
        <w:widowControl w:val="0"/>
        <w:spacing w:before="0" w:beforeAutospacing="0" w:after="0" w:afterAutospacing="0" w:line="560" w:lineRule="exact"/>
        <w:ind w:firstLineChars="200" w:firstLine="560"/>
        <w:jc w:val="both"/>
        <w:divId w:val="1753040649"/>
      </w:pPr>
      <w:r>
        <w:rPr>
          <w:rFonts w:ascii="仿宋" w:eastAsia="仿宋" w:hAnsi="仿宋" w:hint="eastAsia"/>
          <w:sz w:val="28"/>
          <w:szCs w:val="28"/>
        </w:rPr>
        <w:t>（1）本报告期末纳入合并范围的子公司</w:t>
      </w:r>
    </w:p>
    <w:p w:rsidR="00B13593" w:rsidRDefault="00B13593" w:rsidP="00054B06">
      <w:pPr>
        <w:pStyle w:val="a3"/>
        <w:widowControl w:val="0"/>
        <w:spacing w:before="0" w:beforeAutospacing="0" w:after="0" w:afterAutospacing="0" w:line="560" w:lineRule="exact"/>
        <w:ind w:firstLineChars="200" w:firstLine="560"/>
        <w:jc w:val="both"/>
        <w:divId w:val="1753040649"/>
      </w:pPr>
      <w:r>
        <w:rPr>
          <w:rFonts w:ascii="仿宋" w:eastAsia="仿宋" w:hAnsi="仿宋" w:hint="eastAsia"/>
          <w:sz w:val="28"/>
          <w:szCs w:val="28"/>
        </w:rPr>
        <w:t>本期末纳入合并范围的子公司具体情况详见本附注九“在其他主体中的权益”。</w:t>
      </w:r>
    </w:p>
    <w:p w:rsidR="00B13593" w:rsidRDefault="00B13593" w:rsidP="00054B06">
      <w:pPr>
        <w:pStyle w:val="a3"/>
        <w:widowControl w:val="0"/>
        <w:spacing w:before="0" w:beforeAutospacing="0" w:after="0" w:afterAutospacing="0" w:line="560" w:lineRule="exact"/>
        <w:ind w:firstLineChars="200" w:firstLine="560"/>
        <w:jc w:val="both"/>
        <w:divId w:val="1753040649"/>
      </w:pPr>
      <w:r>
        <w:rPr>
          <w:rFonts w:ascii="仿宋" w:eastAsia="仿宋" w:hAnsi="仿宋" w:hint="eastAsia"/>
          <w:sz w:val="28"/>
          <w:szCs w:val="28"/>
        </w:rPr>
        <w:t>（2）本报告期内合并财务报表范围变化</w:t>
      </w:r>
    </w:p>
    <w:p w:rsidR="00DF77DD" w:rsidRDefault="00B13593" w:rsidP="00054B06">
      <w:pPr>
        <w:pStyle w:val="a3"/>
        <w:widowControl w:val="0"/>
        <w:spacing w:before="0" w:beforeAutospacing="0" w:after="0" w:afterAutospacing="0" w:line="560" w:lineRule="exact"/>
        <w:ind w:firstLineChars="200" w:firstLine="560"/>
        <w:jc w:val="both"/>
        <w:rPr>
          <w:rFonts w:ascii="仿宋" w:eastAsia="仿宋" w:hAnsi="仿宋"/>
          <w:sz w:val="28"/>
          <w:szCs w:val="28"/>
        </w:rPr>
      </w:pPr>
      <w:r>
        <w:rPr>
          <w:rFonts w:ascii="仿宋" w:eastAsia="仿宋" w:hAnsi="仿宋" w:hint="eastAsia"/>
          <w:sz w:val="28"/>
          <w:szCs w:val="28"/>
        </w:rPr>
        <w:t>本报告期内新增及减少子公司的具体情况详见本附注八“合并范围的变更”。</w:t>
      </w:r>
      <w:bookmarkStart w:id="102" w:name="_Toc988990"/>
    </w:p>
    <w:p w:rsidR="00B13593" w:rsidRPr="00CF65E6" w:rsidRDefault="00B13F8C" w:rsidP="00054B06">
      <w:pPr>
        <w:pStyle w:val="a3"/>
        <w:widowControl w:val="0"/>
        <w:spacing w:before="0" w:beforeAutospacing="0" w:after="0" w:afterAutospacing="0" w:line="560" w:lineRule="exact"/>
        <w:ind w:firstLineChars="200" w:firstLine="562"/>
        <w:jc w:val="both"/>
        <w:rPr>
          <w:b/>
          <w:bCs/>
          <w:sz w:val="28"/>
          <w:szCs w:val="28"/>
        </w:rPr>
      </w:pPr>
      <w:r w:rsidRPr="00CF65E6">
        <w:rPr>
          <w:b/>
          <w:bCs/>
          <w:sz w:val="28"/>
          <w:szCs w:val="28"/>
        </w:rPr>
        <w:t>四、财务报表的编制基础</w:t>
      </w:r>
      <w:bookmarkEnd w:id="102"/>
      <w:r w:rsidR="00DF77DD" w:rsidRPr="00CF65E6">
        <w:rPr>
          <w:b/>
          <w:bCs/>
          <w:sz w:val="28"/>
          <w:szCs w:val="28"/>
        </w:rPr>
        <w:tab/>
      </w:r>
    </w:p>
    <w:p w:rsidR="00B13593" w:rsidRPr="00054B06" w:rsidRDefault="00B13F8C" w:rsidP="00054B06">
      <w:pPr>
        <w:pStyle w:val="a3"/>
        <w:widowControl w:val="0"/>
        <w:spacing w:before="0" w:beforeAutospacing="0" w:after="0" w:afterAutospacing="0" w:line="560" w:lineRule="exact"/>
        <w:ind w:firstLineChars="200" w:firstLine="482"/>
        <w:jc w:val="both"/>
        <w:rPr>
          <w:b/>
        </w:rPr>
      </w:pPr>
      <w:bookmarkStart w:id="103" w:name="_Toc988991"/>
      <w:r w:rsidRPr="00054B06">
        <w:rPr>
          <w:b/>
        </w:rPr>
        <w:t>1、编制基础</w:t>
      </w:r>
      <w:bookmarkEnd w:id="103"/>
    </w:p>
    <w:p w:rsidR="00B13593" w:rsidRPr="00054B06" w:rsidRDefault="00B13593" w:rsidP="00054B06">
      <w:pPr>
        <w:pStyle w:val="a3"/>
        <w:widowControl w:val="0"/>
        <w:spacing w:before="0" w:beforeAutospacing="0" w:after="0" w:afterAutospacing="0" w:line="560" w:lineRule="exact"/>
        <w:ind w:firstLineChars="200" w:firstLine="560"/>
        <w:jc w:val="both"/>
        <w:divId w:val="1230457344"/>
        <w:rPr>
          <w:rFonts w:ascii="仿宋" w:eastAsia="仿宋" w:hAnsi="仿宋"/>
          <w:sz w:val="28"/>
          <w:szCs w:val="28"/>
        </w:rPr>
      </w:pPr>
      <w:r>
        <w:rPr>
          <w:rFonts w:ascii="仿宋" w:eastAsia="仿宋" w:hAnsi="仿宋" w:hint="eastAsia"/>
          <w:sz w:val="28"/>
          <w:szCs w:val="28"/>
        </w:rPr>
        <w:t>本公司以持续经营为基础，根据实际发生的交易和事项，按照企业会计准则及其应用指南和准则解释的规定进行确认和计量，在此基础上编制财务</w:t>
      </w:r>
      <w:r>
        <w:rPr>
          <w:rFonts w:ascii="仿宋" w:eastAsia="仿宋" w:hAnsi="仿宋" w:hint="eastAsia"/>
          <w:sz w:val="28"/>
          <w:szCs w:val="28"/>
        </w:rPr>
        <w:lastRenderedPageBreak/>
        <w:t>报表。此外，本公司还按照中国证监会《公开发行证券的公司信息披露编报规则第15号——财务报告的一般规定》（2014年修订）披露有关财务信息。</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04" w:name="_Toc988992"/>
      <w:r w:rsidRPr="00054B06">
        <w:rPr>
          <w:rFonts w:ascii="仿宋" w:eastAsia="仿宋" w:hAnsi="仿宋"/>
          <w:b/>
          <w:sz w:val="28"/>
          <w:szCs w:val="28"/>
        </w:rPr>
        <w:t>2、持续经营</w:t>
      </w:r>
      <w:bookmarkEnd w:id="104"/>
    </w:p>
    <w:p w:rsidR="00B13593" w:rsidRPr="00054B06" w:rsidRDefault="00B13593" w:rsidP="00054B06">
      <w:pPr>
        <w:pStyle w:val="a3"/>
        <w:widowControl w:val="0"/>
        <w:spacing w:before="0" w:beforeAutospacing="0" w:after="0" w:afterAutospacing="0" w:line="560" w:lineRule="exact"/>
        <w:ind w:firstLineChars="200" w:firstLine="560"/>
        <w:jc w:val="both"/>
        <w:divId w:val="870072433"/>
        <w:rPr>
          <w:rFonts w:ascii="仿宋" w:eastAsia="仿宋" w:hAnsi="仿宋"/>
          <w:sz w:val="28"/>
          <w:szCs w:val="28"/>
        </w:rPr>
      </w:pPr>
      <w:r>
        <w:rPr>
          <w:rFonts w:ascii="仿宋" w:eastAsia="仿宋" w:hAnsi="仿宋" w:hint="eastAsia"/>
          <w:sz w:val="28"/>
          <w:szCs w:val="28"/>
        </w:rPr>
        <w:t>本公司对自报告期末起12个月的持续经营能力进行了评估，未发现影响本公司持续经营能力的事项，本公司以持续经营为基础编制财务报表是合理的。</w:t>
      </w:r>
    </w:p>
    <w:p w:rsidR="00B13593" w:rsidRPr="00054B06" w:rsidRDefault="00B13F8C" w:rsidP="00054B06">
      <w:pPr>
        <w:pStyle w:val="a3"/>
        <w:widowControl w:val="0"/>
        <w:spacing w:before="0" w:beforeAutospacing="0" w:after="0" w:afterAutospacing="0" w:line="560" w:lineRule="exact"/>
        <w:ind w:firstLineChars="200" w:firstLine="562"/>
        <w:jc w:val="both"/>
        <w:rPr>
          <w:b/>
          <w:bCs/>
          <w:sz w:val="28"/>
          <w:szCs w:val="28"/>
        </w:rPr>
      </w:pPr>
      <w:bookmarkStart w:id="105" w:name="_Toc988993"/>
      <w:r w:rsidRPr="00054B06">
        <w:rPr>
          <w:b/>
          <w:bCs/>
          <w:sz w:val="28"/>
          <w:szCs w:val="28"/>
        </w:rPr>
        <w:t>五、重要会计政策及会计估计</w:t>
      </w:r>
      <w:bookmarkEnd w:id="105"/>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54B06">
        <w:rPr>
          <w:rFonts w:ascii="仿宋" w:eastAsia="仿宋" w:hAnsi="仿宋"/>
          <w:b/>
          <w:sz w:val="28"/>
          <w:szCs w:val="28"/>
        </w:rPr>
        <w:t>具体会计政策和会计估计提示：</w:t>
      </w:r>
    </w:p>
    <w:p w:rsidR="00B13593" w:rsidRPr="00054B06" w:rsidRDefault="00B13593" w:rsidP="00054B06">
      <w:pPr>
        <w:pStyle w:val="a3"/>
        <w:widowControl w:val="0"/>
        <w:spacing w:before="0" w:beforeAutospacing="0" w:after="0" w:afterAutospacing="0" w:line="560" w:lineRule="exact"/>
        <w:ind w:firstLineChars="200" w:firstLine="560"/>
        <w:jc w:val="both"/>
        <w:divId w:val="33041537"/>
        <w:rPr>
          <w:rFonts w:ascii="仿宋" w:eastAsia="仿宋" w:hAnsi="仿宋"/>
          <w:sz w:val="28"/>
          <w:szCs w:val="28"/>
        </w:rPr>
      </w:pPr>
      <w:r>
        <w:rPr>
          <w:rFonts w:ascii="仿宋" w:eastAsia="仿宋" w:hAnsi="仿宋" w:hint="eastAsia"/>
          <w:sz w:val="28"/>
          <w:szCs w:val="28"/>
        </w:rPr>
        <w:t>本公司根据实际生产经营特点制定了具体的收入确认会计政策，见本节第39、收入确认原则和计量方法。</w:t>
      </w:r>
    </w:p>
    <w:p w:rsidR="00B13593" w:rsidRPr="00054B06" w:rsidRDefault="00B13593" w:rsidP="00054B06">
      <w:pPr>
        <w:pStyle w:val="a3"/>
        <w:widowControl w:val="0"/>
        <w:spacing w:before="0" w:beforeAutospacing="0" w:after="0" w:afterAutospacing="0" w:line="560" w:lineRule="exact"/>
        <w:ind w:firstLineChars="200" w:firstLine="560"/>
        <w:jc w:val="both"/>
        <w:divId w:val="33041537"/>
        <w:rPr>
          <w:rFonts w:ascii="仿宋" w:eastAsia="仿宋" w:hAnsi="仿宋"/>
          <w:sz w:val="28"/>
          <w:szCs w:val="28"/>
        </w:rPr>
      </w:pPr>
      <w:r>
        <w:rPr>
          <w:rFonts w:ascii="仿宋" w:eastAsia="仿宋" w:hAnsi="仿宋" w:hint="eastAsia"/>
          <w:sz w:val="28"/>
          <w:szCs w:val="28"/>
        </w:rPr>
        <w:t>本公司下列重要会计政策、会计估计根据企业会计准则制定。未提及的业务按企业会计准则中相关会计政策执行。</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06" w:name="_Toc988994"/>
      <w:r w:rsidRPr="00054B06">
        <w:rPr>
          <w:rFonts w:ascii="仿宋" w:eastAsia="仿宋" w:hAnsi="仿宋"/>
          <w:b/>
          <w:sz w:val="28"/>
          <w:szCs w:val="28"/>
        </w:rPr>
        <w:t>1、遵循企业会计准则的声明</w:t>
      </w:r>
      <w:bookmarkEnd w:id="106"/>
    </w:p>
    <w:p w:rsidR="00B13593" w:rsidRPr="00054B06" w:rsidRDefault="00B13593" w:rsidP="00054B06">
      <w:pPr>
        <w:pStyle w:val="a3"/>
        <w:widowControl w:val="0"/>
        <w:spacing w:before="0" w:beforeAutospacing="0" w:after="0" w:afterAutospacing="0" w:line="560" w:lineRule="exact"/>
        <w:ind w:firstLineChars="200" w:firstLine="560"/>
        <w:jc w:val="both"/>
        <w:divId w:val="445271213"/>
        <w:rPr>
          <w:rFonts w:ascii="仿宋" w:eastAsia="仿宋" w:hAnsi="仿宋"/>
          <w:sz w:val="28"/>
          <w:szCs w:val="28"/>
        </w:rPr>
      </w:pPr>
      <w:r>
        <w:rPr>
          <w:rFonts w:ascii="仿宋" w:eastAsia="仿宋" w:hAnsi="仿宋" w:hint="eastAsia"/>
          <w:sz w:val="28"/>
          <w:szCs w:val="28"/>
        </w:rPr>
        <w:t>本公司所编制的财务报表符合企业会计准则的要求，真实、完整地反映了公司的财务状况、经营成果、所有者权益变动和现金流量等有关信息。</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07" w:name="_Toc988995"/>
      <w:r w:rsidRPr="00054B06">
        <w:rPr>
          <w:rFonts w:ascii="仿宋" w:eastAsia="仿宋" w:hAnsi="仿宋"/>
          <w:b/>
          <w:sz w:val="28"/>
          <w:szCs w:val="28"/>
        </w:rPr>
        <w:t>2、会计期间</w:t>
      </w:r>
      <w:bookmarkEnd w:id="107"/>
    </w:p>
    <w:p w:rsidR="00B13593" w:rsidRPr="00054B06" w:rsidRDefault="00B13593" w:rsidP="00054B06">
      <w:pPr>
        <w:pStyle w:val="a3"/>
        <w:widowControl w:val="0"/>
        <w:spacing w:before="0" w:beforeAutospacing="0" w:after="0" w:afterAutospacing="0" w:line="560" w:lineRule="exact"/>
        <w:ind w:firstLineChars="200" w:firstLine="560"/>
        <w:jc w:val="both"/>
        <w:divId w:val="682123798"/>
        <w:rPr>
          <w:rFonts w:ascii="仿宋" w:eastAsia="仿宋" w:hAnsi="仿宋"/>
          <w:sz w:val="28"/>
          <w:szCs w:val="28"/>
        </w:rPr>
      </w:pPr>
      <w:r>
        <w:rPr>
          <w:rFonts w:ascii="仿宋" w:eastAsia="仿宋" w:hAnsi="仿宋" w:hint="eastAsia"/>
          <w:sz w:val="28"/>
          <w:szCs w:val="28"/>
        </w:rPr>
        <w:t>本公司会计年度自公历1月1日起至12月31日止。</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08" w:name="_Toc988996"/>
      <w:r w:rsidRPr="00054B06">
        <w:rPr>
          <w:rFonts w:ascii="仿宋" w:eastAsia="仿宋" w:hAnsi="仿宋"/>
          <w:b/>
          <w:sz w:val="28"/>
          <w:szCs w:val="28"/>
        </w:rPr>
        <w:t>3、营业周期</w:t>
      </w:r>
      <w:bookmarkEnd w:id="108"/>
    </w:p>
    <w:p w:rsidR="00B13593" w:rsidRPr="00054B06" w:rsidRDefault="00B13593" w:rsidP="00054B06">
      <w:pPr>
        <w:pStyle w:val="a3"/>
        <w:widowControl w:val="0"/>
        <w:spacing w:before="0" w:beforeAutospacing="0" w:after="0" w:afterAutospacing="0" w:line="560" w:lineRule="exact"/>
        <w:ind w:firstLineChars="200" w:firstLine="560"/>
        <w:jc w:val="both"/>
        <w:divId w:val="1749883954"/>
        <w:rPr>
          <w:rFonts w:ascii="仿宋" w:eastAsia="仿宋" w:hAnsi="仿宋"/>
          <w:sz w:val="28"/>
          <w:szCs w:val="28"/>
        </w:rPr>
      </w:pPr>
      <w:r>
        <w:rPr>
          <w:rFonts w:ascii="仿宋" w:eastAsia="仿宋" w:hAnsi="仿宋" w:hint="eastAsia"/>
          <w:sz w:val="28"/>
          <w:szCs w:val="28"/>
        </w:rPr>
        <w:t>本公司正常营业周期为一年。</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09" w:name="_Toc988997"/>
      <w:r w:rsidRPr="00054B06">
        <w:rPr>
          <w:rFonts w:ascii="仿宋" w:eastAsia="仿宋" w:hAnsi="仿宋"/>
          <w:b/>
          <w:sz w:val="28"/>
          <w:szCs w:val="28"/>
        </w:rPr>
        <w:t>4、记账本位币</w:t>
      </w:r>
      <w:bookmarkEnd w:id="109"/>
    </w:p>
    <w:p w:rsidR="00B13593" w:rsidRPr="00054B06" w:rsidRDefault="00B13593" w:rsidP="00054B06">
      <w:pPr>
        <w:pStyle w:val="a3"/>
        <w:widowControl w:val="0"/>
        <w:spacing w:before="0" w:beforeAutospacing="0" w:after="0" w:afterAutospacing="0" w:line="560" w:lineRule="exact"/>
        <w:ind w:firstLineChars="200" w:firstLine="560"/>
        <w:jc w:val="both"/>
        <w:divId w:val="761150655"/>
        <w:rPr>
          <w:rFonts w:ascii="仿宋" w:eastAsia="仿宋" w:hAnsi="仿宋"/>
          <w:sz w:val="28"/>
          <w:szCs w:val="28"/>
        </w:rPr>
      </w:pPr>
      <w:r>
        <w:rPr>
          <w:rFonts w:ascii="仿宋" w:eastAsia="仿宋" w:hAnsi="仿宋" w:hint="eastAsia"/>
          <w:sz w:val="28"/>
          <w:szCs w:val="28"/>
        </w:rPr>
        <w:t>本公司的记账本位币为人民币。</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0" w:name="_Toc988998"/>
      <w:r w:rsidRPr="00054B06">
        <w:rPr>
          <w:rFonts w:ascii="仿宋" w:eastAsia="仿宋" w:hAnsi="仿宋"/>
          <w:b/>
          <w:sz w:val="28"/>
          <w:szCs w:val="28"/>
        </w:rPr>
        <w:t>5、同一控制下和非同一控制下企业合并的会计处理方法</w:t>
      </w:r>
      <w:bookmarkEnd w:id="110"/>
    </w:p>
    <w:p w:rsidR="00054B06" w:rsidRDefault="00B13593" w:rsidP="00054B06">
      <w:pPr>
        <w:pStyle w:val="a3"/>
        <w:widowControl w:val="0"/>
        <w:spacing w:before="0" w:beforeAutospacing="0" w:after="0" w:afterAutospacing="0" w:line="560" w:lineRule="exact"/>
        <w:ind w:firstLineChars="200" w:firstLine="562"/>
        <w:jc w:val="both"/>
        <w:divId w:val="177813452"/>
        <w:rPr>
          <w:rFonts w:ascii="仿宋" w:eastAsia="仿宋" w:hAnsi="仿宋"/>
          <w:b/>
          <w:sz w:val="28"/>
          <w:szCs w:val="28"/>
        </w:rPr>
      </w:pPr>
      <w:r w:rsidRPr="00054B06">
        <w:rPr>
          <w:rFonts w:ascii="仿宋" w:eastAsia="仿宋" w:hAnsi="仿宋" w:hint="eastAsia"/>
          <w:b/>
          <w:sz w:val="28"/>
          <w:szCs w:val="28"/>
        </w:rPr>
        <w:t>（1）同一控制下的企业合并</w:t>
      </w:r>
    </w:p>
    <w:p w:rsidR="00B13593" w:rsidRPr="00054B06" w:rsidRDefault="00B13593" w:rsidP="00054B06">
      <w:pPr>
        <w:pStyle w:val="a3"/>
        <w:widowControl w:val="0"/>
        <w:spacing w:before="0" w:beforeAutospacing="0" w:after="0" w:afterAutospacing="0" w:line="560" w:lineRule="exact"/>
        <w:ind w:firstLineChars="200" w:firstLine="560"/>
        <w:jc w:val="both"/>
        <w:divId w:val="177813452"/>
        <w:rPr>
          <w:rFonts w:ascii="仿宋" w:eastAsia="仿宋" w:hAnsi="仿宋"/>
          <w:sz w:val="28"/>
          <w:szCs w:val="28"/>
        </w:rPr>
      </w:pPr>
      <w:r>
        <w:rPr>
          <w:rFonts w:ascii="仿宋" w:eastAsia="仿宋" w:hAnsi="仿宋" w:hint="eastAsia"/>
          <w:sz w:val="28"/>
          <w:szCs w:val="28"/>
        </w:rPr>
        <w:t>本公司在企业合并中取得的资产和负债，在合并日按取得被合并方在最</w:t>
      </w:r>
      <w:r>
        <w:rPr>
          <w:rFonts w:ascii="仿宋" w:eastAsia="仿宋" w:hAnsi="仿宋" w:hint="eastAsia"/>
          <w:sz w:val="28"/>
          <w:szCs w:val="28"/>
        </w:rPr>
        <w:lastRenderedPageBreak/>
        <w:t>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B13593" w:rsidRPr="00054B06" w:rsidRDefault="00B13593" w:rsidP="00054B06">
      <w:pPr>
        <w:pStyle w:val="a3"/>
        <w:widowControl w:val="0"/>
        <w:spacing w:before="0" w:beforeAutospacing="0" w:after="0" w:afterAutospacing="0" w:line="560" w:lineRule="exact"/>
        <w:ind w:firstLineChars="200" w:firstLine="560"/>
        <w:jc w:val="both"/>
        <w:divId w:val="177813452"/>
        <w:rPr>
          <w:rFonts w:ascii="仿宋" w:eastAsia="仿宋" w:hAnsi="仿宋"/>
          <w:sz w:val="28"/>
          <w:szCs w:val="28"/>
        </w:rPr>
      </w:pPr>
      <w:r>
        <w:rPr>
          <w:rFonts w:ascii="仿宋" w:eastAsia="仿宋" w:hAnsi="仿宋" w:hint="eastAsia"/>
          <w:sz w:val="28"/>
          <w:szCs w:val="28"/>
        </w:rPr>
        <w:t>通过分步交易实现同一控制下企业合并的会计处理方法见附注五、6（6）。</w:t>
      </w:r>
    </w:p>
    <w:p w:rsidR="00B13593" w:rsidRPr="00054B06" w:rsidRDefault="00B13593" w:rsidP="00054B06">
      <w:pPr>
        <w:pStyle w:val="a3"/>
        <w:widowControl w:val="0"/>
        <w:spacing w:before="0" w:beforeAutospacing="0" w:after="0" w:afterAutospacing="0" w:line="560" w:lineRule="exact"/>
        <w:ind w:firstLineChars="200" w:firstLine="562"/>
        <w:jc w:val="both"/>
        <w:divId w:val="177813452"/>
        <w:rPr>
          <w:rFonts w:ascii="仿宋" w:eastAsia="仿宋" w:hAnsi="仿宋"/>
          <w:b/>
          <w:sz w:val="28"/>
          <w:szCs w:val="28"/>
        </w:rPr>
      </w:pPr>
      <w:r w:rsidRPr="00054B06">
        <w:rPr>
          <w:rFonts w:ascii="仿宋" w:eastAsia="仿宋" w:hAnsi="仿宋" w:hint="eastAsia"/>
          <w:b/>
          <w:sz w:val="28"/>
          <w:szCs w:val="28"/>
        </w:rPr>
        <w:t>（2）非同一控制下的企业合并</w:t>
      </w:r>
    </w:p>
    <w:p w:rsidR="00B13593" w:rsidRPr="00054B06" w:rsidRDefault="00B13593" w:rsidP="00054B06">
      <w:pPr>
        <w:pStyle w:val="a3"/>
        <w:widowControl w:val="0"/>
        <w:spacing w:before="0" w:beforeAutospacing="0" w:after="0" w:afterAutospacing="0" w:line="560" w:lineRule="exact"/>
        <w:ind w:firstLineChars="200" w:firstLine="560"/>
        <w:jc w:val="both"/>
        <w:divId w:val="177813452"/>
        <w:rPr>
          <w:rFonts w:ascii="仿宋" w:eastAsia="仿宋" w:hAnsi="仿宋"/>
          <w:sz w:val="28"/>
          <w:szCs w:val="28"/>
        </w:rPr>
      </w:pPr>
      <w:r>
        <w:rPr>
          <w:rFonts w:ascii="仿宋" w:eastAsia="仿宋" w:hAnsi="仿宋" w:hint="eastAsia"/>
          <w:sz w:val="28"/>
          <w:szCs w:val="28"/>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B13593" w:rsidRPr="00054B06" w:rsidRDefault="00B13593" w:rsidP="00054B06">
      <w:pPr>
        <w:pStyle w:val="a3"/>
        <w:widowControl w:val="0"/>
        <w:spacing w:before="0" w:beforeAutospacing="0" w:after="0" w:afterAutospacing="0" w:line="560" w:lineRule="exact"/>
        <w:ind w:firstLineChars="200" w:firstLine="560"/>
        <w:jc w:val="both"/>
        <w:divId w:val="177813452"/>
        <w:rPr>
          <w:rFonts w:ascii="仿宋" w:eastAsia="仿宋" w:hAnsi="仿宋"/>
          <w:sz w:val="28"/>
          <w:szCs w:val="28"/>
        </w:rPr>
      </w:pPr>
      <w:r>
        <w:rPr>
          <w:rFonts w:ascii="仿宋" w:eastAsia="仿宋" w:hAnsi="仿宋" w:hint="eastAsia"/>
          <w:sz w:val="28"/>
          <w:szCs w:val="28"/>
        </w:rPr>
        <w:t>通过分步交易实现非同一控制下企业合并的会计处理方法见附注五、6（6）。</w:t>
      </w:r>
    </w:p>
    <w:p w:rsidR="00054B06" w:rsidRDefault="00B13593" w:rsidP="00054B06">
      <w:pPr>
        <w:pStyle w:val="a3"/>
        <w:widowControl w:val="0"/>
        <w:spacing w:before="0" w:beforeAutospacing="0" w:after="0" w:afterAutospacing="0" w:line="560" w:lineRule="exact"/>
        <w:ind w:firstLineChars="200" w:firstLine="562"/>
        <w:jc w:val="both"/>
        <w:divId w:val="177813452"/>
        <w:rPr>
          <w:rFonts w:ascii="仿宋" w:eastAsia="仿宋" w:hAnsi="仿宋"/>
          <w:b/>
          <w:sz w:val="28"/>
          <w:szCs w:val="28"/>
        </w:rPr>
      </w:pPr>
      <w:r w:rsidRPr="00054B06">
        <w:rPr>
          <w:rFonts w:ascii="仿宋" w:eastAsia="仿宋" w:hAnsi="仿宋" w:hint="eastAsia"/>
          <w:b/>
          <w:sz w:val="28"/>
          <w:szCs w:val="28"/>
        </w:rPr>
        <w:t>（3）企业合并中有关交易费用的处理</w:t>
      </w:r>
    </w:p>
    <w:p w:rsidR="00B13593" w:rsidRPr="00054B06" w:rsidRDefault="00B13593" w:rsidP="00054B06">
      <w:pPr>
        <w:pStyle w:val="a3"/>
        <w:widowControl w:val="0"/>
        <w:spacing w:before="0" w:beforeAutospacing="0" w:after="0" w:afterAutospacing="0" w:line="560" w:lineRule="exact"/>
        <w:ind w:firstLineChars="200" w:firstLine="560"/>
        <w:jc w:val="both"/>
        <w:divId w:val="177813452"/>
        <w:rPr>
          <w:rFonts w:ascii="仿宋" w:eastAsia="仿宋" w:hAnsi="仿宋"/>
          <w:sz w:val="28"/>
          <w:szCs w:val="28"/>
        </w:rPr>
      </w:pPr>
      <w:r>
        <w:rPr>
          <w:rFonts w:ascii="仿宋" w:eastAsia="仿宋" w:hAnsi="仿宋" w:hint="eastAsia"/>
          <w:sz w:val="28"/>
          <w:szCs w:val="28"/>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p w:rsidR="00054B06" w:rsidRDefault="00B13F8C" w:rsidP="00054B06">
      <w:pPr>
        <w:pStyle w:val="a3"/>
        <w:widowControl w:val="0"/>
        <w:spacing w:before="0" w:beforeAutospacing="0" w:after="0" w:afterAutospacing="0" w:line="560" w:lineRule="exact"/>
        <w:ind w:firstLineChars="200" w:firstLine="562"/>
        <w:jc w:val="both"/>
        <w:divId w:val="1372801979"/>
        <w:rPr>
          <w:rFonts w:ascii="仿宋" w:eastAsia="仿宋" w:hAnsi="仿宋"/>
          <w:b/>
          <w:sz w:val="28"/>
          <w:szCs w:val="28"/>
        </w:rPr>
      </w:pPr>
      <w:bookmarkStart w:id="111" w:name="_Toc988999"/>
      <w:r w:rsidRPr="00054B06">
        <w:rPr>
          <w:rFonts w:ascii="仿宋" w:eastAsia="仿宋" w:hAnsi="仿宋"/>
          <w:b/>
          <w:sz w:val="28"/>
          <w:szCs w:val="28"/>
        </w:rPr>
        <w:lastRenderedPageBreak/>
        <w:t>6、合并财务报表的编制方法</w:t>
      </w:r>
      <w:bookmarkEnd w:id="111"/>
    </w:p>
    <w:p w:rsidR="00B13593" w:rsidRPr="00054B06" w:rsidRDefault="00B13593" w:rsidP="00054B06">
      <w:pPr>
        <w:pStyle w:val="a3"/>
        <w:widowControl w:val="0"/>
        <w:spacing w:before="0" w:beforeAutospacing="0" w:after="0" w:afterAutospacing="0" w:line="560" w:lineRule="exact"/>
        <w:ind w:firstLineChars="200" w:firstLine="562"/>
        <w:jc w:val="both"/>
        <w:divId w:val="1372801979"/>
        <w:rPr>
          <w:rFonts w:ascii="仿宋" w:eastAsia="仿宋" w:hAnsi="仿宋"/>
          <w:b/>
          <w:sz w:val="28"/>
          <w:szCs w:val="28"/>
        </w:rPr>
      </w:pPr>
      <w:r w:rsidRPr="00054B06">
        <w:rPr>
          <w:rFonts w:ascii="仿宋" w:eastAsia="仿宋" w:hAnsi="仿宋" w:hint="eastAsia"/>
          <w:b/>
          <w:sz w:val="28"/>
          <w:szCs w:val="28"/>
        </w:rPr>
        <w:t>（1）合并范围的确定</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合并财务报表的合并范围以控制为基础予以确定, 不仅包括根据表决权（或类似表决权）本身或者结合其他安排确定的子公司，也包括基于一项或多项合同安排决定的结构化主体。</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B13593" w:rsidRPr="00054B06" w:rsidRDefault="00B13593" w:rsidP="00054B06">
      <w:pPr>
        <w:pStyle w:val="a3"/>
        <w:widowControl w:val="0"/>
        <w:spacing w:before="0" w:beforeAutospacing="0" w:after="0" w:afterAutospacing="0" w:line="560" w:lineRule="exact"/>
        <w:ind w:firstLineChars="200" w:firstLine="562"/>
        <w:jc w:val="both"/>
        <w:divId w:val="1372801979"/>
        <w:rPr>
          <w:rFonts w:ascii="仿宋" w:eastAsia="仿宋" w:hAnsi="仿宋"/>
          <w:b/>
          <w:sz w:val="28"/>
          <w:szCs w:val="28"/>
        </w:rPr>
      </w:pPr>
      <w:r w:rsidRPr="00054B06">
        <w:rPr>
          <w:rFonts w:ascii="仿宋" w:eastAsia="仿宋" w:hAnsi="仿宋" w:hint="eastAsia"/>
          <w:b/>
          <w:sz w:val="28"/>
          <w:szCs w:val="28"/>
        </w:rPr>
        <w:t>（2）关于母公司是投资性主体的特殊规定</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当母公司同时满足下列条件时，该母公司属于投资性主体：</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①该公司是以向投资方提供投资管理服务为目的，从一个或多个投资者处获取资金。</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②该公司的唯一经营目的，是通过资本增值、投资收益或两者兼有而让投资者获得回报。</w:t>
      </w:r>
    </w:p>
    <w:p w:rsid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③该公司按照公允价值对几乎所有投资的业绩进行考量和评价。</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当母公司由非投资性主体转变为投资性主体时，除仅将为其投资活动提供相关服务的子公司纳入合并财务报表范围编制合并财务报表外，企业自转</w:t>
      </w:r>
      <w:r>
        <w:rPr>
          <w:rFonts w:ascii="仿宋" w:eastAsia="仿宋" w:hAnsi="仿宋" w:hint="eastAsia"/>
          <w:sz w:val="28"/>
          <w:szCs w:val="28"/>
        </w:rPr>
        <w:lastRenderedPageBreak/>
        <w:t>变日起对其他子公司不再予以合并，并参照部分处置子公司股权但未丧失控制权的原则处理。</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rsidR="00B13593" w:rsidRPr="00054B06" w:rsidRDefault="00B13593" w:rsidP="00054B06">
      <w:pPr>
        <w:pStyle w:val="a3"/>
        <w:widowControl w:val="0"/>
        <w:spacing w:before="0" w:beforeAutospacing="0" w:after="0" w:afterAutospacing="0" w:line="560" w:lineRule="exact"/>
        <w:ind w:firstLineChars="200" w:firstLine="562"/>
        <w:jc w:val="both"/>
        <w:divId w:val="1372801979"/>
        <w:rPr>
          <w:rFonts w:ascii="仿宋" w:eastAsia="仿宋" w:hAnsi="仿宋"/>
          <w:b/>
          <w:sz w:val="28"/>
          <w:szCs w:val="28"/>
        </w:rPr>
      </w:pPr>
      <w:r w:rsidRPr="00054B06">
        <w:rPr>
          <w:rFonts w:ascii="仿宋" w:eastAsia="仿宋" w:hAnsi="仿宋" w:hint="eastAsia"/>
          <w:b/>
          <w:sz w:val="28"/>
          <w:szCs w:val="28"/>
        </w:rPr>
        <w:t>（3）合并财务报表的编制方法</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本公司以自身和子公司的财务报表为基础，根据其他有关资料，编制合并财务报表。</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本公司编制合并财务报表，将整个企业集团视为一个会计主体，依据相关企业会计准则的确认、计量和列报要求，按照统一的会计政策和会计期间，反映企业集团整体财务状况、经营成果和现金流量。</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①合并母公司与子公司的资产、负债、所有者权益、收入、费用和现金流等项目。</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②抵销母公司对子公司的长期股权投资与母公司在子公司所有者权益中所享有的份额。</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③抵销母公司与子公司、子公司相互之间发生的内部交易的影响。内部交易表明相关资产发生减值损失的，应当全额确认该部分损失。</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④站在企业集团角度对特殊交易事项予以调整。</w:t>
      </w:r>
    </w:p>
    <w:p w:rsidR="00B13593" w:rsidRPr="00054B06" w:rsidRDefault="00B13593" w:rsidP="00054B06">
      <w:pPr>
        <w:pStyle w:val="a3"/>
        <w:widowControl w:val="0"/>
        <w:spacing w:before="0" w:beforeAutospacing="0" w:after="0" w:afterAutospacing="0" w:line="560" w:lineRule="exact"/>
        <w:ind w:firstLineChars="200" w:firstLine="562"/>
        <w:jc w:val="both"/>
        <w:divId w:val="1372801979"/>
        <w:rPr>
          <w:rFonts w:ascii="仿宋" w:eastAsia="仿宋" w:hAnsi="仿宋"/>
          <w:b/>
          <w:sz w:val="28"/>
          <w:szCs w:val="28"/>
        </w:rPr>
      </w:pPr>
      <w:r w:rsidRPr="00054B06">
        <w:rPr>
          <w:rFonts w:ascii="仿宋" w:eastAsia="仿宋" w:hAnsi="仿宋" w:hint="eastAsia"/>
          <w:b/>
          <w:sz w:val="28"/>
          <w:szCs w:val="28"/>
        </w:rPr>
        <w:t>（4）报告期内增减子公司的处理</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①增加子公司或业务</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A.同一控制下企业合并增加的子公司或业务</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（a）编制合并资产负债表时，调整合并资产负债表的期初数，同时对比较报表的相关项目进行调整，视同合并后的报告主体自最终控制方开始控制</w:t>
      </w:r>
      <w:r>
        <w:rPr>
          <w:rFonts w:ascii="仿宋" w:eastAsia="仿宋" w:hAnsi="仿宋" w:hint="eastAsia"/>
          <w:sz w:val="28"/>
          <w:szCs w:val="28"/>
        </w:rPr>
        <w:lastRenderedPageBreak/>
        <w:t>时点起一直存在。</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b）编制合并利润表时，将该子公司以及业务合并当期期初至报告期末的收入、费用、利润纳入合并利润表，同时对比较报表的相关项目进行调整，视同合并后的报告主体自最终控制方开始控制时点起一直存在。</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c）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B.非同一控制下企业合并增加的子公司或业务</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（a）编制合并资产负债表时，不调整合并资产负债表的期初数。</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（b）编制合并利润表时，将该子公司以及业务购买日至报告期末的收入、费用、利润纳入合并利润表。</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（c）编制合并现金流量表时，将该子公司购买日至报告期末的现金流量纳入合并现金流量表。</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②处置子公司或业务</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A.编制合并资产负债表时，不调整合并资产负债表的期初数。</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B.编制合并利润表时，将该子公司以及业务期初至处置日的收入、费用、利润纳入合并利润表。</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C.编制合并现金流量表时将该子公司以及业务期初至处置日的现金流量纳入合并现金流量表。</w:t>
      </w:r>
    </w:p>
    <w:p w:rsidR="00054B06" w:rsidRDefault="00B13593" w:rsidP="00054B06">
      <w:pPr>
        <w:pStyle w:val="a3"/>
        <w:widowControl w:val="0"/>
        <w:spacing w:before="0" w:beforeAutospacing="0" w:after="0" w:afterAutospacing="0" w:line="560" w:lineRule="exact"/>
        <w:ind w:firstLineChars="200" w:firstLine="562"/>
        <w:jc w:val="both"/>
        <w:divId w:val="1372801979"/>
        <w:rPr>
          <w:rFonts w:ascii="仿宋" w:eastAsia="仿宋" w:hAnsi="仿宋"/>
          <w:b/>
          <w:sz w:val="28"/>
          <w:szCs w:val="28"/>
        </w:rPr>
      </w:pPr>
      <w:r w:rsidRPr="00054B06">
        <w:rPr>
          <w:rFonts w:ascii="仿宋" w:eastAsia="仿宋" w:hAnsi="仿宋" w:hint="eastAsia"/>
          <w:b/>
          <w:sz w:val="28"/>
          <w:szCs w:val="28"/>
        </w:rPr>
        <w:t>（5）合并抵销中的特殊考虑</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①子公司持有本公司的长期股权投资，应当视为本公司的库存股，作为所有者权益的减项，在合并资产负债表中所有者权益项目下以“减：库存股”项目列示。</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子公司相互之间持有的长期股权投资，比照本公司对子公司的股权投资</w:t>
      </w:r>
      <w:r>
        <w:rPr>
          <w:rFonts w:ascii="仿宋" w:eastAsia="仿宋" w:hAnsi="仿宋" w:hint="eastAsia"/>
          <w:sz w:val="28"/>
          <w:szCs w:val="28"/>
        </w:rPr>
        <w:lastRenderedPageBreak/>
        <w:t>的抵销方法，将长期股权投资与其对应的子公司所有者权益中所享有的份额相互抵销。</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②“专项储备”和“一般风险准备”项目由于既不属于实收资本（或股本）、资本公积，也与留存收益、未分配利润不同，在长期股权投资与子公司所有者权益相互抵销后，按归属于母公司所有者的份额予以恢复。</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④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⑤子公司少数股东分担的当期亏损超过了少数股东在该子公司期初所有者权益中所享有的份额的，其余额仍应当冲减少数股东权益。</w:t>
      </w:r>
    </w:p>
    <w:p w:rsidR="00B13593" w:rsidRPr="00054B06" w:rsidRDefault="00B13593" w:rsidP="00054B06">
      <w:pPr>
        <w:pStyle w:val="a3"/>
        <w:widowControl w:val="0"/>
        <w:spacing w:before="0" w:beforeAutospacing="0" w:after="0" w:afterAutospacing="0" w:line="560" w:lineRule="exact"/>
        <w:ind w:firstLineChars="200" w:firstLine="562"/>
        <w:jc w:val="both"/>
        <w:divId w:val="1372801979"/>
        <w:rPr>
          <w:rFonts w:ascii="仿宋" w:eastAsia="仿宋" w:hAnsi="仿宋"/>
          <w:b/>
          <w:sz w:val="28"/>
          <w:szCs w:val="28"/>
        </w:rPr>
      </w:pPr>
      <w:r w:rsidRPr="00054B06">
        <w:rPr>
          <w:rFonts w:ascii="仿宋" w:eastAsia="仿宋" w:hAnsi="仿宋" w:hint="eastAsia"/>
          <w:b/>
          <w:sz w:val="28"/>
          <w:szCs w:val="28"/>
        </w:rPr>
        <w:t>（6）特殊交易的会计处理</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①购买少数股东股权</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w:t>
      </w:r>
      <w:r>
        <w:rPr>
          <w:rFonts w:ascii="仿宋" w:eastAsia="仿宋" w:hAnsi="仿宋" w:hint="eastAsia"/>
          <w:sz w:val="28"/>
          <w:szCs w:val="28"/>
        </w:rPr>
        <w:lastRenderedPageBreak/>
        <w:t>间的差额，应当调整资本公积（资本溢价或股本溢价），资本公积不足冲减的，依次冲减盈余公积和未分配利润。</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②通过多次交易分步取得子公司控制权的</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A.通过多次交易分步实现同一控制下企业合并</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溢价），资本公积不足冲减的，调整留存收益。</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B.通过多次交易分步实现非同一控制下企业合并</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在合并日，在个别财务报表中，按照原持有的长期股权投资的账面价值加上合并日新增投资成本之和，作为合并日长期股权投资的初始投资成本。</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在合并财务报表中，对于购买日之前持有的被购买方的股权，按照该股权在购买日的公允价值进行重新计量，公允价值与其账面价值的差额计入当</w:t>
      </w:r>
      <w:r>
        <w:rPr>
          <w:rFonts w:ascii="仿宋" w:eastAsia="仿宋" w:hAnsi="仿宋" w:hint="eastAsia"/>
          <w:sz w:val="28"/>
          <w:szCs w:val="28"/>
        </w:rPr>
        <w:lastRenderedPageBreak/>
        <w:t>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③本公司处置对子公司长期股权投资但未丧失控制权</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④本公司处置对子公司长期股权投资且丧失控制权</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A.一次交易处置</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与原子公司的股权投资相关的其他综合收益、其他所有者权益变动，在丧失控制权时转入当期损益，由于被投资方重新计量设定受益计划净负债或净资产变动而产生的其他综合收益除外。</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B.多次交易分步处置</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在合并财务报表中，应首先判断分步交易是否属于“一揽子交易”。</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如果分步交易不属于“一揽子交易”的，在个别财务报表中，对丧失子公司控制权之前的各项交易，结转每一次处置股权相对应的长期股权投资的</w:t>
      </w:r>
      <w:r>
        <w:rPr>
          <w:rFonts w:ascii="仿宋" w:eastAsia="仿宋" w:hAnsi="仿宋" w:hint="eastAsia"/>
          <w:sz w:val="28"/>
          <w:szCs w:val="28"/>
        </w:rPr>
        <w:lastRenderedPageBreak/>
        <w:t>账面价值，所得价款与处置长期股权投资账面价值之间的差额计入当期投资收益；在合并财务报表中，应按照“母公司处置对子公司长期股权投资但未丧失控制权”的有关规定处理。</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各项交易的条款、条件以及经济影响符合下列一种或多种情况的，通常将多次交易作为“一揽子交易”进行会计处理：</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（a）这些交易是同时或者在考虑了彼此影响的情况下订立的。</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（b）这些交易整体才能达成一项完整的商业结果。</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（c）一项交易的发生取决于其他至少一项交易的发生。</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（d）一项交易单独考虑时是不经济的，但是和其他交易一并考虑时是经济的。</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⑤因子公司的少数股东增资而稀释母公司拥有的股权比例</w:t>
      </w:r>
    </w:p>
    <w:p w:rsidR="00B13593" w:rsidRPr="00054B06" w:rsidRDefault="00B13593" w:rsidP="00054B06">
      <w:pPr>
        <w:pStyle w:val="a3"/>
        <w:widowControl w:val="0"/>
        <w:spacing w:before="0" w:beforeAutospacing="0" w:after="0" w:afterAutospacing="0" w:line="560" w:lineRule="exact"/>
        <w:ind w:firstLineChars="200" w:firstLine="560"/>
        <w:jc w:val="both"/>
        <w:divId w:val="1372801979"/>
        <w:rPr>
          <w:rFonts w:ascii="仿宋" w:eastAsia="仿宋" w:hAnsi="仿宋"/>
          <w:sz w:val="28"/>
          <w:szCs w:val="28"/>
        </w:rPr>
      </w:pPr>
      <w:r>
        <w:rPr>
          <w:rFonts w:ascii="仿宋" w:eastAsia="仿宋" w:hAnsi="仿宋" w:hint="eastAsia"/>
          <w:sz w:val="28"/>
          <w:szCs w:val="28"/>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2" w:name="_Toc989000"/>
      <w:r w:rsidRPr="00054B06">
        <w:rPr>
          <w:rFonts w:ascii="仿宋" w:eastAsia="仿宋" w:hAnsi="仿宋"/>
          <w:b/>
          <w:sz w:val="28"/>
          <w:szCs w:val="28"/>
        </w:rPr>
        <w:lastRenderedPageBreak/>
        <w:t>7、合营安排分类及共同经营会计处理方法</w:t>
      </w:r>
      <w:bookmarkEnd w:id="112"/>
    </w:p>
    <w:p w:rsidR="00B13593" w:rsidRDefault="00B13593" w:rsidP="00054B06">
      <w:pPr>
        <w:pStyle w:val="a3"/>
        <w:widowControl w:val="0"/>
        <w:spacing w:before="0" w:beforeAutospacing="0" w:after="0" w:afterAutospacing="0" w:line="560" w:lineRule="exact"/>
        <w:ind w:firstLine="200"/>
        <w:jc w:val="both"/>
        <w:divId w:val="943683602"/>
      </w:pPr>
      <w:r>
        <w:rPr>
          <w:rFonts w:ascii="仿宋" w:eastAsia="仿宋" w:hAnsi="仿宋" w:hint="eastAsia"/>
          <w:sz w:val="28"/>
          <w:szCs w:val="28"/>
        </w:rPr>
        <w:t>合营安排，是指一项由两个或两个以上的参与方共同控制的安排。本公司合营安排分为共同经营和合营企业。</w:t>
      </w:r>
    </w:p>
    <w:p w:rsidR="00054B06" w:rsidRDefault="00B13593" w:rsidP="00054B06">
      <w:pPr>
        <w:pStyle w:val="a3"/>
        <w:widowControl w:val="0"/>
        <w:spacing w:before="0" w:beforeAutospacing="0" w:after="0" w:afterAutospacing="0" w:line="560" w:lineRule="exact"/>
        <w:ind w:firstLineChars="200" w:firstLine="562"/>
        <w:jc w:val="both"/>
        <w:divId w:val="943683602"/>
        <w:rPr>
          <w:rFonts w:ascii="仿宋" w:eastAsia="仿宋" w:hAnsi="仿宋"/>
          <w:b/>
          <w:sz w:val="28"/>
          <w:szCs w:val="28"/>
        </w:rPr>
      </w:pPr>
      <w:r w:rsidRPr="00054B06">
        <w:rPr>
          <w:rFonts w:ascii="仿宋" w:eastAsia="仿宋" w:hAnsi="仿宋" w:hint="eastAsia"/>
          <w:b/>
          <w:sz w:val="28"/>
          <w:szCs w:val="28"/>
        </w:rPr>
        <w:t>（1）共同经营</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b/>
          <w:sz w:val="28"/>
          <w:szCs w:val="28"/>
        </w:rPr>
      </w:pPr>
      <w:r>
        <w:rPr>
          <w:rFonts w:ascii="仿宋" w:eastAsia="仿宋" w:hAnsi="仿宋" w:hint="eastAsia"/>
          <w:sz w:val="28"/>
          <w:szCs w:val="28"/>
        </w:rPr>
        <w:t>共同经营是指本公司享有该安排相关资产且承担该安排相关负债的合营安排。</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本公司确认其与共同经营中利益份额相关的下列项目，并按照相关企业会计准则的规定进行会计处理：</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①确认单独所持有的资产，以及按其份额确认共同持有的资产；</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②确认单独所承担的负债，以及按其份额确认共同承担的负债；</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③确认出售其享有的共同经营产出份额所产生的收入；</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④按其份额确认共同经营因出售产出所产生的收入；</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⑤确认单独所发生的费用，以及按其份额确认共同经营发生的费用。</w:t>
      </w:r>
    </w:p>
    <w:p w:rsidR="00B13593" w:rsidRPr="00054B06" w:rsidRDefault="00B13593" w:rsidP="00054B06">
      <w:pPr>
        <w:pStyle w:val="a3"/>
        <w:widowControl w:val="0"/>
        <w:spacing w:before="0" w:beforeAutospacing="0" w:after="0" w:afterAutospacing="0" w:line="560" w:lineRule="exact"/>
        <w:ind w:firstLineChars="200" w:firstLine="562"/>
        <w:jc w:val="both"/>
        <w:divId w:val="943683602"/>
        <w:rPr>
          <w:rFonts w:ascii="仿宋" w:eastAsia="仿宋" w:hAnsi="仿宋"/>
          <w:b/>
          <w:sz w:val="28"/>
          <w:szCs w:val="28"/>
        </w:rPr>
      </w:pPr>
      <w:r w:rsidRPr="00054B06">
        <w:rPr>
          <w:rFonts w:ascii="仿宋" w:eastAsia="仿宋" w:hAnsi="仿宋" w:hint="eastAsia"/>
          <w:b/>
          <w:sz w:val="28"/>
          <w:szCs w:val="28"/>
        </w:rPr>
        <w:t>（2）合营企业</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合营企业是指本公司仅对该安排的净资产享有权利的合营安排。</w:t>
      </w:r>
    </w:p>
    <w:p w:rsidR="00B13593" w:rsidRPr="00054B06" w:rsidRDefault="00B13593" w:rsidP="00054B06">
      <w:pPr>
        <w:pStyle w:val="a3"/>
        <w:widowControl w:val="0"/>
        <w:spacing w:before="0" w:beforeAutospacing="0" w:after="0" w:afterAutospacing="0" w:line="560" w:lineRule="exact"/>
        <w:ind w:firstLineChars="200" w:firstLine="560"/>
        <w:jc w:val="both"/>
        <w:divId w:val="943683602"/>
        <w:rPr>
          <w:rFonts w:ascii="仿宋" w:eastAsia="仿宋" w:hAnsi="仿宋"/>
          <w:sz w:val="28"/>
          <w:szCs w:val="28"/>
        </w:rPr>
      </w:pPr>
      <w:r>
        <w:rPr>
          <w:rFonts w:ascii="仿宋" w:eastAsia="仿宋" w:hAnsi="仿宋" w:hint="eastAsia"/>
          <w:sz w:val="28"/>
          <w:szCs w:val="28"/>
        </w:rPr>
        <w:t>本公司按照长期股权投资有关权益法核算的规定对合营企业的投资进行会计处理。</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3" w:name="_Toc989001"/>
      <w:r w:rsidRPr="00054B06">
        <w:rPr>
          <w:rFonts w:ascii="仿宋" w:eastAsia="仿宋" w:hAnsi="仿宋"/>
          <w:b/>
          <w:sz w:val="28"/>
          <w:szCs w:val="28"/>
        </w:rPr>
        <w:t>8、现金及现金等价物的确定标准</w:t>
      </w:r>
      <w:bookmarkEnd w:id="113"/>
    </w:p>
    <w:p w:rsidR="00B13593" w:rsidRPr="00054B06" w:rsidRDefault="00B13593" w:rsidP="00054B06">
      <w:pPr>
        <w:pStyle w:val="a3"/>
        <w:widowControl w:val="0"/>
        <w:spacing w:before="0" w:beforeAutospacing="0" w:after="0" w:afterAutospacing="0" w:line="560" w:lineRule="exact"/>
        <w:ind w:firstLineChars="200" w:firstLine="560"/>
        <w:jc w:val="both"/>
        <w:divId w:val="1622803199"/>
        <w:rPr>
          <w:rFonts w:ascii="仿宋" w:eastAsia="仿宋" w:hAnsi="仿宋"/>
          <w:sz w:val="28"/>
          <w:szCs w:val="28"/>
        </w:rPr>
      </w:pPr>
      <w:r w:rsidRPr="00054B06">
        <w:rPr>
          <w:rFonts w:ascii="仿宋" w:eastAsia="仿宋" w:hAnsi="仿宋" w:hint="eastAsia"/>
          <w:sz w:val="28"/>
          <w:szCs w:val="28"/>
        </w:rPr>
        <w:t>现金指企业库存现金及可以随时用于支付的存款。现金等价物指持有的期限短（一般是指从购买日起三个月内到期）、流动性强、易于转换为已知金额现金、价值变动风险很小的投资。</w:t>
      </w:r>
    </w:p>
    <w:p w:rsidR="00B13593" w:rsidRPr="00054B06" w:rsidRDefault="00B13F8C" w:rsidP="00054B06">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4" w:name="_Toc989002"/>
      <w:r w:rsidRPr="00054B06">
        <w:rPr>
          <w:rFonts w:ascii="仿宋" w:eastAsia="仿宋" w:hAnsi="仿宋"/>
          <w:b/>
          <w:sz w:val="28"/>
          <w:szCs w:val="28"/>
        </w:rPr>
        <w:t>9、外币业务和外币报表折算</w:t>
      </w:r>
      <w:bookmarkEnd w:id="114"/>
    </w:p>
    <w:p w:rsidR="00B13593" w:rsidRPr="00054B06" w:rsidRDefault="00B13593" w:rsidP="00054B06">
      <w:pPr>
        <w:pStyle w:val="a3"/>
        <w:widowControl w:val="0"/>
        <w:spacing w:before="0" w:beforeAutospacing="0" w:after="0" w:afterAutospacing="0" w:line="560" w:lineRule="exact"/>
        <w:ind w:firstLineChars="200" w:firstLine="562"/>
        <w:jc w:val="both"/>
        <w:divId w:val="1765295438"/>
        <w:rPr>
          <w:rFonts w:ascii="仿宋" w:eastAsia="仿宋" w:hAnsi="仿宋"/>
          <w:b/>
          <w:sz w:val="28"/>
          <w:szCs w:val="28"/>
        </w:rPr>
      </w:pPr>
      <w:r w:rsidRPr="00054B06">
        <w:rPr>
          <w:rFonts w:ascii="仿宋" w:eastAsia="仿宋" w:hAnsi="仿宋" w:hint="eastAsia"/>
          <w:b/>
          <w:sz w:val="28"/>
          <w:szCs w:val="28"/>
        </w:rPr>
        <w:t>（1）外币交易时折算汇率的确定方法</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t>本公司外币交易初始确认时采用交易发生日的即期汇率或采用按照系统</w:t>
      </w:r>
      <w:r w:rsidRPr="00054B06">
        <w:rPr>
          <w:rFonts w:ascii="仿宋" w:eastAsia="仿宋" w:hAnsi="仿宋" w:hint="eastAsia"/>
          <w:sz w:val="28"/>
          <w:szCs w:val="28"/>
        </w:rPr>
        <w:lastRenderedPageBreak/>
        <w:t>合理的方法确定的、与交易发生日即期汇率近似的汇率（以下简称即期汇率的近似汇率）折算为记账本位币。</w:t>
      </w:r>
    </w:p>
    <w:p w:rsidR="00B13593" w:rsidRPr="00054B06" w:rsidRDefault="00B13593" w:rsidP="00054B06">
      <w:pPr>
        <w:pStyle w:val="a3"/>
        <w:widowControl w:val="0"/>
        <w:spacing w:before="0" w:beforeAutospacing="0" w:after="0" w:afterAutospacing="0" w:line="560" w:lineRule="exact"/>
        <w:ind w:firstLineChars="200" w:firstLine="562"/>
        <w:jc w:val="both"/>
        <w:divId w:val="1765295438"/>
        <w:rPr>
          <w:rFonts w:ascii="仿宋" w:eastAsia="仿宋" w:hAnsi="仿宋"/>
          <w:b/>
          <w:sz w:val="28"/>
          <w:szCs w:val="28"/>
        </w:rPr>
      </w:pPr>
      <w:r w:rsidRPr="00054B06">
        <w:rPr>
          <w:rFonts w:ascii="仿宋" w:eastAsia="仿宋" w:hAnsi="仿宋" w:hint="eastAsia"/>
          <w:b/>
          <w:sz w:val="28"/>
          <w:szCs w:val="28"/>
        </w:rPr>
        <w:t>（2）资产负债表日外币货币性项目的折算方法</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t>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p w:rsidR="00B13593" w:rsidRPr="00054B06" w:rsidRDefault="00B13593" w:rsidP="00054B06">
      <w:pPr>
        <w:pStyle w:val="a3"/>
        <w:widowControl w:val="0"/>
        <w:spacing w:before="0" w:beforeAutospacing="0" w:after="0" w:afterAutospacing="0" w:line="560" w:lineRule="exact"/>
        <w:ind w:firstLineChars="200" w:firstLine="562"/>
        <w:jc w:val="both"/>
        <w:divId w:val="1765295438"/>
        <w:rPr>
          <w:rFonts w:ascii="仿宋" w:eastAsia="仿宋" w:hAnsi="仿宋"/>
          <w:b/>
          <w:sz w:val="28"/>
          <w:szCs w:val="28"/>
        </w:rPr>
      </w:pPr>
      <w:r w:rsidRPr="00054B06">
        <w:rPr>
          <w:rFonts w:ascii="仿宋" w:eastAsia="仿宋" w:hAnsi="仿宋" w:hint="eastAsia"/>
          <w:b/>
          <w:sz w:val="28"/>
          <w:szCs w:val="28"/>
        </w:rPr>
        <w:t>（3）外币报表折算方法</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t>①资产负债表中的资产和负债项目，采用资产负债表日的即期汇率折算，所有者权益项目除“未分配利润”项目外，其他项目采用发生时的即期汇率折算。</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t>②利润表中的收入和费用项目，采用交易发生日的即期汇率或即期汇率的近似汇率折算。</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t>③外币现金流量以及境外子公司的现金流量，采用现金流量发生日的即期汇率或即期汇率的近似汇率折算。汇率变动对现金的影响额应当作为调节项目，在现金流量表中单独列报。</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t>④产生的外币财务报表折算差额，在编制合并财务报表时，在合并资产负债表中所有者权益项目下单独列示“其他综合收益”。</w:t>
      </w:r>
    </w:p>
    <w:p w:rsidR="00B13593" w:rsidRPr="00054B06" w:rsidRDefault="00B13593" w:rsidP="00054B06">
      <w:pPr>
        <w:pStyle w:val="a3"/>
        <w:widowControl w:val="0"/>
        <w:spacing w:before="0" w:beforeAutospacing="0" w:after="0" w:afterAutospacing="0" w:line="560" w:lineRule="exact"/>
        <w:ind w:firstLineChars="200" w:firstLine="560"/>
        <w:jc w:val="both"/>
        <w:divId w:val="1765295438"/>
        <w:rPr>
          <w:rFonts w:ascii="仿宋" w:eastAsia="仿宋" w:hAnsi="仿宋"/>
          <w:sz w:val="28"/>
          <w:szCs w:val="28"/>
        </w:rPr>
      </w:pPr>
      <w:r w:rsidRPr="00054B06">
        <w:rPr>
          <w:rFonts w:ascii="仿宋" w:eastAsia="仿宋" w:hAnsi="仿宋" w:hint="eastAsia"/>
          <w:sz w:val="28"/>
          <w:szCs w:val="28"/>
        </w:rPr>
        <w:lastRenderedPageBreak/>
        <w:t>处置境外经营并丧失控制权时，将资产负债表中所有者权益项目下列示的、与该境外经营相关的外币报表折算差额，全部或按处置该境外经营的比例转入处置当期损益。</w:t>
      </w:r>
    </w:p>
    <w:p w:rsidR="00B13593" w:rsidRPr="00054B06"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115" w:name="_Toc989003"/>
      <w:r w:rsidRPr="00054B06">
        <w:rPr>
          <w:rStyle w:val="a4"/>
          <w:rFonts w:ascii="仿宋" w:eastAsia="仿宋" w:hAnsi="仿宋"/>
          <w:sz w:val="28"/>
          <w:szCs w:val="28"/>
        </w:rPr>
        <w:t>10、金融工具</w:t>
      </w:r>
      <w:bookmarkEnd w:id="115"/>
    </w:p>
    <w:p w:rsidR="00B13593" w:rsidRPr="00054B06" w:rsidRDefault="00B13593" w:rsidP="00121252">
      <w:pPr>
        <w:pStyle w:val="a3"/>
        <w:widowControl w:val="0"/>
        <w:spacing w:before="0" w:beforeAutospacing="0" w:after="0" w:afterAutospacing="0" w:line="560" w:lineRule="exact"/>
        <w:ind w:firstLineChars="200" w:firstLine="560"/>
        <w:jc w:val="both"/>
        <w:divId w:val="1972638116"/>
        <w:rPr>
          <w:rFonts w:ascii="仿宋" w:eastAsia="仿宋" w:hAnsi="仿宋"/>
          <w:sz w:val="28"/>
          <w:szCs w:val="28"/>
        </w:rPr>
      </w:pPr>
      <w:r>
        <w:rPr>
          <w:rFonts w:ascii="仿宋" w:eastAsia="仿宋" w:hAnsi="仿宋" w:hint="eastAsia"/>
          <w:sz w:val="28"/>
          <w:szCs w:val="28"/>
        </w:rPr>
        <w:t>金融工具，是指形成一方的金融资产并形成其他方的金融负债或权益工具的合同。</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（1）金融工具的确认和终止确认</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当本公司成为金融工具合同的一方时，确认相关的金融资产或金融负债。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金融资产满足下列条件之一的，终止确认：</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①收取该金融资产现金流量的合同权利终止；</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②该金融资产已转移，且符合下述金融资产转移的终止确认条件。</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（2）金融资产的分类与计量</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w:t>
      </w:r>
      <w:r>
        <w:rPr>
          <w:rFonts w:ascii="仿宋" w:eastAsia="仿宋" w:hAnsi="仿宋" w:hint="eastAsia"/>
          <w:sz w:val="28"/>
          <w:szCs w:val="28"/>
        </w:rPr>
        <w:lastRenderedPageBreak/>
        <w:t>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金融资产的后续计量取决于其分类：</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①以摊余成本计量的金融资产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②以公允价值计量且其变动计入其他综合收益的金融资产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w:t>
      </w:r>
      <w:r>
        <w:rPr>
          <w:rFonts w:ascii="仿宋" w:eastAsia="仿宋" w:hAnsi="仿宋" w:hint="eastAsia"/>
          <w:sz w:val="28"/>
          <w:szCs w:val="28"/>
        </w:rPr>
        <w:lastRenderedPageBreak/>
        <w:t>但是采用实际利率法计算的该金融资产的相关利息收入计入当期损益。</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③以公允价值计量且其变动计入当期损益的金融资产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（3）金融负债的分类与计量</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本公司将金融负债分类为以公允价值计量且其变动计入当期损益的金融负债、低于市场利率贷款的贷款承诺及财务担保合同负债及以摊余成本计量的金融负债。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金融负债的后续计量取决于其分类：</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①以公允价值计量且其变动计入当期损益的金融负债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lastRenderedPageBreak/>
        <w:t>②贷款承诺及财务担保合同负债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贷款承诺是本公司向客户提供的一项在承诺期间内以既定的合同条款向客户发放贷款的承诺。贷款承诺按照预期信用损失模型计提减值损失。</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③以摊余成本计量的金融负债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初始确认后，对其他金融负债采用实际利率法以摊余成本计量。</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除特殊情况外，金融负债与权益工具按照下列原则进行区分：</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w:t>
      </w:r>
      <w:r>
        <w:rPr>
          <w:rFonts w:ascii="仿宋" w:eastAsia="仿宋" w:hAnsi="仿宋" w:hint="eastAsia"/>
          <w:sz w:val="28"/>
          <w:szCs w:val="28"/>
        </w:rPr>
        <w:lastRenderedPageBreak/>
        <w:t>格）的变动而变动，该合同分类为金融负债。</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（4）衍生金融工具及嵌入衍生工具</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衍生金融工具以衍生交易合同签订当日的公允价值进行初始计量，并以其公允价值进行后续计量。公允价值为正数的衍生金融工具确认为一项资产，公允价值为负数的确认为一项负债。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除现金流量套期中属于套期有效的部分计入其他综合收益并于被套期项目影响损益时转出计入当期损益之外，衍生工具公允价值变动而产生的利得或损失，直接计入当期损益。</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（5）金融工具减值</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本公司对于以摊余成本计量的金融资产、以公允价值计量且其变动计入其他综合收益的债权投资、合同资产、租赁应收款、贷款承诺及财务担保合同等，以预期信用损失为基础确认损失准备。</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①预期信用损失的计量</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w:t>
      </w:r>
      <w:r>
        <w:rPr>
          <w:rFonts w:ascii="仿宋" w:eastAsia="仿宋" w:hAnsi="仿宋" w:hint="eastAsia"/>
          <w:sz w:val="28"/>
          <w:szCs w:val="28"/>
        </w:rPr>
        <w:lastRenderedPageBreak/>
        <w:t>的现值。其中，对于本公司购买或源生的已发生信用减值的金融资产，应按照该金融资产经信用调整的实际利率折现。</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整个存续期预期信用损失，是指因金融工具整个预计存续期内所有可能发生的违约事件而导致的预期信用损失。</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未来12个月内预期信用损失，是指因资产负债表日后12个月内（若金融工具的预计存续期少于12个月，则为预计存续期）可能发生的金融工具违约事件而导致的预期信用损失，是整个存续期预期信用损失的一部分。</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于每个资产负债表日，本公司对于处于不同阶段的金融工具的预期信用损失分别进行计量。金融工具自初始确认后信用风险未显著增加的，处于第一阶段，本公司按照未来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对于在资产负债表日具有较低信用风险的金融工具，本公司假设其信用风险自初始确认后并未显著增加，按照未来12个月内的预期信用损失计量损失准备。</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对于应收票据、应收账款、应收款项融资及合同资产，无论是否存在重大融资成分，本公司均按照整个存续期的预期信用损失计量损失准备。</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A.应收款项</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lastRenderedPageBreak/>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应收款项融资及长期应收款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应收票据确定组合的依据如下：</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应收票据确定组合的依据如下：</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应收票据组合1</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商业承兑汇票</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应收票据组合2</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银行承兑汇票</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对于划分为组合的应收票据，本公司参考历史信用损失经验，结合当前状况以及对未来经济状况的预测，通过违约风险敞口和整个存续期预期信用损失率，计算预期信用损失。</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应收账款确定组合的依据如下：</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应收账款组合1</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应收军工总装客户</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应收账款组合2</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应收军工总装企业外其他客户</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对于划分为组合的应收账款，本公司参考历史信用损失经验，结合当前状况以及对未来经济状况的预测，编制应收账款账龄与整个存续期预期信用损失率对照表，计算预期信用损失。</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其他应收款确定组合的依据如下：</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其他应收款组合1</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应收利息</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其他应收款组合2</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应收股利</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其他应收款组合3</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个人借支备用金</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lastRenderedPageBreak/>
        <w:t>其他应收款组合4</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应收押金和保证金</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其他应收款组合5</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应收合并范围内关联方</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其他应收款组合6</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应收其他往来款项</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对于划分为组合的其他应收款，本公司参考历史信用损失经验，结合当前状况以及对未来经济状况的预测，通过违约风险敞口和未来 12 个月内或整个存续期预期信用损失率，计算预期信用损失。</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长期应收款确定组合的依据如下：</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长期应收款组合1</w:t>
      </w:r>
      <w:r>
        <w:rPr>
          <w:rFonts w:hint="eastAsia"/>
          <w:sz w:val="28"/>
          <w:szCs w:val="28"/>
        </w:rPr>
        <w:t> </w:t>
      </w:r>
      <w:r>
        <w:rPr>
          <w:rFonts w:ascii="仿宋" w:eastAsia="仿宋" w:hAnsi="仿宋" w:cs="仿宋" w:hint="eastAsia"/>
          <w:sz w:val="28"/>
          <w:szCs w:val="28"/>
        </w:rPr>
        <w:t xml:space="preserve"> </w:t>
      </w:r>
      <w:r>
        <w:rPr>
          <w:rFonts w:ascii="仿宋" w:eastAsia="仿宋" w:hAnsi="仿宋" w:hint="eastAsia"/>
          <w:sz w:val="28"/>
          <w:szCs w:val="28"/>
        </w:rPr>
        <w:t>应收融资租赁款</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对于划分为组合1的长期应收款，本公司参考历史信用损失经验，结合当前状况以及对未来经济状况的预测，通过违约风险敞口和整个存续期预期信用损失率，计算预期信用损失。</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B.债权投资、其他债权投资</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对于债权投资和其他债权投资，本公司按照投资的性质，根据交易对手和风险敞口的各种类型，通过违约风险敞口和未来 12 个月内或整个存续期预期信用损失率，计算预期信用损失。</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②具有较低的信用风险</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③信用风险显著增加</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w:t>
      </w:r>
      <w:r>
        <w:rPr>
          <w:rFonts w:ascii="仿宋" w:eastAsia="仿宋" w:hAnsi="仿宋" w:hint="eastAsia"/>
          <w:sz w:val="28"/>
          <w:szCs w:val="28"/>
        </w:rPr>
        <w:lastRenderedPageBreak/>
        <w:t>认后是否已显著增加。</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在确定信用风险自初始确认后是否显著增加时，本公司考虑无须付出不必要的额外成本或努力即可获得的合理且有依据的信息，包括前瞻性信息。本公司考虑的信息包括：</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A.信用风险变化所导致的内部价格指标是否发生显著变化；</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B.预期将导致债务人履行其偿债义务的能力是否发生显著变化的业务、财务或经济状况的不利变化；</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C.债务人经营成果实际或预期是否发生显著变化；债务人所处的监管、经济或技术环境是否发生显著不利变化；</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D.作为债务抵押的担保物价值或第三方提供的担保或信用增级质量是否发生显著变化。这些变化预期将降低债务人按合同规定期限还款的经济动机或者影响违约概率；</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E.预期将降低债务人按合同约定期限还款的经济动机是否发生显著变化；</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F.借款合同的预期变更，包括预计违反合同的行为是否可能导致的合同义务的免除或修订、给予免息期、利率跳升、要求追加抵押品或担保或者对金融工具的合同框架做出其他变更；</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G.债务人预期表现和还款行为是否发生显著变化；</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H.合同付款是否发生逾期超过（含）30日。</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w:t>
      </w:r>
      <w:r>
        <w:rPr>
          <w:rFonts w:ascii="仿宋" w:eastAsia="仿宋" w:hAnsi="仿宋" w:hint="eastAsia"/>
          <w:sz w:val="28"/>
          <w:szCs w:val="28"/>
        </w:rPr>
        <w:lastRenderedPageBreak/>
        <w:t>未显著增加。</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④已发生信用减值的金融资产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⑤预期信用损失准备的列报</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⑥核销</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lastRenderedPageBreak/>
        <w:t>已减记的金融资产以后又收回的，作为减值损失的转回计入收回当期的损益。</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（6）金融资产转移</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金融资产转移是指下列两种情形：</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A.将收取金融资产现金流量的合同权利转移给另一方；</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B.将金融资产整体或部分转移给另一方，但保留收取金融资产现金流量的合同权利，并承担将收取的现金流量支付给一个或多个收款方的合同义务。</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①终止确认所转移的金融资产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已将金融资产所有权上几乎所有的风险和报酬转移给转入方的，或既没有转移也没有保留金融资产所有权上几乎所有的风险和报酬的，但放弃了对该金融资产控制的，终止确认该金融资产。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本公司在判断金融资产转移是否满足金融资产终止确认条件时，注重金融资产转移的实质。</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金融资产整体转移满足终止确认条件的，将下列两项金额的差额计入当期损益：</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A.所转移金融资产的账面价值；</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B.因转移而收到的对价，与原直接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和。</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lastRenderedPageBreak/>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A.终止确认部分在终止确认日的账面价值；</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B.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和。</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②继续涉入所转移的金融资产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既没有转移也没有保留金融资产所有权上几乎所有的风险和报酬的，且未放弃对该金融资产控制的，应当按照其继续涉入所转移金融资产的程度确认有关金融资产，并相应确认有关负债。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继续涉入所转移金融资产的程度，是指企业承担的被转移金融资产价值变动风险或报酬的程度。</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③继续确认所转移的金融资产</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仍保留与所转移金融资产所有权上几乎所有的风险和报酬的，应当继续确认所转移金融资产整体，并将收到的对价确认为一项金融负债。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该金融资产与确认的相关金融负债不得相互抵销。在随后的会计期间，企业应当继续确认该金融资产产生的收入（或利得）和该金融负债产生的费用（或损失）。</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（7）金融资产和金融负债的抵销</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金融资产和金融负债应当在资产负债表内分别列示，不得相互抵销。但同时满足下列条件的，以相互抵销后的净额在资产负债表内列示：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lastRenderedPageBreak/>
        <w:t>本公司具有抵销已确认金额的法定权利，且该种法定权利是当前可执行的；</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本公司计划以净额结算，或同时变现该金融资产和清偿该金融负债。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不满足终止确认条件的金融资产转移，转出方不得将已转移的金融资产和相关负债进行抵销。</w:t>
      </w:r>
    </w:p>
    <w:p w:rsidR="00B13593" w:rsidRDefault="00B13593" w:rsidP="00121252">
      <w:pPr>
        <w:pStyle w:val="a3"/>
        <w:widowControl w:val="0"/>
        <w:spacing w:before="0" w:beforeAutospacing="0" w:after="0" w:afterAutospacing="0" w:line="560" w:lineRule="exact"/>
        <w:ind w:firstLineChars="200" w:firstLine="562"/>
        <w:jc w:val="both"/>
        <w:divId w:val="1972638116"/>
      </w:pPr>
      <w:r>
        <w:rPr>
          <w:rStyle w:val="a4"/>
          <w:rFonts w:ascii="仿宋" w:eastAsia="仿宋" w:hAnsi="仿宋" w:hint="eastAsia"/>
          <w:sz w:val="28"/>
          <w:szCs w:val="28"/>
        </w:rPr>
        <w:t>（8）金融工具公允价值的确定方法</w:t>
      </w:r>
    </w:p>
    <w:p w:rsidR="00B13593" w:rsidRPr="00054B06" w:rsidRDefault="00B13593" w:rsidP="00121252">
      <w:pPr>
        <w:pStyle w:val="a3"/>
        <w:widowControl w:val="0"/>
        <w:spacing w:before="0" w:beforeAutospacing="0" w:after="0" w:afterAutospacing="0" w:line="560" w:lineRule="exact"/>
        <w:ind w:firstLineChars="200" w:firstLine="560"/>
        <w:jc w:val="both"/>
        <w:divId w:val="1972638116"/>
        <w:rPr>
          <w:rFonts w:ascii="仿宋" w:eastAsia="仿宋" w:hAnsi="仿宋"/>
          <w:sz w:val="28"/>
          <w:szCs w:val="28"/>
        </w:rPr>
      </w:pPr>
      <w:r>
        <w:rPr>
          <w:rFonts w:ascii="仿宋" w:eastAsia="仿宋" w:hAnsi="仿宋" w:hint="eastAsia"/>
          <w:sz w:val="28"/>
          <w:szCs w:val="28"/>
        </w:rPr>
        <w:t>公允价值是指市场参与者在计量日发生的有序交易中，出售一项资产所能收到或者转移一项负债所需支付的价格。</w:t>
      </w:r>
    </w:p>
    <w:p w:rsidR="00B13593" w:rsidRPr="00054B06" w:rsidRDefault="00B13593" w:rsidP="00121252">
      <w:pPr>
        <w:pStyle w:val="a3"/>
        <w:widowControl w:val="0"/>
        <w:spacing w:before="0" w:beforeAutospacing="0" w:after="0" w:afterAutospacing="0" w:line="560" w:lineRule="exact"/>
        <w:ind w:firstLineChars="200" w:firstLine="560"/>
        <w:jc w:val="both"/>
        <w:divId w:val="1972638116"/>
        <w:rPr>
          <w:rFonts w:ascii="仿宋" w:eastAsia="仿宋" w:hAnsi="仿宋"/>
          <w:sz w:val="28"/>
          <w:szCs w:val="28"/>
        </w:rPr>
      </w:pPr>
      <w:r>
        <w:rPr>
          <w:rFonts w:ascii="仿宋" w:eastAsia="仿宋" w:hAnsi="仿宋" w:hint="eastAsia"/>
          <w:sz w:val="28"/>
          <w:szCs w:val="28"/>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主要市场，是指相关资产或负债交易量最大和交易活跃程度最高的市场；最有利市场，是指在考虑交易费用和运输费用后，能够以最高金额出售相关资产或者以最低金额转移相关负债的市场。</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存在活跃市场的金融资产或金融负债，本公司采用活跃市场中的报价确定其公允价值。金融工具不存在活跃市场的，本公司采用估值技术确定其公允价值。</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以公允价值计量非金融资产的，考虑市场参与者将该资产用于最佳用途产生经济利益的能力，或者将该资产出售给能够用于最佳用途的其他市场参与者产生经济利益的能力。</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①估值技术</w:t>
      </w:r>
    </w:p>
    <w:p w:rsidR="00B13593" w:rsidRDefault="00B13593" w:rsidP="00121252">
      <w:pPr>
        <w:pStyle w:val="a3"/>
        <w:widowControl w:val="0"/>
        <w:spacing w:before="0" w:beforeAutospacing="0" w:after="0" w:afterAutospacing="0" w:line="560" w:lineRule="exact"/>
        <w:ind w:firstLineChars="200" w:firstLine="560"/>
        <w:jc w:val="both"/>
        <w:divId w:val="1972638116"/>
      </w:pPr>
      <w:r>
        <w:rPr>
          <w:rFonts w:ascii="仿宋" w:eastAsia="仿宋" w:hAnsi="仿宋" w:hint="eastAsia"/>
          <w:sz w:val="28"/>
          <w:szCs w:val="28"/>
        </w:rPr>
        <w:t>本公司采用在当期情况下适用并且有足够可利用数据和其他信息支持的估值技术，使用的估值技术主要包括市场法、收益法和成本法。本公司使用</w:t>
      </w:r>
      <w:r>
        <w:rPr>
          <w:rFonts w:ascii="仿宋" w:eastAsia="仿宋" w:hAnsi="仿宋" w:hint="eastAsia"/>
          <w:sz w:val="28"/>
          <w:szCs w:val="28"/>
        </w:rPr>
        <w:lastRenderedPageBreak/>
        <w:t>与其中一种或多种估值技术相一致的方法计量公允价值，使用多种估值技术计量公允价值的，考虑各估值结果的合理性，选取在当期情况下最能代表公允价值的金额作为公允价值。</w:t>
      </w:r>
    </w:p>
    <w:p w:rsidR="00B13593" w:rsidRPr="00121252" w:rsidRDefault="00B13593" w:rsidP="00121252">
      <w:pPr>
        <w:pStyle w:val="a3"/>
        <w:widowControl w:val="0"/>
        <w:spacing w:before="0" w:beforeAutospacing="0" w:after="0" w:afterAutospacing="0" w:line="560" w:lineRule="exact"/>
        <w:ind w:firstLineChars="200" w:firstLine="560"/>
        <w:jc w:val="both"/>
        <w:divId w:val="1972638116"/>
        <w:rPr>
          <w:rFonts w:ascii="仿宋" w:eastAsia="仿宋" w:hAnsi="仿宋"/>
          <w:sz w:val="28"/>
          <w:szCs w:val="28"/>
        </w:rPr>
      </w:pPr>
      <w:r>
        <w:rPr>
          <w:rFonts w:ascii="仿宋" w:eastAsia="仿宋" w:hAnsi="仿宋" w:hint="eastAsia"/>
          <w:sz w:val="28"/>
          <w:szCs w:val="28"/>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B13593" w:rsidRPr="00121252" w:rsidRDefault="00B13593" w:rsidP="00121252">
      <w:pPr>
        <w:pStyle w:val="a3"/>
        <w:widowControl w:val="0"/>
        <w:spacing w:before="0" w:beforeAutospacing="0" w:after="0" w:afterAutospacing="0" w:line="560" w:lineRule="exact"/>
        <w:ind w:firstLineChars="200" w:firstLine="560"/>
        <w:jc w:val="both"/>
        <w:divId w:val="1972638116"/>
        <w:rPr>
          <w:rFonts w:ascii="仿宋" w:eastAsia="仿宋" w:hAnsi="仿宋"/>
          <w:sz w:val="28"/>
          <w:szCs w:val="28"/>
        </w:rPr>
      </w:pPr>
      <w:r>
        <w:rPr>
          <w:rFonts w:ascii="仿宋" w:eastAsia="仿宋" w:hAnsi="仿宋" w:hint="eastAsia"/>
          <w:sz w:val="28"/>
          <w:szCs w:val="28"/>
        </w:rPr>
        <w:t>②公允价值层次</w:t>
      </w:r>
    </w:p>
    <w:p w:rsidR="00B13593" w:rsidRPr="00121252" w:rsidRDefault="00B13593" w:rsidP="00121252">
      <w:pPr>
        <w:pStyle w:val="a3"/>
        <w:widowControl w:val="0"/>
        <w:spacing w:before="0" w:beforeAutospacing="0" w:after="0" w:afterAutospacing="0" w:line="560" w:lineRule="exact"/>
        <w:ind w:firstLineChars="200" w:firstLine="560"/>
        <w:jc w:val="both"/>
        <w:divId w:val="1972638116"/>
        <w:rPr>
          <w:rFonts w:ascii="仿宋" w:eastAsia="仿宋" w:hAnsi="仿宋"/>
          <w:sz w:val="28"/>
          <w:szCs w:val="28"/>
        </w:rPr>
      </w:pPr>
      <w:r>
        <w:rPr>
          <w:rFonts w:ascii="仿宋" w:eastAsia="仿宋" w:hAnsi="仿宋" w:hint="eastAsia"/>
          <w:sz w:val="28"/>
          <w:szCs w:val="28"/>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B13593" w:rsidRPr="00054B06"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6" w:name="_Toc989004"/>
      <w:r w:rsidRPr="00054B06">
        <w:rPr>
          <w:rFonts w:ascii="仿宋" w:eastAsia="仿宋" w:hAnsi="仿宋"/>
          <w:b/>
          <w:sz w:val="28"/>
          <w:szCs w:val="28"/>
        </w:rPr>
        <w:t>11、应收票据</w:t>
      </w:r>
      <w:bookmarkEnd w:id="116"/>
    </w:p>
    <w:p w:rsidR="00B13593" w:rsidRPr="00054B06" w:rsidRDefault="00B13593" w:rsidP="00121252">
      <w:pPr>
        <w:pStyle w:val="a3"/>
        <w:widowControl w:val="0"/>
        <w:spacing w:before="0" w:beforeAutospacing="0" w:after="0" w:afterAutospacing="0" w:line="560" w:lineRule="exact"/>
        <w:ind w:firstLineChars="200" w:firstLine="560"/>
        <w:jc w:val="both"/>
        <w:divId w:val="1093210328"/>
        <w:rPr>
          <w:rFonts w:ascii="仿宋" w:eastAsia="仿宋" w:hAnsi="仿宋"/>
          <w:sz w:val="28"/>
          <w:szCs w:val="28"/>
        </w:rPr>
      </w:pPr>
      <w:r>
        <w:rPr>
          <w:rFonts w:ascii="仿宋" w:eastAsia="仿宋" w:hAnsi="仿宋" w:hint="eastAsia"/>
          <w:sz w:val="28"/>
          <w:szCs w:val="28"/>
        </w:rPr>
        <w:t>具体处理参照10、金融工具。</w:t>
      </w:r>
    </w:p>
    <w:p w:rsidR="00B13593" w:rsidRPr="00054B06"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7" w:name="_Toc989005"/>
      <w:r w:rsidRPr="00054B06">
        <w:rPr>
          <w:rFonts w:ascii="仿宋" w:eastAsia="仿宋" w:hAnsi="仿宋"/>
          <w:b/>
          <w:sz w:val="28"/>
          <w:szCs w:val="28"/>
        </w:rPr>
        <w:t>12、应收账款</w:t>
      </w:r>
      <w:bookmarkEnd w:id="117"/>
    </w:p>
    <w:p w:rsidR="00B13593" w:rsidRPr="00054B06" w:rsidRDefault="00B13593" w:rsidP="00121252">
      <w:pPr>
        <w:pStyle w:val="a3"/>
        <w:widowControl w:val="0"/>
        <w:spacing w:before="0" w:beforeAutospacing="0" w:after="0" w:afterAutospacing="0" w:line="560" w:lineRule="exact"/>
        <w:ind w:firstLineChars="200" w:firstLine="560"/>
        <w:jc w:val="both"/>
        <w:divId w:val="451245992"/>
        <w:rPr>
          <w:rFonts w:ascii="仿宋" w:eastAsia="仿宋" w:hAnsi="仿宋"/>
          <w:sz w:val="28"/>
          <w:szCs w:val="28"/>
        </w:rPr>
      </w:pPr>
      <w:r>
        <w:rPr>
          <w:rFonts w:ascii="仿宋" w:eastAsia="仿宋" w:hAnsi="仿宋" w:hint="eastAsia"/>
          <w:sz w:val="28"/>
          <w:szCs w:val="28"/>
        </w:rPr>
        <w:t>具体处理参照10、金融工具。</w:t>
      </w:r>
    </w:p>
    <w:p w:rsidR="00B13593" w:rsidRPr="00054B06"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8" w:name="_Toc989006"/>
      <w:r w:rsidRPr="00054B06">
        <w:rPr>
          <w:rFonts w:ascii="仿宋" w:eastAsia="仿宋" w:hAnsi="仿宋"/>
          <w:b/>
          <w:sz w:val="28"/>
          <w:szCs w:val="28"/>
        </w:rPr>
        <w:t>13、应收款项融资</w:t>
      </w:r>
      <w:bookmarkEnd w:id="118"/>
    </w:p>
    <w:p w:rsidR="00B13593" w:rsidRPr="00054B06" w:rsidRDefault="00B13593" w:rsidP="00121252">
      <w:pPr>
        <w:pStyle w:val="a3"/>
        <w:widowControl w:val="0"/>
        <w:spacing w:before="0" w:beforeAutospacing="0" w:after="0" w:afterAutospacing="0" w:line="560" w:lineRule="exact"/>
        <w:ind w:firstLineChars="200" w:firstLine="560"/>
        <w:jc w:val="both"/>
        <w:divId w:val="611136877"/>
        <w:rPr>
          <w:rFonts w:ascii="仿宋" w:eastAsia="仿宋" w:hAnsi="仿宋"/>
          <w:sz w:val="28"/>
          <w:szCs w:val="28"/>
        </w:rPr>
      </w:pPr>
      <w:r w:rsidRPr="00054B06">
        <w:rPr>
          <w:rFonts w:ascii="仿宋" w:eastAsia="仿宋" w:hAnsi="仿宋" w:hint="eastAsia"/>
          <w:sz w:val="28"/>
          <w:szCs w:val="28"/>
        </w:rPr>
        <w:t>不适用。</w:t>
      </w:r>
    </w:p>
    <w:p w:rsidR="00B13593" w:rsidRPr="00054B06"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9" w:name="_Toc989007"/>
      <w:r w:rsidRPr="00054B06">
        <w:rPr>
          <w:rFonts w:ascii="仿宋" w:eastAsia="仿宋" w:hAnsi="仿宋"/>
          <w:b/>
          <w:sz w:val="28"/>
          <w:szCs w:val="28"/>
        </w:rPr>
        <w:t>14、其他应收款</w:t>
      </w:r>
      <w:bookmarkEnd w:id="119"/>
    </w:p>
    <w:p w:rsidR="00B13593" w:rsidRPr="00054B06"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54B06">
        <w:rPr>
          <w:rFonts w:ascii="仿宋" w:eastAsia="仿宋" w:hAnsi="仿宋"/>
          <w:b/>
          <w:sz w:val="28"/>
          <w:szCs w:val="28"/>
        </w:rPr>
        <w:t>其他应收款的预期信用损失的确定方法及会计处理方法</w:t>
      </w:r>
    </w:p>
    <w:p w:rsidR="00B13593" w:rsidRPr="00054B06" w:rsidRDefault="00B13593" w:rsidP="00121252">
      <w:pPr>
        <w:pStyle w:val="a3"/>
        <w:widowControl w:val="0"/>
        <w:spacing w:before="0" w:beforeAutospacing="0" w:after="0" w:afterAutospacing="0" w:line="560" w:lineRule="exact"/>
        <w:ind w:firstLineChars="200" w:firstLine="560"/>
        <w:jc w:val="both"/>
        <w:divId w:val="1535463738"/>
        <w:rPr>
          <w:rFonts w:ascii="仿宋" w:eastAsia="仿宋" w:hAnsi="仿宋"/>
          <w:sz w:val="28"/>
          <w:szCs w:val="28"/>
        </w:rPr>
      </w:pPr>
      <w:r w:rsidRPr="00054B06">
        <w:rPr>
          <w:rFonts w:ascii="仿宋" w:eastAsia="仿宋" w:hAnsi="仿宋" w:hint="eastAsia"/>
          <w:sz w:val="28"/>
          <w:szCs w:val="28"/>
        </w:rPr>
        <w:t>具体处理参照10、金融工具。</w:t>
      </w:r>
    </w:p>
    <w:p w:rsidR="00B13593" w:rsidRPr="00054B06"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20" w:name="_Toc989008"/>
      <w:r w:rsidRPr="00054B06">
        <w:rPr>
          <w:rFonts w:ascii="仿宋" w:eastAsia="仿宋" w:hAnsi="仿宋"/>
          <w:b/>
          <w:sz w:val="28"/>
          <w:szCs w:val="28"/>
        </w:rPr>
        <w:lastRenderedPageBreak/>
        <w:t>15、存货</w:t>
      </w:r>
      <w:bookmarkEnd w:id="120"/>
    </w:p>
    <w:p w:rsidR="00B13593" w:rsidRDefault="00B13593" w:rsidP="00121252">
      <w:pPr>
        <w:pStyle w:val="a3"/>
        <w:widowControl w:val="0"/>
        <w:spacing w:before="0" w:beforeAutospacing="0" w:after="0" w:afterAutospacing="0" w:line="560" w:lineRule="exact"/>
        <w:ind w:firstLineChars="200" w:firstLine="562"/>
        <w:jc w:val="both"/>
        <w:divId w:val="1576162626"/>
      </w:pPr>
      <w:r>
        <w:rPr>
          <w:rStyle w:val="a4"/>
          <w:rFonts w:ascii="仿宋" w:eastAsia="仿宋" w:hAnsi="仿宋" w:hint="eastAsia"/>
          <w:sz w:val="28"/>
          <w:szCs w:val="28"/>
        </w:rPr>
        <w:t>（1）存货的分类</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存货是指本公司在日常活动中持有以备出售的产成品或商品、处在生产过程中的在产品、在生产过程或提供劳务过程中耗用的材料和物料等，包括原材料、在产品、半成品、库存商品、发出商品等。</w:t>
      </w:r>
    </w:p>
    <w:p w:rsidR="00B13593" w:rsidRDefault="00B13593" w:rsidP="00121252">
      <w:pPr>
        <w:pStyle w:val="a3"/>
        <w:widowControl w:val="0"/>
        <w:spacing w:before="0" w:beforeAutospacing="0" w:after="0" w:afterAutospacing="0" w:line="560" w:lineRule="exact"/>
        <w:ind w:firstLineChars="200" w:firstLine="562"/>
        <w:jc w:val="both"/>
        <w:divId w:val="1576162626"/>
      </w:pPr>
      <w:r>
        <w:rPr>
          <w:rStyle w:val="a4"/>
          <w:rFonts w:ascii="仿宋" w:eastAsia="仿宋" w:hAnsi="仿宋" w:hint="eastAsia"/>
          <w:sz w:val="28"/>
          <w:szCs w:val="28"/>
        </w:rPr>
        <w:t>（2）发出存货的计价方法</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本公司存货发出时采用加权平均法计价。</w:t>
      </w:r>
    </w:p>
    <w:p w:rsidR="00B13593" w:rsidRDefault="00B13593" w:rsidP="00121252">
      <w:pPr>
        <w:pStyle w:val="a3"/>
        <w:widowControl w:val="0"/>
        <w:spacing w:before="0" w:beforeAutospacing="0" w:after="0" w:afterAutospacing="0" w:line="560" w:lineRule="exact"/>
        <w:ind w:firstLineChars="200" w:firstLine="562"/>
        <w:jc w:val="both"/>
        <w:divId w:val="1576162626"/>
      </w:pPr>
      <w:r>
        <w:rPr>
          <w:rStyle w:val="a4"/>
          <w:rFonts w:ascii="仿宋" w:eastAsia="仿宋" w:hAnsi="仿宋" w:hint="eastAsia"/>
          <w:sz w:val="28"/>
          <w:szCs w:val="28"/>
        </w:rPr>
        <w:t>（3）存货的盘存制度</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本公司存货采用永续盘存制，每年至少盘点一次，盘盈及盘亏金额计入当年度损益。</w:t>
      </w:r>
    </w:p>
    <w:p w:rsidR="00B13593" w:rsidRDefault="00B13593" w:rsidP="00121252">
      <w:pPr>
        <w:pStyle w:val="a3"/>
        <w:widowControl w:val="0"/>
        <w:spacing w:before="0" w:beforeAutospacing="0" w:after="0" w:afterAutospacing="0" w:line="560" w:lineRule="exact"/>
        <w:ind w:firstLineChars="200" w:firstLine="562"/>
        <w:jc w:val="both"/>
        <w:divId w:val="1576162626"/>
      </w:pPr>
      <w:r>
        <w:rPr>
          <w:rStyle w:val="a4"/>
          <w:rFonts w:ascii="仿宋" w:eastAsia="仿宋" w:hAnsi="仿宋" w:hint="eastAsia"/>
          <w:sz w:val="28"/>
          <w:szCs w:val="28"/>
        </w:rPr>
        <w:t>（4）存货跌价准备的计提方法</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资产负债表日按成本与可变现净值孰低计量，存货成本高于其可变现净值的，计提存货跌价准备，计入当期损益。</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在确定存货的可变现净值时，以取得的可靠证据为基础，并且考虑持有存货的目的、资产负债表日后事项的影响等因素。</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w:t>
      </w:r>
      <w:r>
        <w:rPr>
          <w:rFonts w:ascii="仿宋" w:eastAsia="仿宋" w:hAnsi="仿宋" w:hint="eastAsia"/>
          <w:sz w:val="28"/>
          <w:szCs w:val="28"/>
        </w:rPr>
        <w:lastRenderedPageBreak/>
        <w:t>本，则该材料按成本计量；如果材料价格的下降表明产成品的可变现净值低于成本，则该材料按可变现净值计量，按其差额计提存货跌价准备。</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③存货跌价准备一般按单个存货项目计提；对于数量繁多、单价较低的存货，按存货类别计提。</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④资产负债表日如果以前减记存货价值的影响因素已经消失，则减记的金额予以恢复，并在原已计提的存货跌价准备的金额内转回，转回的金额计入当期损益。</w:t>
      </w:r>
    </w:p>
    <w:p w:rsidR="00B13593" w:rsidRDefault="00B13593" w:rsidP="00121252">
      <w:pPr>
        <w:pStyle w:val="a3"/>
        <w:widowControl w:val="0"/>
        <w:spacing w:before="0" w:beforeAutospacing="0" w:after="0" w:afterAutospacing="0" w:line="560" w:lineRule="exact"/>
        <w:ind w:firstLineChars="200" w:firstLine="562"/>
        <w:jc w:val="both"/>
        <w:divId w:val="1576162626"/>
      </w:pPr>
      <w:r>
        <w:rPr>
          <w:rStyle w:val="a4"/>
          <w:rFonts w:ascii="仿宋" w:eastAsia="仿宋" w:hAnsi="仿宋" w:hint="eastAsia"/>
          <w:sz w:val="28"/>
          <w:szCs w:val="28"/>
        </w:rPr>
        <w:t>（5）周转材料的摊销方法</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①低值易耗品摊销方法：在领用时采用一次转销法。</w:t>
      </w:r>
    </w:p>
    <w:p w:rsidR="00B13593" w:rsidRDefault="00B13593" w:rsidP="00121252">
      <w:pPr>
        <w:pStyle w:val="a3"/>
        <w:widowControl w:val="0"/>
        <w:spacing w:before="0" w:beforeAutospacing="0" w:after="0" w:afterAutospacing="0" w:line="560" w:lineRule="exact"/>
        <w:ind w:firstLineChars="200" w:firstLine="560"/>
        <w:jc w:val="both"/>
        <w:divId w:val="1576162626"/>
      </w:pPr>
      <w:r>
        <w:rPr>
          <w:rFonts w:ascii="仿宋" w:eastAsia="仿宋" w:hAnsi="仿宋" w:hint="eastAsia"/>
          <w:sz w:val="28"/>
          <w:szCs w:val="28"/>
        </w:rPr>
        <w:t>②包装物的摊销方法：在领用时采用一次转销法。</w:t>
      </w:r>
    </w:p>
    <w:p w:rsidR="00B13593" w:rsidRPr="00121252"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121" w:name="_Toc989009"/>
      <w:r w:rsidRPr="00121252">
        <w:rPr>
          <w:rStyle w:val="a4"/>
          <w:rFonts w:ascii="仿宋" w:eastAsia="仿宋" w:hAnsi="仿宋"/>
          <w:bCs w:val="0"/>
          <w:sz w:val="28"/>
          <w:szCs w:val="28"/>
        </w:rPr>
        <w:t>16、合同资产</w:t>
      </w:r>
      <w:bookmarkEnd w:id="121"/>
    </w:p>
    <w:p w:rsidR="00B13593" w:rsidRDefault="00B13593" w:rsidP="00121252">
      <w:pPr>
        <w:pStyle w:val="a3"/>
        <w:widowControl w:val="0"/>
        <w:spacing w:before="0" w:beforeAutospacing="0" w:after="0" w:afterAutospacing="0" w:line="560" w:lineRule="exact"/>
        <w:ind w:firstLineChars="200" w:firstLine="560"/>
        <w:jc w:val="both"/>
        <w:divId w:val="580676917"/>
      </w:pPr>
      <w:r>
        <w:rPr>
          <w:rFonts w:ascii="仿宋" w:eastAsia="仿宋" w:hAnsi="仿宋" w:hint="eastAsia"/>
          <w:sz w:val="28"/>
          <w:szCs w:val="28"/>
        </w:rPr>
        <w:t>本公司已向客户转让商品或提供服务而有权收取的对价（且该权利取决于时间流逝之外的其他因素）列示为合同资产。</w:t>
      </w:r>
    </w:p>
    <w:p w:rsidR="00B13593" w:rsidRDefault="00B13593" w:rsidP="00121252">
      <w:pPr>
        <w:pStyle w:val="a3"/>
        <w:widowControl w:val="0"/>
        <w:spacing w:before="0" w:beforeAutospacing="0" w:after="0" w:afterAutospacing="0" w:line="560" w:lineRule="exact"/>
        <w:ind w:firstLineChars="200" w:firstLine="480"/>
        <w:jc w:val="both"/>
        <w:divId w:val="394549786"/>
      </w:pPr>
      <w:r>
        <w:rPr>
          <w:rFonts w:hint="eastAsia"/>
        </w:rPr>
        <w:t> </w:t>
      </w:r>
      <w:r>
        <w:rPr>
          <w:rFonts w:ascii="仿宋" w:eastAsia="仿宋" w:hAnsi="仿宋" w:hint="eastAsia"/>
          <w:sz w:val="28"/>
          <w:szCs w:val="28"/>
        </w:rPr>
        <w:t>对于存在客观证据表明存在减值，以及其他适用于单项评估的合同资产单独进行减值测试，确认预期信用损失，计提单项减值准备。对于不存在减值客观证据的合同资产或当单项金融资产无法以合理成本评估预期信用损失的信息时，本公司依据信用风险特征将合同资产划分为若干组合，本公司参考历史信用损失经验，结合当前状况以及对未来经济状况的预测，编制合同资产账龄与整个存续期预期信用损失率对照表，计算预期信用损失。</w:t>
      </w:r>
    </w:p>
    <w:p w:rsidR="00B13593" w:rsidRPr="00121252"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122" w:name="_Toc989010"/>
      <w:r w:rsidRPr="00121252">
        <w:rPr>
          <w:rStyle w:val="a4"/>
          <w:rFonts w:ascii="仿宋" w:eastAsia="仿宋" w:hAnsi="仿宋"/>
          <w:sz w:val="28"/>
          <w:szCs w:val="28"/>
        </w:rPr>
        <w:t>17、合同成本</w:t>
      </w:r>
      <w:bookmarkEnd w:id="122"/>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合同成本分为合同履约成本与合同取得成本。</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本公司为履行合同而发生的成本，在同时满足下列条件时作为合同履约成本确认为一项资产：</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①该成本与一份当前或预期取得的合同直接相关，包括直接人工、直接</w:t>
      </w:r>
      <w:r>
        <w:rPr>
          <w:rFonts w:ascii="仿宋" w:eastAsia="仿宋" w:hAnsi="仿宋" w:hint="eastAsia"/>
          <w:sz w:val="28"/>
          <w:szCs w:val="28"/>
        </w:rPr>
        <w:lastRenderedPageBreak/>
        <w:t>材料、制造费用 （或类似费用）、明确由客户承担的成本以及仅因该合同而发生的其他成本。</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②该成本增加了本公司未来用于履行履约义务的资源。</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③该成本预期能够收回。</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本公司为取得合同发生的增量成本预期能够收回的，作为合同取得成本确认为一项资产。</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与合同成本有关的资产采用与该资产相关的商品或服务收入确认相同的基础进行摊销；但是对于合同取得成本摊销期限未超过一年的，本公司将其在发生时计入当期损益。</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与合同成本有关的资产，其账面价值高于下列两项的差额的，本公司将对于超出部分计提减值准备，并确认为资产减值损失，并进一步考虑是否应计提亏损合同有关的预计负债：</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①因转让与该资产相关的商品或服务预期能够取得的剩余对价；</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②为转让该相关商品或服务估计将要发生的成本。</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上述资产减值准备后续发生转回的，转回后的资产账面价值不超过假定不计提减值准备情况下该资产在转回日的账面价值。</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确认为资产的合同履约成本，初始确认时摊销期限不超过一年或一个正常营业周期，在“存货”项目中列示，初始确认时摊销期限超过一年或一个正常营业周期，在“其他非流动资产”项目中列示。</w:t>
      </w:r>
    </w:p>
    <w:p w:rsidR="00B13593" w:rsidRPr="00121252" w:rsidRDefault="00B13593" w:rsidP="00121252">
      <w:pPr>
        <w:pStyle w:val="a3"/>
        <w:widowControl w:val="0"/>
        <w:spacing w:before="0" w:beforeAutospacing="0" w:after="0" w:afterAutospacing="0" w:line="560" w:lineRule="exact"/>
        <w:ind w:firstLineChars="200" w:firstLine="560"/>
        <w:jc w:val="both"/>
        <w:divId w:val="945699843"/>
        <w:rPr>
          <w:rFonts w:ascii="仿宋" w:eastAsia="仿宋" w:hAnsi="仿宋"/>
          <w:sz w:val="28"/>
          <w:szCs w:val="28"/>
        </w:rPr>
      </w:pPr>
      <w:r>
        <w:rPr>
          <w:rFonts w:ascii="仿宋" w:eastAsia="仿宋" w:hAnsi="仿宋" w:hint="eastAsia"/>
          <w:sz w:val="28"/>
          <w:szCs w:val="28"/>
        </w:rPr>
        <w:t>确认为资产的合同取得成本，初始确认时摊销期限不超过一年或一个正常营业周期，在“其他流动资产”项目中列示，初始确认时摊销期限超过一年或一个正常营业周期，在“其他非流动资产”项目中列示。</w:t>
      </w:r>
    </w:p>
    <w:p w:rsidR="00B13593" w:rsidRPr="00121252"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123" w:name="_Toc989011"/>
      <w:r w:rsidRPr="00121252">
        <w:rPr>
          <w:rStyle w:val="a4"/>
          <w:rFonts w:ascii="仿宋" w:eastAsia="仿宋" w:hAnsi="仿宋"/>
          <w:bCs w:val="0"/>
          <w:sz w:val="28"/>
          <w:szCs w:val="28"/>
        </w:rPr>
        <w:t>18、持有待售资产</w:t>
      </w:r>
      <w:bookmarkEnd w:id="123"/>
    </w:p>
    <w:p w:rsidR="00B13593" w:rsidRPr="00121252" w:rsidRDefault="00B13593" w:rsidP="00121252">
      <w:pPr>
        <w:pStyle w:val="a3"/>
        <w:widowControl w:val="0"/>
        <w:spacing w:before="0" w:beforeAutospacing="0" w:after="0" w:afterAutospacing="0" w:line="560" w:lineRule="exact"/>
        <w:ind w:firstLineChars="200" w:firstLine="562"/>
        <w:jc w:val="both"/>
        <w:divId w:val="243806321"/>
        <w:rPr>
          <w:rStyle w:val="a4"/>
        </w:rPr>
      </w:pPr>
      <w:r w:rsidRPr="00121252">
        <w:rPr>
          <w:rStyle w:val="a4"/>
          <w:rFonts w:ascii="仿宋" w:eastAsia="仿宋" w:hAnsi="仿宋" w:hint="eastAsia"/>
          <w:sz w:val="28"/>
          <w:szCs w:val="28"/>
        </w:rPr>
        <w:t>（1）持有待售的非流动资产或处置组的分类</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lastRenderedPageBreak/>
        <w:t>本公司将同时满足下列条件的非流动资产或处置组划分为持有待售类别：</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①根据类似交易中出售此类资产或处置组的惯例，在当前状况下即可立即出售；</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②出售极可能发生，即本公司已经就一项出售计划作出决议且获得确定的购买承诺，预计出售将在一年内完成。有关规定要求本公司相关权力机构或者监管部门批准后方可出售的，已经获得批准。</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本公司专为转售而取得的非流动资产或处置组，在取得日满足“预计出售将在一年内完成”的规定条件，且短期（通常为3个月）内很可能满足持有待售类别的其他划分条件的，本公司在取得日将其划分为持有待售类别。</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B13593" w:rsidRPr="00121252" w:rsidRDefault="00B13593" w:rsidP="00121252">
      <w:pPr>
        <w:pStyle w:val="a3"/>
        <w:widowControl w:val="0"/>
        <w:spacing w:before="0" w:beforeAutospacing="0" w:after="0" w:afterAutospacing="0" w:line="560" w:lineRule="exact"/>
        <w:ind w:firstLineChars="200" w:firstLine="562"/>
        <w:jc w:val="both"/>
        <w:divId w:val="243806321"/>
        <w:rPr>
          <w:rStyle w:val="a4"/>
        </w:rPr>
      </w:pPr>
      <w:r w:rsidRPr="00121252">
        <w:rPr>
          <w:rStyle w:val="a4"/>
          <w:rFonts w:ascii="仿宋" w:eastAsia="仿宋" w:hAnsi="仿宋" w:hint="eastAsia"/>
          <w:bCs w:val="0"/>
          <w:sz w:val="28"/>
          <w:szCs w:val="28"/>
        </w:rPr>
        <w:t>（2）持有待售的非流动资产或处置组的计量</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后续资产负债表日持有待售的非流动资产或处置组公允价值减去出售费用后的净额增加的，以前减记的金额予以</w:t>
      </w:r>
      <w:r>
        <w:rPr>
          <w:rFonts w:ascii="仿宋" w:eastAsia="仿宋" w:hAnsi="仿宋" w:hint="eastAsia"/>
          <w:sz w:val="28"/>
          <w:szCs w:val="28"/>
        </w:rPr>
        <w:lastRenderedPageBreak/>
        <w:t>恢复，并在划分为持有待售类别后确认的资产减值损失金额内转回，转回金额计入当期损益。已抵减的商誉账面价值不得转回。</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非流动资产或处置组因不再满足持有待售类别的划分条件而不再继续划分为持有待售类别或非流动资产从持有待售的处置组中移除时，按照以下两者孰低计量：</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①划分为持有待售类别前的账面价值，按照假定不划分为持有待售类别情况下本应确认的折旧、摊销或减值等进行调整后的金额；</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②可收回金额。</w:t>
      </w:r>
    </w:p>
    <w:p w:rsidR="00B13593" w:rsidRPr="00121252" w:rsidRDefault="00B13593" w:rsidP="00121252">
      <w:pPr>
        <w:pStyle w:val="a3"/>
        <w:widowControl w:val="0"/>
        <w:spacing w:before="0" w:beforeAutospacing="0" w:after="0" w:afterAutospacing="0" w:line="560" w:lineRule="exact"/>
        <w:ind w:firstLineChars="200" w:firstLine="562"/>
        <w:jc w:val="both"/>
        <w:divId w:val="243806321"/>
        <w:rPr>
          <w:rStyle w:val="a4"/>
        </w:rPr>
      </w:pPr>
      <w:r w:rsidRPr="00121252">
        <w:rPr>
          <w:rStyle w:val="a4"/>
          <w:rFonts w:ascii="仿宋" w:eastAsia="仿宋" w:hAnsi="仿宋" w:hint="eastAsia"/>
          <w:sz w:val="28"/>
          <w:szCs w:val="28"/>
        </w:rPr>
        <w:t>（3）列报</w:t>
      </w:r>
    </w:p>
    <w:p w:rsidR="00B13593" w:rsidRPr="00121252" w:rsidRDefault="00B13593" w:rsidP="00121252">
      <w:pPr>
        <w:pStyle w:val="a3"/>
        <w:widowControl w:val="0"/>
        <w:spacing w:before="0" w:beforeAutospacing="0" w:after="0" w:afterAutospacing="0" w:line="560" w:lineRule="exact"/>
        <w:ind w:firstLineChars="200" w:firstLine="560"/>
        <w:jc w:val="both"/>
        <w:divId w:val="243806321"/>
        <w:rPr>
          <w:rFonts w:ascii="仿宋" w:eastAsia="仿宋" w:hAnsi="仿宋"/>
          <w:sz w:val="28"/>
          <w:szCs w:val="28"/>
        </w:rPr>
      </w:pPr>
      <w:r>
        <w:rPr>
          <w:rFonts w:ascii="仿宋" w:eastAsia="仿宋" w:hAnsi="仿宋" w:hint="eastAsia"/>
          <w:sz w:val="28"/>
          <w:szCs w:val="28"/>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p w:rsidR="00B13593" w:rsidRPr="00121252"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124" w:name="_Toc989012"/>
      <w:r w:rsidRPr="00121252">
        <w:rPr>
          <w:rStyle w:val="a4"/>
          <w:rFonts w:ascii="仿宋" w:eastAsia="仿宋" w:hAnsi="仿宋"/>
          <w:bCs w:val="0"/>
          <w:sz w:val="28"/>
          <w:szCs w:val="28"/>
        </w:rPr>
        <w:t>19、债权投资</w:t>
      </w:r>
      <w:bookmarkEnd w:id="124"/>
    </w:p>
    <w:p w:rsidR="00B13593" w:rsidRPr="00121252" w:rsidRDefault="00B13593" w:rsidP="00121252">
      <w:pPr>
        <w:pStyle w:val="a3"/>
        <w:widowControl w:val="0"/>
        <w:spacing w:before="0" w:beforeAutospacing="0" w:after="0" w:afterAutospacing="0" w:line="560" w:lineRule="exact"/>
        <w:ind w:firstLineChars="200" w:firstLine="560"/>
        <w:jc w:val="both"/>
        <w:divId w:val="552037716"/>
        <w:rPr>
          <w:rFonts w:ascii="仿宋" w:eastAsia="仿宋" w:hAnsi="仿宋"/>
          <w:sz w:val="28"/>
          <w:szCs w:val="28"/>
        </w:rPr>
      </w:pPr>
      <w:r>
        <w:rPr>
          <w:rFonts w:ascii="仿宋" w:eastAsia="仿宋" w:hAnsi="仿宋" w:hint="eastAsia"/>
          <w:sz w:val="28"/>
          <w:szCs w:val="28"/>
        </w:rPr>
        <w:t>不适用。</w:t>
      </w:r>
    </w:p>
    <w:p w:rsidR="00B13593" w:rsidRPr="00121252"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125" w:name="_Toc989013"/>
      <w:r w:rsidRPr="00121252">
        <w:rPr>
          <w:rStyle w:val="a4"/>
          <w:rFonts w:ascii="仿宋" w:eastAsia="仿宋" w:hAnsi="仿宋"/>
          <w:sz w:val="28"/>
          <w:szCs w:val="28"/>
        </w:rPr>
        <w:t>20、其他债权投资</w:t>
      </w:r>
      <w:bookmarkEnd w:id="125"/>
    </w:p>
    <w:p w:rsidR="00B13593" w:rsidRPr="00121252" w:rsidRDefault="00B13593" w:rsidP="00121252">
      <w:pPr>
        <w:pStyle w:val="a3"/>
        <w:widowControl w:val="0"/>
        <w:spacing w:before="0" w:beforeAutospacing="0" w:after="0" w:afterAutospacing="0" w:line="560" w:lineRule="exact"/>
        <w:ind w:firstLineChars="200" w:firstLine="560"/>
        <w:jc w:val="both"/>
        <w:divId w:val="1839465373"/>
        <w:rPr>
          <w:bCs/>
        </w:rPr>
      </w:pPr>
      <w:r w:rsidRPr="00121252">
        <w:rPr>
          <w:rFonts w:ascii="仿宋" w:eastAsia="仿宋" w:hAnsi="仿宋" w:hint="eastAsia"/>
          <w:bCs/>
          <w:sz w:val="28"/>
          <w:szCs w:val="28"/>
        </w:rPr>
        <w:t>不适用。</w:t>
      </w:r>
    </w:p>
    <w:p w:rsidR="00B13593" w:rsidRPr="00121252"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126" w:name="_Toc989014"/>
      <w:r w:rsidRPr="00121252">
        <w:rPr>
          <w:rStyle w:val="a4"/>
          <w:rFonts w:ascii="仿宋" w:eastAsia="仿宋" w:hAnsi="仿宋"/>
          <w:sz w:val="28"/>
          <w:szCs w:val="28"/>
        </w:rPr>
        <w:t>21、长期应收款</w:t>
      </w:r>
      <w:bookmarkEnd w:id="126"/>
    </w:p>
    <w:p w:rsidR="00B13593" w:rsidRPr="00121252" w:rsidRDefault="00B13593" w:rsidP="00121252">
      <w:pPr>
        <w:pStyle w:val="a3"/>
        <w:widowControl w:val="0"/>
        <w:spacing w:before="0" w:beforeAutospacing="0" w:after="0" w:afterAutospacing="0" w:line="560" w:lineRule="exact"/>
        <w:ind w:firstLineChars="200" w:firstLine="560"/>
        <w:jc w:val="both"/>
        <w:divId w:val="1943955741"/>
        <w:rPr>
          <w:bCs/>
        </w:rPr>
      </w:pPr>
      <w:r w:rsidRPr="00121252">
        <w:rPr>
          <w:rFonts w:ascii="仿宋" w:eastAsia="仿宋" w:hAnsi="仿宋" w:hint="eastAsia"/>
          <w:bCs/>
          <w:sz w:val="28"/>
          <w:szCs w:val="28"/>
        </w:rPr>
        <w:t>具体处理参照10、金融工具。</w:t>
      </w:r>
    </w:p>
    <w:p w:rsidR="00B13593" w:rsidRPr="00121252" w:rsidRDefault="00B13F8C" w:rsidP="0012125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127" w:name="_Toc989015"/>
      <w:r w:rsidRPr="00121252">
        <w:rPr>
          <w:rStyle w:val="a4"/>
          <w:rFonts w:ascii="仿宋" w:eastAsia="仿宋" w:hAnsi="仿宋"/>
          <w:sz w:val="28"/>
          <w:szCs w:val="28"/>
        </w:rPr>
        <w:t>22、长期股权投资</w:t>
      </w:r>
      <w:bookmarkEnd w:id="127"/>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本公司长期股权投资包括对被投资单位实施控制、重大影响的权益性投资，以及对合营企业的权益性投资。本公司能够对被投资单位施加重大影响的，为本公司的联营企业。</w:t>
      </w:r>
    </w:p>
    <w:p w:rsidR="00121252" w:rsidRPr="00121252" w:rsidRDefault="00B13593" w:rsidP="00121252">
      <w:pPr>
        <w:pStyle w:val="a3"/>
        <w:widowControl w:val="0"/>
        <w:spacing w:before="0" w:beforeAutospacing="0" w:after="0" w:afterAutospacing="0" w:line="560" w:lineRule="exact"/>
        <w:ind w:firstLineChars="200" w:firstLine="562"/>
        <w:jc w:val="both"/>
        <w:divId w:val="2021201862"/>
        <w:rPr>
          <w:rStyle w:val="a4"/>
          <w:rFonts w:ascii="仿宋" w:eastAsia="仿宋" w:hAnsi="仿宋"/>
          <w:sz w:val="28"/>
          <w:szCs w:val="28"/>
        </w:rPr>
      </w:pPr>
      <w:r>
        <w:rPr>
          <w:rStyle w:val="a4"/>
          <w:rFonts w:ascii="仿宋" w:eastAsia="仿宋" w:hAnsi="仿宋" w:hint="eastAsia"/>
          <w:sz w:val="28"/>
          <w:szCs w:val="28"/>
        </w:rPr>
        <w:t>（1）确定对被投资单位具有共同控制、重大影响的依据</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lastRenderedPageBreak/>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rsidR="00B13593" w:rsidRPr="00121252" w:rsidRDefault="00B13593" w:rsidP="00121252">
      <w:pPr>
        <w:pStyle w:val="a3"/>
        <w:widowControl w:val="0"/>
        <w:spacing w:before="0" w:beforeAutospacing="0" w:after="0" w:afterAutospacing="0" w:line="560" w:lineRule="exact"/>
        <w:ind w:firstLineChars="200" w:firstLine="562"/>
        <w:jc w:val="both"/>
        <w:divId w:val="2021201862"/>
        <w:rPr>
          <w:rFonts w:ascii="仿宋" w:eastAsia="仿宋" w:hAnsi="仿宋"/>
          <w:sz w:val="28"/>
          <w:szCs w:val="28"/>
        </w:rPr>
      </w:pPr>
      <w:r>
        <w:rPr>
          <w:rStyle w:val="a4"/>
          <w:rFonts w:ascii="仿宋" w:eastAsia="仿宋" w:hAnsi="仿宋" w:hint="eastAsia"/>
          <w:sz w:val="28"/>
          <w:szCs w:val="28"/>
        </w:rPr>
        <w:t>（2）初始投资成本确定</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企业合并形成的长期股权投资，按照下列规定确定其投资成本：</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A.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lastRenderedPageBreak/>
        <w:t>B.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C.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除企业合并形成的长期股权投资以外，其他方式取得的长期股权投资，按照下列规定确定其投资成本：</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A.以支付现金取得的长期股权投资，按照实际支付的购买价款作为投资成本。初始投资成本包括与取得长期股权投资直接相关的费用、税金及其他必要支出；</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B.以发行权益性证券取得的长期股权投资，按照发行权益性证券的公允价值作为初始投资成本；</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C.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D.通过债务重组取得的长期股权投资，以所放弃债权的公允价值和可直接归属于该资产的税金等其他成本确定其入账价值，并将所放弃债权的公允</w:t>
      </w:r>
      <w:r>
        <w:rPr>
          <w:rFonts w:ascii="仿宋" w:eastAsia="仿宋" w:hAnsi="仿宋" w:hint="eastAsia"/>
          <w:sz w:val="28"/>
          <w:szCs w:val="28"/>
        </w:rPr>
        <w:lastRenderedPageBreak/>
        <w:t>价值与账面价值之间的差额，计入当期损益。</w:t>
      </w:r>
    </w:p>
    <w:p w:rsidR="00B13593" w:rsidRPr="00121252" w:rsidRDefault="00B13593" w:rsidP="00121252">
      <w:pPr>
        <w:pStyle w:val="a3"/>
        <w:widowControl w:val="0"/>
        <w:spacing w:before="0" w:beforeAutospacing="0" w:after="0" w:afterAutospacing="0" w:line="560" w:lineRule="exact"/>
        <w:ind w:firstLineChars="200" w:firstLine="562"/>
        <w:jc w:val="both"/>
        <w:divId w:val="2021201862"/>
        <w:rPr>
          <w:rStyle w:val="a4"/>
        </w:rPr>
      </w:pPr>
      <w:r w:rsidRPr="00121252">
        <w:rPr>
          <w:rStyle w:val="a4"/>
          <w:rFonts w:ascii="仿宋" w:eastAsia="仿宋" w:hAnsi="仿宋" w:hint="eastAsia"/>
          <w:bCs w:val="0"/>
          <w:sz w:val="28"/>
          <w:szCs w:val="28"/>
        </w:rPr>
        <w:t>（3）后续计量及损益确认方法</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本公司能够对被投资单位实施控制的长期股权投资采用成本法核算；对联营企业和合营企业的长期股权投资采用权益法核算。</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①成本法</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采用成本法核算的长期股权投资，追加或收回投资时调整长期股权投资的成本；被投资单位宣告分派的现金股利或利润，确认为当期投资收益。</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②权益法</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按照权益法核算的长期股权投资，一般会计处理为：</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w:t>
      </w:r>
      <w:r>
        <w:rPr>
          <w:rFonts w:ascii="仿宋" w:eastAsia="仿宋" w:hAnsi="仿宋" w:hint="eastAsia"/>
          <w:sz w:val="28"/>
          <w:szCs w:val="28"/>
        </w:rPr>
        <w:lastRenderedPageBreak/>
        <w:t>础上确认投资损益。本公司与被投资单位发生的未实现内部交易损失属于资产减值损失的，应全额确认。</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B13593" w:rsidRPr="00121252" w:rsidRDefault="00B13593" w:rsidP="00121252">
      <w:pPr>
        <w:pStyle w:val="a3"/>
        <w:widowControl w:val="0"/>
        <w:spacing w:before="0" w:beforeAutospacing="0" w:after="0" w:afterAutospacing="0" w:line="560" w:lineRule="exact"/>
        <w:ind w:firstLineChars="200" w:firstLine="562"/>
        <w:jc w:val="both"/>
        <w:divId w:val="2021201862"/>
        <w:rPr>
          <w:rFonts w:ascii="仿宋" w:eastAsia="仿宋" w:hAnsi="仿宋"/>
          <w:b/>
          <w:sz w:val="28"/>
          <w:szCs w:val="28"/>
        </w:rPr>
      </w:pPr>
      <w:r w:rsidRPr="00121252">
        <w:rPr>
          <w:rFonts w:ascii="仿宋" w:eastAsia="仿宋" w:hAnsi="仿宋" w:hint="eastAsia"/>
          <w:b/>
          <w:sz w:val="28"/>
          <w:szCs w:val="28"/>
        </w:rPr>
        <w:t>（4）减值测试方法及减值准备计提方法</w:t>
      </w:r>
    </w:p>
    <w:p w:rsidR="00B13593" w:rsidRPr="00121252" w:rsidRDefault="00B13593" w:rsidP="00121252">
      <w:pPr>
        <w:pStyle w:val="a3"/>
        <w:widowControl w:val="0"/>
        <w:spacing w:before="0" w:beforeAutospacing="0" w:after="0" w:afterAutospacing="0" w:line="560" w:lineRule="exact"/>
        <w:ind w:firstLineChars="200" w:firstLine="560"/>
        <w:jc w:val="both"/>
        <w:divId w:val="2021201862"/>
        <w:rPr>
          <w:rFonts w:ascii="仿宋" w:eastAsia="仿宋" w:hAnsi="仿宋"/>
          <w:sz w:val="28"/>
          <w:szCs w:val="28"/>
        </w:rPr>
      </w:pPr>
      <w:r>
        <w:rPr>
          <w:rFonts w:ascii="仿宋" w:eastAsia="仿宋" w:hAnsi="仿宋" w:hint="eastAsia"/>
          <w:sz w:val="28"/>
          <w:szCs w:val="28"/>
        </w:rPr>
        <w:t>对子公司、联营企业及合营企业的投资，计提资产减值的方法见附注五、31。</w:t>
      </w:r>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28" w:name="_Toc989016"/>
      <w:r w:rsidRPr="00121252">
        <w:rPr>
          <w:rFonts w:ascii="仿宋" w:eastAsia="仿宋" w:hAnsi="仿宋"/>
          <w:b/>
          <w:sz w:val="28"/>
          <w:szCs w:val="28"/>
        </w:rPr>
        <w:t>23、投资性房地产</w:t>
      </w:r>
      <w:bookmarkEnd w:id="128"/>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121252">
        <w:rPr>
          <w:rFonts w:ascii="仿宋" w:eastAsia="仿宋" w:hAnsi="仿宋"/>
          <w:b/>
          <w:sz w:val="28"/>
          <w:szCs w:val="28"/>
        </w:rPr>
        <w:t>投资性房地产计量模式</w:t>
      </w:r>
    </w:p>
    <w:p w:rsidR="00B13593" w:rsidRPr="00121252" w:rsidRDefault="00B13F8C" w:rsidP="00121252">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121252">
        <w:rPr>
          <w:rFonts w:ascii="仿宋" w:eastAsia="仿宋" w:hAnsi="仿宋"/>
          <w:sz w:val="28"/>
          <w:szCs w:val="28"/>
        </w:rPr>
        <w:t>成本法计量</w:t>
      </w:r>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121252">
        <w:rPr>
          <w:rFonts w:ascii="仿宋" w:eastAsia="仿宋" w:hAnsi="仿宋"/>
          <w:b/>
          <w:sz w:val="28"/>
          <w:szCs w:val="28"/>
        </w:rPr>
        <w:t>折旧或摊销方法</w:t>
      </w:r>
    </w:p>
    <w:p w:rsidR="00121252" w:rsidRDefault="00B13593" w:rsidP="00121252">
      <w:pPr>
        <w:pStyle w:val="a3"/>
        <w:widowControl w:val="0"/>
        <w:spacing w:before="0" w:beforeAutospacing="0" w:after="0" w:afterAutospacing="0" w:line="560" w:lineRule="exact"/>
        <w:ind w:firstLineChars="200" w:firstLine="560"/>
        <w:jc w:val="both"/>
        <w:rPr>
          <w:rFonts w:ascii="仿宋" w:eastAsia="仿宋" w:hAnsi="仿宋"/>
          <w:sz w:val="28"/>
          <w:szCs w:val="28"/>
        </w:rPr>
      </w:pPr>
      <w:r>
        <w:rPr>
          <w:rFonts w:ascii="仿宋" w:eastAsia="仿宋" w:hAnsi="仿宋" w:hint="eastAsia"/>
          <w:sz w:val="28"/>
          <w:szCs w:val="28"/>
        </w:rPr>
        <w:t>本公司对投资性房地产成本减累计减值及净残值后按直线法计算折旧或摊销，出租用建筑物采用与本公司固定资产相同的折旧政策，出租用土地使用权按与本公司无形资产相同的摊销政策执行。</w:t>
      </w:r>
      <w:bookmarkStart w:id="129" w:name="_Toc989017"/>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121252">
        <w:rPr>
          <w:rFonts w:ascii="仿宋" w:eastAsia="仿宋" w:hAnsi="仿宋"/>
          <w:b/>
          <w:sz w:val="28"/>
          <w:szCs w:val="28"/>
        </w:rPr>
        <w:t>24、固定资产</w:t>
      </w:r>
      <w:bookmarkEnd w:id="129"/>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0" w:name="_Toc989018"/>
      <w:r w:rsidRPr="00121252">
        <w:rPr>
          <w:rFonts w:ascii="仿宋" w:eastAsia="仿宋" w:hAnsi="仿宋"/>
          <w:b/>
          <w:sz w:val="28"/>
          <w:szCs w:val="28"/>
        </w:rPr>
        <w:lastRenderedPageBreak/>
        <w:t>（1） 确认条件</w:t>
      </w:r>
      <w:bookmarkEnd w:id="130"/>
    </w:p>
    <w:p w:rsidR="00B13593" w:rsidRPr="00121252" w:rsidRDefault="00B13593" w:rsidP="00121252">
      <w:pPr>
        <w:pStyle w:val="a3"/>
        <w:widowControl w:val="0"/>
        <w:spacing w:before="0" w:beforeAutospacing="0" w:after="0" w:afterAutospacing="0" w:line="560" w:lineRule="exact"/>
        <w:ind w:firstLineChars="200" w:firstLine="560"/>
        <w:jc w:val="both"/>
        <w:divId w:val="709499074"/>
        <w:rPr>
          <w:rFonts w:ascii="仿宋" w:eastAsia="仿宋" w:hAnsi="仿宋"/>
          <w:sz w:val="28"/>
          <w:szCs w:val="28"/>
        </w:rPr>
      </w:pPr>
      <w:r w:rsidRPr="00121252">
        <w:rPr>
          <w:rFonts w:ascii="仿宋" w:eastAsia="仿宋" w:hAnsi="仿宋" w:hint="eastAsia"/>
          <w:sz w:val="28"/>
          <w:szCs w:val="28"/>
        </w:rPr>
        <w:t>固定资产在同时满足下列条件时，按取得时的实际成本予以确认：</w:t>
      </w:r>
    </w:p>
    <w:p w:rsidR="00B13593" w:rsidRPr="00121252" w:rsidRDefault="00B13593" w:rsidP="00121252">
      <w:pPr>
        <w:pStyle w:val="a3"/>
        <w:widowControl w:val="0"/>
        <w:spacing w:before="0" w:beforeAutospacing="0" w:after="0" w:afterAutospacing="0" w:line="560" w:lineRule="exact"/>
        <w:ind w:firstLineChars="200" w:firstLine="560"/>
        <w:jc w:val="both"/>
        <w:divId w:val="709499074"/>
        <w:rPr>
          <w:rFonts w:ascii="仿宋" w:eastAsia="仿宋" w:hAnsi="仿宋"/>
          <w:sz w:val="28"/>
          <w:szCs w:val="28"/>
        </w:rPr>
      </w:pPr>
      <w:r w:rsidRPr="00121252">
        <w:rPr>
          <w:rFonts w:ascii="仿宋" w:eastAsia="仿宋" w:hAnsi="仿宋" w:hint="eastAsia"/>
          <w:sz w:val="28"/>
          <w:szCs w:val="28"/>
        </w:rPr>
        <w:t>①与该固定资产有关的经济利益很可能流入企业。</w:t>
      </w:r>
    </w:p>
    <w:p w:rsidR="00B13593" w:rsidRPr="00121252" w:rsidRDefault="00B13593" w:rsidP="00121252">
      <w:pPr>
        <w:pStyle w:val="a3"/>
        <w:widowControl w:val="0"/>
        <w:spacing w:before="0" w:beforeAutospacing="0" w:after="0" w:afterAutospacing="0" w:line="560" w:lineRule="exact"/>
        <w:ind w:firstLineChars="200" w:firstLine="560"/>
        <w:jc w:val="both"/>
        <w:divId w:val="709499074"/>
        <w:rPr>
          <w:rFonts w:ascii="仿宋" w:eastAsia="仿宋" w:hAnsi="仿宋"/>
          <w:sz w:val="28"/>
          <w:szCs w:val="28"/>
        </w:rPr>
      </w:pPr>
      <w:r w:rsidRPr="00121252">
        <w:rPr>
          <w:rFonts w:ascii="仿宋" w:eastAsia="仿宋" w:hAnsi="仿宋" w:hint="eastAsia"/>
          <w:sz w:val="28"/>
          <w:szCs w:val="28"/>
        </w:rPr>
        <w:t>②该固定资产的成本能够可靠地计量。</w:t>
      </w:r>
    </w:p>
    <w:p w:rsidR="00B13593" w:rsidRPr="00121252" w:rsidRDefault="00B13593" w:rsidP="00121252">
      <w:pPr>
        <w:pStyle w:val="a3"/>
        <w:widowControl w:val="0"/>
        <w:spacing w:before="0" w:beforeAutospacing="0" w:after="0" w:afterAutospacing="0" w:line="560" w:lineRule="exact"/>
        <w:ind w:firstLineChars="200" w:firstLine="560"/>
        <w:jc w:val="both"/>
        <w:divId w:val="709499074"/>
        <w:rPr>
          <w:rFonts w:ascii="仿宋" w:eastAsia="仿宋" w:hAnsi="仿宋"/>
          <w:sz w:val="28"/>
          <w:szCs w:val="28"/>
        </w:rPr>
      </w:pPr>
      <w:r w:rsidRPr="00121252">
        <w:rPr>
          <w:rFonts w:ascii="仿宋" w:eastAsia="仿宋" w:hAnsi="仿宋" w:hint="eastAsia"/>
          <w:sz w:val="28"/>
          <w:szCs w:val="28"/>
        </w:rPr>
        <w:t>固定资产发生的后续支出，符合固定资产确认条件的计入固定资产成本；不符合固定资产确认条件的在发生时计入当期损益。</w:t>
      </w:r>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1" w:name="_Toc989019"/>
      <w:r w:rsidRPr="00121252">
        <w:rPr>
          <w:rFonts w:ascii="仿宋" w:eastAsia="仿宋" w:hAnsi="仿宋"/>
          <w:b/>
          <w:sz w:val="28"/>
          <w:szCs w:val="28"/>
        </w:rPr>
        <w:t>（2） 折旧方法</w:t>
      </w:r>
      <w:bookmarkEnd w:id="131"/>
    </w:p>
    <w:p w:rsidR="00B13593" w:rsidRDefault="00B13593" w:rsidP="00054B06">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21252">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21252">
            <w:pPr>
              <w:spacing w:line="30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21252">
            <w:pPr>
              <w:spacing w:line="30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21252">
            <w:pPr>
              <w:spacing w:line="30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21252">
            <w:pPr>
              <w:spacing w:line="300" w:lineRule="exact"/>
              <w:jc w:val="center"/>
              <w:rPr>
                <w:rFonts w:ascii="宋体" w:eastAsia="宋体" w:hAnsi="宋体" w:cs="宋体"/>
                <w:sz w:val="18"/>
                <w:szCs w:val="18"/>
              </w:rPr>
            </w:pPr>
            <w:r>
              <w:rPr>
                <w:rFonts w:ascii="宋体" w:eastAsia="宋体" w:hAnsi="宋体" w:cs="宋体"/>
                <w:sz w:val="18"/>
                <w:szCs w:val="18"/>
              </w:rPr>
              <w:t>年折旧率</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20-50年</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1.90%-4.75%</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3-15年</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6.33%-31.67%</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4-10年</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9.50%-23.75%</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19.00%-31.67%</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其他设备</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21252">
            <w:pPr>
              <w:spacing w:line="300" w:lineRule="exact"/>
              <w:rPr>
                <w:rFonts w:ascii="宋体" w:eastAsia="宋体" w:hAnsi="宋体" w:cs="宋体"/>
                <w:sz w:val="18"/>
                <w:szCs w:val="18"/>
              </w:rPr>
            </w:pPr>
            <w:r>
              <w:rPr>
                <w:rFonts w:ascii="宋体" w:eastAsia="宋体" w:hAnsi="宋体" w:cs="宋体"/>
                <w:sz w:val="18"/>
                <w:szCs w:val="18"/>
              </w:rPr>
              <w:t>19.00%-31.67%</w:t>
            </w:r>
          </w:p>
        </w:tc>
      </w:tr>
    </w:tbl>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2" w:name="_Toc989020"/>
      <w:r w:rsidRPr="00121252">
        <w:rPr>
          <w:rFonts w:ascii="仿宋" w:eastAsia="仿宋" w:hAnsi="仿宋"/>
          <w:b/>
          <w:sz w:val="28"/>
          <w:szCs w:val="28"/>
        </w:rPr>
        <w:t>（3） 融资租入固定资产的认定依据、计价和折旧方法</w:t>
      </w:r>
      <w:bookmarkEnd w:id="132"/>
    </w:p>
    <w:p w:rsidR="00B13593" w:rsidRPr="00121252" w:rsidRDefault="00B13593" w:rsidP="00121252">
      <w:pPr>
        <w:pStyle w:val="a3"/>
        <w:widowControl w:val="0"/>
        <w:spacing w:before="0" w:beforeAutospacing="0" w:after="0" w:afterAutospacing="0" w:line="560" w:lineRule="exact"/>
        <w:ind w:firstLineChars="200" w:firstLine="560"/>
        <w:jc w:val="both"/>
        <w:divId w:val="1975140737"/>
        <w:rPr>
          <w:rFonts w:ascii="仿宋" w:eastAsia="仿宋" w:hAnsi="仿宋"/>
          <w:sz w:val="28"/>
          <w:szCs w:val="28"/>
        </w:rPr>
      </w:pPr>
      <w:r w:rsidRPr="00121252">
        <w:rPr>
          <w:rFonts w:ascii="仿宋" w:eastAsia="仿宋" w:hAnsi="仿宋" w:hint="eastAsia"/>
          <w:sz w:val="28"/>
          <w:szCs w:val="28"/>
        </w:rPr>
        <w:t>不适用。</w:t>
      </w:r>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3" w:name="_Toc989021"/>
      <w:r w:rsidRPr="00121252">
        <w:rPr>
          <w:rFonts w:ascii="仿宋" w:eastAsia="仿宋" w:hAnsi="仿宋"/>
          <w:b/>
          <w:sz w:val="28"/>
          <w:szCs w:val="28"/>
        </w:rPr>
        <w:t>25、在建工程</w:t>
      </w:r>
      <w:bookmarkEnd w:id="133"/>
    </w:p>
    <w:p w:rsidR="00B13593" w:rsidRPr="00121252" w:rsidRDefault="00B13593" w:rsidP="00121252">
      <w:pPr>
        <w:pStyle w:val="a3"/>
        <w:widowControl w:val="0"/>
        <w:spacing w:before="0" w:beforeAutospacing="0" w:after="0" w:afterAutospacing="0" w:line="560" w:lineRule="exact"/>
        <w:ind w:firstLineChars="200" w:firstLine="562"/>
        <w:jc w:val="both"/>
        <w:divId w:val="459223487"/>
        <w:rPr>
          <w:rFonts w:ascii="仿宋" w:eastAsia="仿宋" w:hAnsi="仿宋"/>
          <w:b/>
          <w:sz w:val="28"/>
          <w:szCs w:val="28"/>
        </w:rPr>
      </w:pPr>
      <w:r w:rsidRPr="00121252">
        <w:rPr>
          <w:rFonts w:ascii="仿宋" w:eastAsia="仿宋" w:hAnsi="仿宋" w:hint="eastAsia"/>
          <w:b/>
          <w:sz w:val="28"/>
          <w:szCs w:val="28"/>
        </w:rPr>
        <w:t>（1）在建工程以立项项目分类核算。</w:t>
      </w:r>
    </w:p>
    <w:p w:rsidR="00B13593" w:rsidRPr="00121252" w:rsidRDefault="00B13593" w:rsidP="00121252">
      <w:pPr>
        <w:pStyle w:val="a3"/>
        <w:widowControl w:val="0"/>
        <w:spacing w:before="0" w:beforeAutospacing="0" w:after="0" w:afterAutospacing="0" w:line="560" w:lineRule="exact"/>
        <w:ind w:firstLineChars="200" w:firstLine="562"/>
        <w:jc w:val="both"/>
        <w:divId w:val="459223487"/>
        <w:rPr>
          <w:rFonts w:ascii="仿宋" w:eastAsia="仿宋" w:hAnsi="仿宋"/>
          <w:b/>
          <w:sz w:val="28"/>
          <w:szCs w:val="28"/>
        </w:rPr>
      </w:pPr>
      <w:r w:rsidRPr="00121252">
        <w:rPr>
          <w:rFonts w:ascii="仿宋" w:eastAsia="仿宋" w:hAnsi="仿宋" w:hint="eastAsia"/>
          <w:b/>
          <w:sz w:val="28"/>
          <w:szCs w:val="28"/>
        </w:rPr>
        <w:t>（2）在建工程结转为固定资产的标准和时点</w:t>
      </w:r>
    </w:p>
    <w:p w:rsidR="00B13593" w:rsidRPr="00121252" w:rsidRDefault="00B13593" w:rsidP="00121252">
      <w:pPr>
        <w:pStyle w:val="a3"/>
        <w:widowControl w:val="0"/>
        <w:spacing w:before="0" w:beforeAutospacing="0" w:after="0" w:afterAutospacing="0" w:line="560" w:lineRule="exact"/>
        <w:ind w:firstLineChars="200" w:firstLine="560"/>
        <w:jc w:val="both"/>
        <w:divId w:val="459223487"/>
        <w:rPr>
          <w:rFonts w:ascii="仿宋" w:eastAsia="仿宋" w:hAnsi="仿宋"/>
          <w:sz w:val="28"/>
          <w:szCs w:val="28"/>
        </w:rPr>
      </w:pPr>
      <w:r w:rsidRPr="00121252">
        <w:rPr>
          <w:rFonts w:ascii="仿宋" w:eastAsia="仿宋" w:hAnsi="仿宋" w:hint="eastAsia"/>
          <w:sz w:val="28"/>
          <w:szCs w:val="28"/>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w:t>
      </w:r>
      <w:r w:rsidRPr="00121252">
        <w:rPr>
          <w:rFonts w:ascii="仿宋" w:eastAsia="仿宋" w:hAnsi="仿宋" w:hint="eastAsia"/>
          <w:sz w:val="28"/>
          <w:szCs w:val="28"/>
        </w:rPr>
        <w:lastRenderedPageBreak/>
        <w:t>计提的折旧额。</w:t>
      </w:r>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4" w:name="_Toc989022"/>
      <w:r w:rsidRPr="00121252">
        <w:rPr>
          <w:rFonts w:ascii="仿宋" w:eastAsia="仿宋" w:hAnsi="仿宋"/>
          <w:b/>
          <w:sz w:val="28"/>
          <w:szCs w:val="28"/>
        </w:rPr>
        <w:t>26、借款费用</w:t>
      </w:r>
      <w:bookmarkEnd w:id="134"/>
    </w:p>
    <w:p w:rsidR="00B13593" w:rsidRPr="00121252" w:rsidRDefault="00B13593" w:rsidP="00121252">
      <w:pPr>
        <w:pStyle w:val="a3"/>
        <w:widowControl w:val="0"/>
        <w:spacing w:before="0" w:beforeAutospacing="0" w:after="0" w:afterAutospacing="0" w:line="560" w:lineRule="exact"/>
        <w:ind w:firstLineChars="200" w:firstLine="562"/>
        <w:jc w:val="both"/>
        <w:divId w:val="39864215"/>
        <w:rPr>
          <w:rFonts w:ascii="仿宋" w:eastAsia="仿宋" w:hAnsi="仿宋"/>
          <w:b/>
          <w:sz w:val="28"/>
          <w:szCs w:val="28"/>
        </w:rPr>
      </w:pPr>
      <w:r w:rsidRPr="00121252">
        <w:rPr>
          <w:rFonts w:ascii="仿宋" w:eastAsia="仿宋" w:hAnsi="仿宋" w:hint="eastAsia"/>
          <w:b/>
          <w:sz w:val="28"/>
          <w:szCs w:val="28"/>
        </w:rPr>
        <w:t>（1）借款费用资本化的确认原则和资本化期间</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本公司发生的可直接归属于符合资本化条件的资产的购建或生产的借款费用在同时满足下列条件时予以资本化计入相关资产成本：</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①资产支出已经发生；</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②借款费用已经发生；</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③为使资产达到预定可使用状态所必要的购建或者生产活动已经开始。</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其他的借款利息、折价或溢价和汇兑差额，计入发生当期的损益。</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符合资本化条件的资产在购建或者生产过程中发生非正常中断，且中断时间连续超过3个月的，暂停借款费用的资本化。</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当购建或者生产符合资本化条件的资产达到预定可使用或者可销售状态时，停止其借款费用的资本化；以后发生的借款费用于发生当期确认为费用。</w:t>
      </w:r>
    </w:p>
    <w:p w:rsidR="00B13593" w:rsidRPr="00121252" w:rsidRDefault="00B13593" w:rsidP="00121252">
      <w:pPr>
        <w:pStyle w:val="a3"/>
        <w:widowControl w:val="0"/>
        <w:spacing w:before="0" w:beforeAutospacing="0" w:after="0" w:afterAutospacing="0" w:line="560" w:lineRule="exact"/>
        <w:ind w:firstLineChars="200" w:firstLine="562"/>
        <w:jc w:val="both"/>
        <w:divId w:val="39864215"/>
        <w:rPr>
          <w:rFonts w:ascii="仿宋" w:eastAsia="仿宋" w:hAnsi="仿宋"/>
          <w:b/>
          <w:sz w:val="28"/>
          <w:szCs w:val="28"/>
        </w:rPr>
      </w:pPr>
      <w:r w:rsidRPr="00121252">
        <w:rPr>
          <w:rFonts w:ascii="仿宋" w:eastAsia="仿宋" w:hAnsi="仿宋" w:hint="eastAsia"/>
          <w:b/>
          <w:sz w:val="28"/>
          <w:szCs w:val="28"/>
        </w:rPr>
        <w:t>（2）借款费用资本化率以及资本化金额的计算方法</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B13593" w:rsidRPr="00121252" w:rsidRDefault="00B13593" w:rsidP="00121252">
      <w:pPr>
        <w:pStyle w:val="a3"/>
        <w:widowControl w:val="0"/>
        <w:spacing w:before="0" w:beforeAutospacing="0" w:after="0" w:afterAutospacing="0" w:line="560" w:lineRule="exact"/>
        <w:ind w:firstLineChars="200" w:firstLine="560"/>
        <w:jc w:val="both"/>
        <w:divId w:val="39864215"/>
        <w:rPr>
          <w:rFonts w:ascii="仿宋" w:eastAsia="仿宋" w:hAnsi="仿宋"/>
          <w:sz w:val="28"/>
          <w:szCs w:val="28"/>
        </w:rPr>
      </w:pPr>
      <w:r w:rsidRPr="00121252">
        <w:rPr>
          <w:rFonts w:ascii="仿宋" w:eastAsia="仿宋" w:hAnsi="仿宋" w:hint="eastAsia"/>
          <w:sz w:val="28"/>
          <w:szCs w:val="28"/>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p w:rsidR="00B13593" w:rsidRPr="00121252" w:rsidRDefault="00B13F8C" w:rsidP="0012125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5" w:name="_Toc989023"/>
      <w:r w:rsidRPr="00121252">
        <w:rPr>
          <w:rFonts w:ascii="仿宋" w:eastAsia="仿宋" w:hAnsi="仿宋"/>
          <w:b/>
          <w:sz w:val="28"/>
          <w:szCs w:val="28"/>
        </w:rPr>
        <w:t>27、生物资产</w:t>
      </w:r>
      <w:bookmarkEnd w:id="135"/>
    </w:p>
    <w:p w:rsidR="00B13593" w:rsidRPr="00121252" w:rsidRDefault="00B13593" w:rsidP="00121252">
      <w:pPr>
        <w:pStyle w:val="a3"/>
        <w:widowControl w:val="0"/>
        <w:spacing w:before="0" w:beforeAutospacing="0" w:after="0" w:afterAutospacing="0" w:line="560" w:lineRule="exact"/>
        <w:ind w:firstLineChars="200" w:firstLine="560"/>
        <w:jc w:val="both"/>
        <w:divId w:val="1154449197"/>
        <w:rPr>
          <w:rFonts w:ascii="仿宋" w:eastAsia="仿宋" w:hAnsi="仿宋"/>
          <w:sz w:val="28"/>
          <w:szCs w:val="28"/>
        </w:rPr>
      </w:pPr>
      <w:r w:rsidRPr="00121252">
        <w:rPr>
          <w:rFonts w:ascii="仿宋" w:eastAsia="仿宋" w:hAnsi="仿宋" w:hint="eastAsia"/>
          <w:sz w:val="28"/>
          <w:szCs w:val="28"/>
        </w:rPr>
        <w:t>不适用。</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6" w:name="_Toc989024"/>
      <w:r w:rsidRPr="00801C59">
        <w:rPr>
          <w:rFonts w:ascii="仿宋" w:eastAsia="仿宋" w:hAnsi="仿宋"/>
          <w:b/>
          <w:sz w:val="28"/>
          <w:szCs w:val="28"/>
        </w:rPr>
        <w:lastRenderedPageBreak/>
        <w:t>28、油气资产</w:t>
      </w:r>
      <w:bookmarkEnd w:id="136"/>
    </w:p>
    <w:p w:rsidR="00B13593" w:rsidRDefault="00B13593" w:rsidP="00054B06">
      <w:pPr>
        <w:pStyle w:val="a3"/>
        <w:widowControl w:val="0"/>
        <w:spacing w:before="0" w:beforeAutospacing="0" w:after="0" w:afterAutospacing="0" w:line="540" w:lineRule="atLeast"/>
        <w:ind w:firstLine="482"/>
        <w:jc w:val="both"/>
        <w:divId w:val="1808039805"/>
      </w:pPr>
      <w:r>
        <w:rPr>
          <w:rFonts w:ascii="仿宋" w:eastAsia="仿宋" w:hAnsi="仿宋" w:hint="eastAsia"/>
          <w:color w:val="000000"/>
          <w:sz w:val="28"/>
          <w:szCs w:val="28"/>
        </w:rPr>
        <w:t>不适用。</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7" w:name="_Toc989025"/>
      <w:r w:rsidRPr="00801C59">
        <w:rPr>
          <w:rFonts w:ascii="仿宋" w:eastAsia="仿宋" w:hAnsi="仿宋"/>
          <w:b/>
          <w:sz w:val="28"/>
          <w:szCs w:val="28"/>
        </w:rPr>
        <w:t>29、使用权资产</w:t>
      </w:r>
      <w:bookmarkEnd w:id="137"/>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color w:val="000000"/>
          <w:sz w:val="28"/>
          <w:szCs w:val="28"/>
        </w:rPr>
        <w:t>使用权资产，是指承租人可在租赁期内使用租赁资产的权利。</w:t>
      </w:r>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color w:val="000000"/>
          <w:sz w:val="28"/>
          <w:szCs w:val="28"/>
        </w:rPr>
        <w:t>在租赁期开始日，使用权资产按照成本进行初始计量。该成本包括：</w:t>
      </w:r>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color w:val="000000"/>
          <w:sz w:val="28"/>
          <w:szCs w:val="28"/>
        </w:rPr>
        <w:t>租赁负债的初始计量金额；</w:t>
      </w:r>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color w:val="000000"/>
          <w:sz w:val="28"/>
          <w:szCs w:val="28"/>
        </w:rPr>
        <w:t>在租赁期开始日或之前支付的租赁付款额，存在租赁激励的，扣除已享受的租赁激励相关金额；</w:t>
      </w:r>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sz w:val="28"/>
          <w:szCs w:val="28"/>
        </w:rPr>
        <w:t>承租人发生的初始直接费用；</w:t>
      </w:r>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sz w:val="28"/>
          <w:szCs w:val="28"/>
        </w:rPr>
        <w:t>承租人为拆卸及移除租赁资产、复原租赁资产所在场地或将租赁资产恢复至租赁条款约定状态预计将发生的成本。本公司按照预计负债的确认标准和计量方法对该成本进行确认和计量，详见附注五、36。前述成本属于为生产存货而发生的将计入存货成本。</w:t>
      </w:r>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sz w:val="28"/>
          <w:szCs w:val="28"/>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B13593" w:rsidRDefault="00B13593" w:rsidP="00801C59">
      <w:pPr>
        <w:pStyle w:val="a3"/>
        <w:widowControl w:val="0"/>
        <w:spacing w:before="0" w:beforeAutospacing="0" w:after="0" w:afterAutospacing="0" w:line="560" w:lineRule="exact"/>
        <w:ind w:firstLineChars="200" w:firstLine="560"/>
        <w:jc w:val="both"/>
        <w:divId w:val="1319184947"/>
      </w:pPr>
      <w:r>
        <w:rPr>
          <w:rFonts w:ascii="仿宋" w:eastAsia="仿宋" w:hAnsi="仿宋" w:hint="eastAsia"/>
          <w:sz w:val="28"/>
          <w:szCs w:val="28"/>
        </w:rPr>
        <w:t>本公司按照《企业会计准则第8号——资产减值》的相关规定来确定使用权资产是否已发生减值并进行会计处理。</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8" w:name="_Toc989026"/>
      <w:r w:rsidRPr="00801C59">
        <w:rPr>
          <w:rFonts w:ascii="仿宋" w:eastAsia="仿宋" w:hAnsi="仿宋"/>
          <w:b/>
          <w:sz w:val="28"/>
          <w:szCs w:val="28"/>
        </w:rPr>
        <w:t>30、无形资产</w:t>
      </w:r>
      <w:bookmarkEnd w:id="138"/>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39" w:name="_Toc989027"/>
      <w:r w:rsidRPr="00801C59">
        <w:rPr>
          <w:rFonts w:ascii="仿宋" w:eastAsia="仿宋" w:hAnsi="仿宋"/>
          <w:b/>
          <w:sz w:val="28"/>
          <w:szCs w:val="28"/>
        </w:rPr>
        <w:t>（1） 计价方法、使用寿命、减值测试</w:t>
      </w:r>
      <w:bookmarkEnd w:id="139"/>
    </w:p>
    <w:p w:rsidR="00B13593" w:rsidRPr="00801C59" w:rsidRDefault="00B13593" w:rsidP="00801C59">
      <w:pPr>
        <w:pStyle w:val="a3"/>
        <w:widowControl w:val="0"/>
        <w:spacing w:before="0" w:beforeAutospacing="0" w:after="0" w:afterAutospacing="0" w:line="560" w:lineRule="exact"/>
        <w:ind w:firstLineChars="200" w:firstLine="562"/>
        <w:jc w:val="both"/>
        <w:divId w:val="2013601944"/>
        <w:rPr>
          <w:rFonts w:ascii="仿宋" w:eastAsia="仿宋" w:hAnsi="仿宋"/>
          <w:b/>
          <w:sz w:val="28"/>
          <w:szCs w:val="28"/>
        </w:rPr>
      </w:pPr>
      <w:r w:rsidRPr="00801C59">
        <w:rPr>
          <w:rFonts w:ascii="仿宋" w:eastAsia="仿宋" w:hAnsi="仿宋" w:hint="eastAsia"/>
          <w:b/>
          <w:sz w:val="28"/>
          <w:szCs w:val="28"/>
        </w:rPr>
        <w:t>1）无形资产的计价方法</w:t>
      </w:r>
    </w:p>
    <w:p w:rsidR="00B13593" w:rsidRPr="00801C59" w:rsidRDefault="00B13593" w:rsidP="00801C59">
      <w:pPr>
        <w:pStyle w:val="a3"/>
        <w:widowControl w:val="0"/>
        <w:spacing w:before="0" w:beforeAutospacing="0" w:after="0" w:afterAutospacing="0" w:line="560" w:lineRule="exact"/>
        <w:ind w:firstLineChars="200" w:firstLine="560"/>
        <w:jc w:val="both"/>
        <w:divId w:val="2013601944"/>
        <w:rPr>
          <w:rFonts w:ascii="仿宋" w:eastAsia="仿宋" w:hAnsi="仿宋"/>
          <w:sz w:val="28"/>
          <w:szCs w:val="28"/>
        </w:rPr>
      </w:pPr>
      <w:r>
        <w:rPr>
          <w:rFonts w:ascii="仿宋" w:eastAsia="仿宋" w:hAnsi="仿宋" w:hint="eastAsia"/>
          <w:sz w:val="28"/>
          <w:szCs w:val="28"/>
        </w:rPr>
        <w:t>按取得时的实际成本入账。</w:t>
      </w:r>
    </w:p>
    <w:p w:rsidR="00B13593" w:rsidRPr="00801C59" w:rsidRDefault="00B13593" w:rsidP="00801C59">
      <w:pPr>
        <w:pStyle w:val="a3"/>
        <w:widowControl w:val="0"/>
        <w:spacing w:before="0" w:beforeAutospacing="0" w:after="0" w:afterAutospacing="0" w:line="560" w:lineRule="exact"/>
        <w:ind w:firstLineChars="200" w:firstLine="562"/>
        <w:jc w:val="both"/>
        <w:divId w:val="2013601944"/>
        <w:rPr>
          <w:rFonts w:ascii="仿宋" w:eastAsia="仿宋" w:hAnsi="仿宋"/>
          <w:b/>
          <w:sz w:val="28"/>
          <w:szCs w:val="28"/>
        </w:rPr>
      </w:pPr>
      <w:r w:rsidRPr="00801C59">
        <w:rPr>
          <w:rFonts w:ascii="仿宋" w:eastAsia="仿宋" w:hAnsi="仿宋" w:hint="eastAsia"/>
          <w:b/>
          <w:sz w:val="28"/>
          <w:szCs w:val="28"/>
        </w:rPr>
        <w:lastRenderedPageBreak/>
        <w:t>2）无形资产使用寿命及摊销</w:t>
      </w:r>
    </w:p>
    <w:p w:rsidR="00B13593" w:rsidRDefault="00B13593" w:rsidP="00801C59">
      <w:pPr>
        <w:pStyle w:val="a3"/>
        <w:widowControl w:val="0"/>
        <w:spacing w:before="0" w:beforeAutospacing="0" w:after="0" w:afterAutospacing="0" w:line="560" w:lineRule="exact"/>
        <w:ind w:firstLineChars="200" w:firstLine="560"/>
        <w:jc w:val="both"/>
        <w:divId w:val="2013601944"/>
        <w:rPr>
          <w:rFonts w:ascii="仿宋" w:eastAsia="仿宋" w:hAnsi="仿宋"/>
          <w:sz w:val="28"/>
          <w:szCs w:val="28"/>
        </w:rPr>
      </w:pPr>
      <w:r>
        <w:rPr>
          <w:rFonts w:ascii="仿宋" w:eastAsia="仿宋" w:hAnsi="仿宋" w:hint="eastAsia"/>
          <w:sz w:val="28"/>
          <w:szCs w:val="28"/>
        </w:rPr>
        <w:t>①使用寿命有限的无形资产的使用寿命估计情况</w:t>
      </w:r>
      <w:r w:rsidRPr="00801C59">
        <w:rPr>
          <w:rFonts w:ascii="仿宋" w:eastAsia="仿宋" w:hAnsi="仿宋" w:hint="eastAsia"/>
          <w:sz w:val="28"/>
          <w:szCs w:val="28"/>
        </w:rPr>
        <w:t>：</w:t>
      </w:r>
    </w:p>
    <w:p w:rsidR="00801C59" w:rsidRPr="00801C59" w:rsidRDefault="00801C59" w:rsidP="00801C59">
      <w:pPr>
        <w:pStyle w:val="a3"/>
        <w:widowControl w:val="0"/>
        <w:spacing w:before="0" w:beforeAutospacing="0" w:after="0" w:afterAutospacing="0" w:line="560" w:lineRule="exact"/>
        <w:ind w:firstLine="200"/>
        <w:jc w:val="both"/>
        <w:divId w:val="2013601944"/>
        <w:rPr>
          <w:rFonts w:ascii="仿宋" w:eastAsia="仿宋" w:hAnsi="仿宋"/>
          <w:sz w:val="28"/>
          <w:szCs w:val="28"/>
        </w:rPr>
      </w:pPr>
    </w:p>
    <w:tbl>
      <w:tblPr>
        <w:tblW w:w="8844" w:type="dxa"/>
        <w:jc w:val="center"/>
        <w:tblCellMar>
          <w:left w:w="0" w:type="dxa"/>
          <w:right w:w="0" w:type="dxa"/>
        </w:tblCellMar>
        <w:tblLook w:val="04A0"/>
      </w:tblPr>
      <w:tblGrid>
        <w:gridCol w:w="2372"/>
        <w:gridCol w:w="1841"/>
        <w:gridCol w:w="4631"/>
      </w:tblGrid>
      <w:tr w:rsidR="00B13593">
        <w:trPr>
          <w:divId w:val="2013601944"/>
          <w:trHeight w:val="369"/>
          <w:tblHeader/>
          <w:jc w:val="center"/>
        </w:trPr>
        <w:tc>
          <w:tcPr>
            <w:tcW w:w="1341" w:type="pct"/>
            <w:tcBorders>
              <w:top w:val="single" w:sz="8" w:space="0" w:color="auto"/>
              <w:left w:val="single" w:sz="8" w:space="0" w:color="auto"/>
              <w:bottom w:val="single" w:sz="8" w:space="0" w:color="auto"/>
              <w:right w:val="single" w:sz="8" w:space="0" w:color="auto"/>
            </w:tcBorders>
            <w:tcMar>
              <w:top w:w="0" w:type="dxa"/>
              <w:left w:w="0" w:type="dxa"/>
              <w:bottom w:w="0" w:type="dxa"/>
              <w:right w:w="108" w:type="dxa"/>
            </w:tcMar>
            <w:vAlign w:val="center"/>
            <w:hideMark/>
          </w:tcPr>
          <w:p w:rsidR="00B13593" w:rsidRDefault="00B13593" w:rsidP="00801C59">
            <w:pPr>
              <w:pStyle w:val="a3"/>
              <w:widowControl w:val="0"/>
              <w:spacing w:before="0" w:beforeAutospacing="0" w:after="0" w:afterAutospacing="0" w:line="360" w:lineRule="exact"/>
              <w:jc w:val="center"/>
            </w:pPr>
            <w:r>
              <w:rPr>
                <w:rFonts w:hint="eastAsia"/>
                <w:sz w:val="21"/>
                <w:szCs w:val="21"/>
              </w:rPr>
              <w:t>项</w:t>
            </w:r>
            <w:r>
              <w:rPr>
                <w:rFonts w:ascii="Times New Roman" w:hAnsi="Times New Roman" w:cs="Times New Roman"/>
                <w:sz w:val="21"/>
                <w:szCs w:val="21"/>
              </w:rPr>
              <w:t xml:space="preserve">  </w:t>
            </w:r>
            <w:r>
              <w:rPr>
                <w:rFonts w:hint="eastAsia"/>
                <w:sz w:val="21"/>
                <w:szCs w:val="21"/>
              </w:rPr>
              <w:t>目</w:t>
            </w:r>
          </w:p>
        </w:tc>
        <w:tc>
          <w:tcPr>
            <w:tcW w:w="1041"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B13593" w:rsidRDefault="00B13593" w:rsidP="00801C59">
            <w:pPr>
              <w:pStyle w:val="a3"/>
              <w:widowControl w:val="0"/>
              <w:spacing w:before="0" w:beforeAutospacing="0" w:after="0" w:afterAutospacing="0" w:line="360" w:lineRule="exact"/>
              <w:jc w:val="center"/>
            </w:pPr>
            <w:r>
              <w:rPr>
                <w:rFonts w:hint="eastAsia"/>
                <w:sz w:val="21"/>
                <w:szCs w:val="21"/>
              </w:rPr>
              <w:t>预计使用寿命</w:t>
            </w:r>
          </w:p>
        </w:tc>
        <w:tc>
          <w:tcPr>
            <w:tcW w:w="2618"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B13593" w:rsidRDefault="00B13593" w:rsidP="00801C59">
            <w:pPr>
              <w:pStyle w:val="a3"/>
              <w:widowControl w:val="0"/>
              <w:spacing w:before="0" w:beforeAutospacing="0" w:after="0" w:afterAutospacing="0" w:line="360" w:lineRule="exact"/>
              <w:jc w:val="center"/>
            </w:pPr>
            <w:r>
              <w:rPr>
                <w:rFonts w:hint="eastAsia"/>
                <w:sz w:val="21"/>
                <w:szCs w:val="21"/>
              </w:rPr>
              <w:t>依据</w:t>
            </w:r>
          </w:p>
        </w:tc>
      </w:tr>
      <w:tr w:rsidR="00B13593">
        <w:trPr>
          <w:divId w:val="2013601944"/>
          <w:trHeight w:val="369"/>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pPr>
            <w:r>
              <w:rPr>
                <w:rFonts w:hint="eastAsia"/>
                <w:sz w:val="21"/>
                <w:szCs w:val="21"/>
              </w:rPr>
              <w:t>土地使用权</w:t>
            </w:r>
          </w:p>
        </w:tc>
        <w:tc>
          <w:tcPr>
            <w:tcW w:w="1041" w:type="pct"/>
            <w:tcBorders>
              <w:top w:val="nil"/>
              <w:left w:val="nil"/>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jc w:val="center"/>
            </w:pPr>
            <w:r>
              <w:rPr>
                <w:rFonts w:ascii="Times New Roman" w:hAnsi="Times New Roman" w:cs="Times New Roman"/>
                <w:sz w:val="21"/>
                <w:szCs w:val="21"/>
              </w:rPr>
              <w:t>50</w:t>
            </w:r>
            <w:r>
              <w:rPr>
                <w:rFonts w:hint="eastAsia"/>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pPr>
            <w:r>
              <w:rPr>
                <w:rFonts w:hint="eastAsia"/>
                <w:sz w:val="21"/>
                <w:szCs w:val="21"/>
              </w:rPr>
              <w:t>法定使用权</w:t>
            </w:r>
          </w:p>
        </w:tc>
      </w:tr>
      <w:tr w:rsidR="00B13593">
        <w:trPr>
          <w:divId w:val="2013601944"/>
          <w:trHeight w:val="369"/>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pPr>
            <w:r>
              <w:rPr>
                <w:rFonts w:hint="eastAsia"/>
                <w:sz w:val="21"/>
                <w:szCs w:val="21"/>
              </w:rPr>
              <w:t>计算机软件</w:t>
            </w:r>
          </w:p>
        </w:tc>
        <w:tc>
          <w:tcPr>
            <w:tcW w:w="1041" w:type="pct"/>
            <w:tcBorders>
              <w:top w:val="nil"/>
              <w:left w:val="nil"/>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jc w:val="center"/>
            </w:pPr>
            <w:r>
              <w:rPr>
                <w:rFonts w:ascii="Times New Roman" w:hAnsi="Times New Roman" w:cs="Times New Roman"/>
                <w:sz w:val="21"/>
                <w:szCs w:val="21"/>
              </w:rPr>
              <w:t>5-10</w:t>
            </w:r>
            <w:r>
              <w:rPr>
                <w:rFonts w:hint="eastAsia"/>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pPr>
            <w:r>
              <w:rPr>
                <w:rFonts w:hint="eastAsia"/>
                <w:sz w:val="21"/>
                <w:szCs w:val="21"/>
              </w:rPr>
              <w:t>参考能为公司带来经济利益的期限确定使用寿命</w:t>
            </w:r>
          </w:p>
        </w:tc>
      </w:tr>
      <w:tr w:rsidR="00B13593">
        <w:trPr>
          <w:divId w:val="2013601944"/>
          <w:trHeight w:val="369"/>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pPr>
            <w:r>
              <w:rPr>
                <w:rFonts w:hint="eastAsia"/>
                <w:sz w:val="21"/>
                <w:szCs w:val="21"/>
              </w:rPr>
              <w:t>专利技术</w:t>
            </w:r>
          </w:p>
        </w:tc>
        <w:tc>
          <w:tcPr>
            <w:tcW w:w="1041" w:type="pct"/>
            <w:tcBorders>
              <w:top w:val="nil"/>
              <w:left w:val="nil"/>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jc w:val="center"/>
            </w:pPr>
            <w:r>
              <w:rPr>
                <w:rFonts w:ascii="Times New Roman" w:hAnsi="Times New Roman" w:cs="Times New Roman"/>
                <w:sz w:val="21"/>
                <w:szCs w:val="21"/>
              </w:rPr>
              <w:t>10</w:t>
            </w:r>
            <w:r>
              <w:rPr>
                <w:rFonts w:hint="eastAsia"/>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hideMark/>
          </w:tcPr>
          <w:p w:rsidR="00B13593" w:rsidRDefault="00B13593" w:rsidP="00801C59">
            <w:pPr>
              <w:pStyle w:val="a3"/>
              <w:widowControl w:val="0"/>
              <w:spacing w:before="0" w:beforeAutospacing="0" w:after="0" w:afterAutospacing="0" w:line="360" w:lineRule="exact"/>
            </w:pPr>
            <w:r>
              <w:rPr>
                <w:rFonts w:hint="eastAsia"/>
                <w:sz w:val="21"/>
                <w:szCs w:val="21"/>
              </w:rPr>
              <w:t>参考能为公司带来经济利益的期限确定使用寿命</w:t>
            </w:r>
          </w:p>
        </w:tc>
      </w:tr>
    </w:tbl>
    <w:p w:rsidR="00B13593" w:rsidRPr="00801C59" w:rsidRDefault="00B13593" w:rsidP="00801C59">
      <w:pPr>
        <w:pStyle w:val="a3"/>
        <w:widowControl w:val="0"/>
        <w:spacing w:before="0" w:beforeAutospacing="0" w:after="0" w:afterAutospacing="0" w:line="560" w:lineRule="exact"/>
        <w:ind w:firstLineChars="200" w:firstLine="560"/>
        <w:jc w:val="both"/>
        <w:divId w:val="2013601944"/>
        <w:rPr>
          <w:rFonts w:ascii="仿宋" w:eastAsia="仿宋" w:hAnsi="仿宋"/>
          <w:sz w:val="28"/>
          <w:szCs w:val="28"/>
        </w:rPr>
      </w:pPr>
      <w:r>
        <w:rPr>
          <w:rFonts w:ascii="仿宋" w:eastAsia="仿宋" w:hAnsi="仿宋" w:hint="eastAsia"/>
          <w:sz w:val="28"/>
          <w:szCs w:val="28"/>
        </w:rPr>
        <w:t>每年年度终了，公司对使用寿命有限的无形资产的使用寿命及摊销方法进行复核。经复核，本期末无形资产的使用寿命及摊销方法与以前估计未有不同。</w:t>
      </w:r>
    </w:p>
    <w:p w:rsidR="00B13593" w:rsidRPr="00801C59" w:rsidRDefault="00B13593" w:rsidP="00801C59">
      <w:pPr>
        <w:pStyle w:val="a3"/>
        <w:widowControl w:val="0"/>
        <w:spacing w:before="0" w:beforeAutospacing="0" w:after="0" w:afterAutospacing="0" w:line="560" w:lineRule="exact"/>
        <w:ind w:firstLineChars="200" w:firstLine="560"/>
        <w:jc w:val="both"/>
        <w:divId w:val="2013601944"/>
        <w:rPr>
          <w:rFonts w:ascii="仿宋" w:eastAsia="仿宋" w:hAnsi="仿宋"/>
          <w:sz w:val="28"/>
          <w:szCs w:val="28"/>
        </w:rPr>
      </w:pPr>
      <w:r>
        <w:rPr>
          <w:rFonts w:ascii="仿宋" w:eastAsia="仿宋" w:hAnsi="仿宋" w:hint="eastAsia"/>
          <w:sz w:val="28"/>
          <w:szCs w:val="28"/>
        </w:rPr>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B13593" w:rsidRPr="00801C59" w:rsidRDefault="00B13593" w:rsidP="00801C59">
      <w:pPr>
        <w:pStyle w:val="a3"/>
        <w:widowControl w:val="0"/>
        <w:spacing w:before="0" w:beforeAutospacing="0" w:after="0" w:afterAutospacing="0" w:line="560" w:lineRule="exact"/>
        <w:ind w:firstLineChars="200" w:firstLine="560"/>
        <w:jc w:val="both"/>
        <w:divId w:val="2013601944"/>
        <w:rPr>
          <w:rFonts w:ascii="仿宋" w:eastAsia="仿宋" w:hAnsi="仿宋"/>
          <w:sz w:val="28"/>
          <w:szCs w:val="28"/>
        </w:rPr>
      </w:pPr>
      <w:r>
        <w:rPr>
          <w:rFonts w:ascii="仿宋" w:eastAsia="仿宋" w:hAnsi="仿宋" w:hint="eastAsia"/>
          <w:sz w:val="28"/>
          <w:szCs w:val="28"/>
        </w:rPr>
        <w:t>③无形资产的摊销</w:t>
      </w:r>
    </w:p>
    <w:p w:rsidR="00B13593" w:rsidRPr="00801C59" w:rsidRDefault="00B13593" w:rsidP="00801C59">
      <w:pPr>
        <w:pStyle w:val="a3"/>
        <w:widowControl w:val="0"/>
        <w:spacing w:before="0" w:beforeAutospacing="0" w:after="0" w:afterAutospacing="0" w:line="560" w:lineRule="exact"/>
        <w:ind w:firstLineChars="200" w:firstLine="560"/>
        <w:jc w:val="both"/>
        <w:divId w:val="2013601944"/>
        <w:rPr>
          <w:rFonts w:ascii="仿宋" w:eastAsia="仿宋" w:hAnsi="仿宋"/>
          <w:sz w:val="28"/>
          <w:szCs w:val="28"/>
        </w:rPr>
      </w:pPr>
      <w:r>
        <w:rPr>
          <w:rFonts w:ascii="仿宋" w:eastAsia="仿宋" w:hAnsi="仿宋" w:hint="eastAsia"/>
          <w:sz w:val="28"/>
          <w:szCs w:val="28"/>
        </w:rPr>
        <w:t>对于使用寿命有限的无形资产，本公司在取得时确定其使用寿命，在使用寿命内采用直线法系统合理摊销，摊销金额按受益项目计入当期损益。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产使用寿命结束时很可能存在。</w:t>
      </w:r>
    </w:p>
    <w:p w:rsidR="00B13593" w:rsidRPr="00801C59" w:rsidRDefault="00B13593" w:rsidP="00801C59">
      <w:pPr>
        <w:pStyle w:val="a3"/>
        <w:widowControl w:val="0"/>
        <w:spacing w:before="0" w:beforeAutospacing="0" w:after="0" w:afterAutospacing="0" w:line="560" w:lineRule="exact"/>
        <w:ind w:firstLineChars="200" w:firstLine="560"/>
        <w:jc w:val="both"/>
        <w:divId w:val="2013601944"/>
        <w:rPr>
          <w:rFonts w:ascii="仿宋" w:eastAsia="仿宋" w:hAnsi="仿宋"/>
          <w:sz w:val="28"/>
          <w:szCs w:val="28"/>
        </w:rPr>
      </w:pPr>
      <w:r>
        <w:rPr>
          <w:rFonts w:ascii="仿宋" w:eastAsia="仿宋" w:hAnsi="仿宋" w:hint="eastAsia"/>
          <w:sz w:val="28"/>
          <w:szCs w:val="28"/>
        </w:rPr>
        <w:t>对使用寿命不确定的无形资产，不予摊销。每年年度终了对使用寿命不确定的无形资产的使用寿命进行复核，如果有证据表明无形资产的使用寿命是有限的，估计其使用寿命并在预计使用年限内系统合理摊销。</w:t>
      </w:r>
    </w:p>
    <w:p w:rsidR="00B13593" w:rsidRPr="00801C59" w:rsidRDefault="00B13F8C" w:rsidP="00801C59">
      <w:pPr>
        <w:pStyle w:val="a3"/>
        <w:widowControl w:val="0"/>
        <w:spacing w:before="0" w:beforeAutospacing="0" w:after="0" w:afterAutospacing="0" w:line="560" w:lineRule="exact"/>
        <w:ind w:firstLineChars="200" w:firstLine="560"/>
        <w:jc w:val="both"/>
        <w:rPr>
          <w:rFonts w:ascii="仿宋" w:eastAsia="仿宋" w:hAnsi="仿宋"/>
          <w:b/>
          <w:sz w:val="28"/>
          <w:szCs w:val="28"/>
        </w:rPr>
      </w:pPr>
      <w:bookmarkStart w:id="140" w:name="_Toc989028"/>
      <w:r w:rsidRPr="00801C59">
        <w:rPr>
          <w:rFonts w:ascii="仿宋" w:eastAsia="仿宋" w:hAnsi="仿宋"/>
          <w:sz w:val="28"/>
          <w:szCs w:val="28"/>
        </w:rPr>
        <w:t>（</w:t>
      </w:r>
      <w:r w:rsidRPr="00801C59">
        <w:rPr>
          <w:rFonts w:ascii="仿宋" w:eastAsia="仿宋" w:hAnsi="仿宋"/>
          <w:b/>
          <w:sz w:val="28"/>
          <w:szCs w:val="28"/>
        </w:rPr>
        <w:t>2） 内部研究开发支出会计政策</w:t>
      </w:r>
      <w:bookmarkEnd w:id="140"/>
    </w:p>
    <w:p w:rsidR="00B13593" w:rsidRPr="00801C59" w:rsidRDefault="00B13593" w:rsidP="00801C59">
      <w:pPr>
        <w:pStyle w:val="a3"/>
        <w:widowControl w:val="0"/>
        <w:spacing w:before="0" w:beforeAutospacing="0" w:after="0" w:afterAutospacing="0" w:line="560" w:lineRule="exact"/>
        <w:ind w:firstLineChars="200" w:firstLine="562"/>
        <w:jc w:val="both"/>
        <w:divId w:val="242835014"/>
        <w:rPr>
          <w:rFonts w:ascii="仿宋" w:eastAsia="仿宋" w:hAnsi="仿宋"/>
          <w:b/>
          <w:sz w:val="28"/>
          <w:szCs w:val="28"/>
        </w:rPr>
      </w:pPr>
      <w:r w:rsidRPr="00801C59">
        <w:rPr>
          <w:rFonts w:ascii="仿宋" w:eastAsia="仿宋" w:hAnsi="仿宋" w:hint="eastAsia"/>
          <w:b/>
          <w:sz w:val="28"/>
          <w:szCs w:val="28"/>
        </w:rPr>
        <w:lastRenderedPageBreak/>
        <w:t>划分内部研究开发项目的研究阶段和开发阶段具体标准</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①本公司将为进一步开发活动进行的资料及相关方面的准备活动作为研究阶段，无形资产研究阶段的支出在发生时计入当期损益。</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②在本公司已完成研究阶段的工作后再进行的开发活动作为开发阶段。</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sidRPr="00801C59">
        <w:rPr>
          <w:rFonts w:ascii="仿宋" w:eastAsia="仿宋" w:hAnsi="仿宋" w:hint="eastAsia"/>
          <w:sz w:val="28"/>
          <w:szCs w:val="28"/>
        </w:rPr>
        <w:t>开发阶段支出资本化的具体条件</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开发阶段的支出同时满足下列条件时，才能确认为无形资产：</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A.完成该无形资产以使其能够使用或出售在技术上具有可行性；</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B.具有完成该无形资产并使用或出售的意图；</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C.无形资产产生经济利益的方式，包括能够证明运用该无形资产生产的产品存在市场或无形资产自身存在市场，无形资产将在内部使用的，能够证明其有用性；</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D.有足够的技术、财务资源和其他资源支持，以完成该无形资产的开发，并有能力使用或出售该无形资产；</w:t>
      </w:r>
    </w:p>
    <w:p w:rsidR="00B13593" w:rsidRPr="00801C59" w:rsidRDefault="00B13593" w:rsidP="00801C59">
      <w:pPr>
        <w:pStyle w:val="a3"/>
        <w:widowControl w:val="0"/>
        <w:spacing w:before="0" w:beforeAutospacing="0" w:after="0" w:afterAutospacing="0" w:line="560" w:lineRule="exact"/>
        <w:ind w:firstLineChars="200" w:firstLine="560"/>
        <w:jc w:val="both"/>
        <w:divId w:val="242835014"/>
        <w:rPr>
          <w:rFonts w:ascii="仿宋" w:eastAsia="仿宋" w:hAnsi="仿宋"/>
          <w:sz w:val="28"/>
          <w:szCs w:val="28"/>
        </w:rPr>
      </w:pPr>
      <w:r>
        <w:rPr>
          <w:rFonts w:ascii="仿宋" w:eastAsia="仿宋" w:hAnsi="仿宋" w:hint="eastAsia"/>
          <w:sz w:val="28"/>
          <w:szCs w:val="28"/>
        </w:rPr>
        <w:t>E.归属于该无形资产开发阶段的支出能够可靠地计量。</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1" w:name="_Toc989029"/>
      <w:r w:rsidRPr="00801C59">
        <w:rPr>
          <w:rFonts w:ascii="仿宋" w:eastAsia="仿宋" w:hAnsi="仿宋"/>
          <w:b/>
          <w:sz w:val="28"/>
          <w:szCs w:val="28"/>
        </w:rPr>
        <w:t>31、长期资产减值</w:t>
      </w:r>
      <w:bookmarkEnd w:id="141"/>
    </w:p>
    <w:p w:rsidR="00B13593" w:rsidRPr="00801C59" w:rsidRDefault="00B13593" w:rsidP="00801C59">
      <w:pPr>
        <w:pStyle w:val="a3"/>
        <w:widowControl w:val="0"/>
        <w:spacing w:before="0" w:beforeAutospacing="0" w:after="0" w:afterAutospacing="0" w:line="560" w:lineRule="exact"/>
        <w:ind w:firstLineChars="200" w:firstLine="560"/>
        <w:jc w:val="both"/>
        <w:divId w:val="1274022278"/>
        <w:rPr>
          <w:rFonts w:ascii="仿宋" w:eastAsia="仿宋" w:hAnsi="仿宋"/>
          <w:sz w:val="28"/>
          <w:szCs w:val="28"/>
        </w:rPr>
      </w:pPr>
      <w:r>
        <w:rPr>
          <w:rFonts w:ascii="仿宋" w:eastAsia="仿宋" w:hAnsi="仿宋" w:hint="eastAsia"/>
          <w:sz w:val="28"/>
          <w:szCs w:val="28"/>
        </w:rPr>
        <w:t>对子公司、联营企业和合营企业的长期股权投资、采用成本模式进行后续计量的投资性房地产、固定资产、在建工程、无形资产、商誉等（存货、递延所得税资产、金融资产除外）的资产减值，按以下方法确定：</w:t>
      </w:r>
    </w:p>
    <w:p w:rsidR="00B13593" w:rsidRPr="00801C59" w:rsidRDefault="00B13593" w:rsidP="00801C59">
      <w:pPr>
        <w:pStyle w:val="a3"/>
        <w:widowControl w:val="0"/>
        <w:spacing w:before="0" w:beforeAutospacing="0" w:after="0" w:afterAutospacing="0" w:line="560" w:lineRule="exact"/>
        <w:ind w:firstLineChars="200" w:firstLine="560"/>
        <w:jc w:val="both"/>
        <w:divId w:val="1274022278"/>
        <w:rPr>
          <w:rFonts w:ascii="仿宋" w:eastAsia="仿宋" w:hAnsi="仿宋"/>
          <w:sz w:val="28"/>
          <w:szCs w:val="28"/>
        </w:rPr>
      </w:pPr>
      <w:r>
        <w:rPr>
          <w:rFonts w:ascii="仿宋" w:eastAsia="仿宋" w:hAnsi="仿宋" w:hint="eastAsia"/>
          <w:sz w:val="28"/>
          <w:szCs w:val="28"/>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B13593" w:rsidRPr="00801C59" w:rsidRDefault="00B13593" w:rsidP="00801C59">
      <w:pPr>
        <w:pStyle w:val="a3"/>
        <w:widowControl w:val="0"/>
        <w:spacing w:before="0" w:beforeAutospacing="0" w:after="0" w:afterAutospacing="0" w:line="560" w:lineRule="exact"/>
        <w:ind w:firstLineChars="200" w:firstLine="560"/>
        <w:jc w:val="both"/>
        <w:divId w:val="1274022278"/>
        <w:rPr>
          <w:rFonts w:ascii="仿宋" w:eastAsia="仿宋" w:hAnsi="仿宋"/>
          <w:sz w:val="28"/>
          <w:szCs w:val="28"/>
        </w:rPr>
      </w:pPr>
      <w:r>
        <w:rPr>
          <w:rFonts w:ascii="仿宋" w:eastAsia="仿宋" w:hAnsi="仿宋" w:hint="eastAsia"/>
          <w:sz w:val="28"/>
          <w:szCs w:val="28"/>
        </w:rPr>
        <w:t>可收回金额根据资产的公允价值减去处置费用后的净额与资产预计未来现金流量的现值两者之间较高者确定。本公司以单项资产为基础估计其可收</w:t>
      </w:r>
      <w:r>
        <w:rPr>
          <w:rFonts w:ascii="仿宋" w:eastAsia="仿宋" w:hAnsi="仿宋" w:hint="eastAsia"/>
          <w:sz w:val="28"/>
          <w:szCs w:val="28"/>
        </w:rPr>
        <w:lastRenderedPageBreak/>
        <w:t>回金额；难以对单项资产的可收回金额进行估计的，以该资产所属的资产组为基础确定资产组的可收回金额。资产组的认定，以资产组产生的主要现金流入是否独立于其他资产或者资产组的现金流入为依据。</w:t>
      </w:r>
    </w:p>
    <w:p w:rsidR="00B13593" w:rsidRPr="00801C59" w:rsidRDefault="00B13593" w:rsidP="00801C59">
      <w:pPr>
        <w:pStyle w:val="a3"/>
        <w:widowControl w:val="0"/>
        <w:spacing w:before="0" w:beforeAutospacing="0" w:after="0" w:afterAutospacing="0" w:line="560" w:lineRule="exact"/>
        <w:ind w:firstLineChars="200" w:firstLine="560"/>
        <w:jc w:val="both"/>
        <w:divId w:val="1274022278"/>
        <w:rPr>
          <w:rFonts w:ascii="仿宋" w:eastAsia="仿宋" w:hAnsi="仿宋"/>
          <w:sz w:val="28"/>
          <w:szCs w:val="28"/>
        </w:rPr>
      </w:pPr>
      <w:r>
        <w:rPr>
          <w:rFonts w:ascii="仿宋" w:eastAsia="仿宋" w:hAnsi="仿宋" w:hint="eastAsia"/>
          <w:sz w:val="28"/>
          <w:szCs w:val="28"/>
        </w:rPr>
        <w:t>当资产或资产组的可收回金额低于其账面价值时，本公司将其账面价值减记至可收回金额，减记的金额计入当期损益，同时计提相应的资产减值准备。</w:t>
      </w:r>
    </w:p>
    <w:p w:rsidR="00B13593" w:rsidRPr="00801C59" w:rsidRDefault="00B13593" w:rsidP="00801C59">
      <w:pPr>
        <w:pStyle w:val="a3"/>
        <w:widowControl w:val="0"/>
        <w:spacing w:before="0" w:beforeAutospacing="0" w:after="0" w:afterAutospacing="0" w:line="560" w:lineRule="exact"/>
        <w:ind w:firstLineChars="200" w:firstLine="560"/>
        <w:jc w:val="both"/>
        <w:divId w:val="1274022278"/>
        <w:rPr>
          <w:rFonts w:ascii="仿宋" w:eastAsia="仿宋" w:hAnsi="仿宋"/>
          <w:sz w:val="28"/>
          <w:szCs w:val="28"/>
        </w:rPr>
      </w:pPr>
      <w:r>
        <w:rPr>
          <w:rFonts w:ascii="仿宋" w:eastAsia="仿宋" w:hAnsi="仿宋" w:hint="eastAsia"/>
          <w:sz w:val="28"/>
          <w:szCs w:val="2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B13593" w:rsidRPr="00801C59" w:rsidRDefault="00B13593" w:rsidP="00801C59">
      <w:pPr>
        <w:pStyle w:val="a3"/>
        <w:widowControl w:val="0"/>
        <w:spacing w:before="0" w:beforeAutospacing="0" w:after="0" w:afterAutospacing="0" w:line="560" w:lineRule="exact"/>
        <w:ind w:firstLineChars="200" w:firstLine="560"/>
        <w:jc w:val="both"/>
        <w:divId w:val="1274022278"/>
        <w:rPr>
          <w:rFonts w:ascii="仿宋" w:eastAsia="仿宋" w:hAnsi="仿宋"/>
          <w:sz w:val="28"/>
          <w:szCs w:val="28"/>
        </w:rPr>
      </w:pPr>
      <w:r>
        <w:rPr>
          <w:rFonts w:ascii="仿宋" w:eastAsia="仿宋" w:hAnsi="仿宋" w:hint="eastAsia"/>
          <w:sz w:val="28"/>
          <w:szCs w:val="2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B13593" w:rsidRPr="00801C59" w:rsidRDefault="00B13593" w:rsidP="00801C59">
      <w:pPr>
        <w:pStyle w:val="a3"/>
        <w:widowControl w:val="0"/>
        <w:spacing w:before="0" w:beforeAutospacing="0" w:after="0" w:afterAutospacing="0" w:line="560" w:lineRule="exact"/>
        <w:ind w:firstLineChars="200" w:firstLine="560"/>
        <w:jc w:val="both"/>
        <w:divId w:val="1274022278"/>
        <w:rPr>
          <w:rFonts w:ascii="仿宋" w:eastAsia="仿宋" w:hAnsi="仿宋"/>
          <w:sz w:val="28"/>
          <w:szCs w:val="28"/>
        </w:rPr>
      </w:pPr>
      <w:r>
        <w:rPr>
          <w:rFonts w:ascii="仿宋" w:eastAsia="仿宋" w:hAnsi="仿宋" w:hint="eastAsia"/>
          <w:sz w:val="28"/>
          <w:szCs w:val="28"/>
        </w:rPr>
        <w:t>资产减值损失一经确认，在以后会计期间不再转回。</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2" w:name="_Toc989030"/>
      <w:r w:rsidRPr="00801C59">
        <w:rPr>
          <w:rFonts w:ascii="仿宋" w:eastAsia="仿宋" w:hAnsi="仿宋"/>
          <w:b/>
          <w:sz w:val="28"/>
          <w:szCs w:val="28"/>
        </w:rPr>
        <w:t>32、长期待摊费用</w:t>
      </w:r>
      <w:bookmarkEnd w:id="142"/>
    </w:p>
    <w:p w:rsidR="00B13593" w:rsidRPr="00801C59" w:rsidRDefault="00B13593" w:rsidP="00801C59">
      <w:pPr>
        <w:pStyle w:val="a3"/>
        <w:widowControl w:val="0"/>
        <w:spacing w:before="0" w:beforeAutospacing="0" w:after="0" w:afterAutospacing="0" w:line="560" w:lineRule="exact"/>
        <w:ind w:firstLineChars="200" w:firstLine="560"/>
        <w:jc w:val="both"/>
        <w:divId w:val="2116747536"/>
        <w:rPr>
          <w:rFonts w:ascii="仿宋" w:eastAsia="仿宋" w:hAnsi="仿宋"/>
          <w:sz w:val="28"/>
          <w:szCs w:val="28"/>
        </w:rPr>
      </w:pPr>
      <w:r>
        <w:rPr>
          <w:rFonts w:ascii="仿宋" w:eastAsia="仿宋" w:hAnsi="仿宋" w:hint="eastAsia"/>
          <w:sz w:val="28"/>
          <w:szCs w:val="28"/>
        </w:rPr>
        <w:t>长期待摊费用核算本公司已经发生但应由本期和以后各期负担的分摊期限在一年以上的各项费用，以实际发生的支出入账并在其预计受益期内按直线法平均摊销。</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3" w:name="_Toc989031"/>
      <w:r w:rsidRPr="00801C59">
        <w:rPr>
          <w:rFonts w:ascii="仿宋" w:eastAsia="仿宋" w:hAnsi="仿宋"/>
          <w:b/>
          <w:sz w:val="28"/>
          <w:szCs w:val="28"/>
        </w:rPr>
        <w:t>33、合同负债</w:t>
      </w:r>
      <w:bookmarkEnd w:id="143"/>
    </w:p>
    <w:p w:rsidR="00B13593" w:rsidRPr="00801C59" w:rsidRDefault="00B13593" w:rsidP="00801C59">
      <w:pPr>
        <w:pStyle w:val="a3"/>
        <w:widowControl w:val="0"/>
        <w:spacing w:before="0" w:beforeAutospacing="0" w:after="0" w:afterAutospacing="0" w:line="560" w:lineRule="exact"/>
        <w:ind w:firstLineChars="200" w:firstLine="560"/>
        <w:jc w:val="both"/>
        <w:divId w:val="2145193306"/>
        <w:rPr>
          <w:rFonts w:ascii="仿宋" w:eastAsia="仿宋" w:hAnsi="仿宋"/>
          <w:sz w:val="28"/>
          <w:szCs w:val="28"/>
        </w:rPr>
      </w:pPr>
      <w:r>
        <w:rPr>
          <w:rFonts w:ascii="仿宋" w:eastAsia="仿宋" w:hAnsi="仿宋" w:hint="eastAsia"/>
          <w:sz w:val="28"/>
          <w:szCs w:val="28"/>
        </w:rPr>
        <w:t>本公司已收客户对价而应向客户转让商品或提供服务的义务列示为合同负债。合同资产和合同负债在资产负债表中单独列示。同一合同下的合同资</w:t>
      </w:r>
      <w:r>
        <w:rPr>
          <w:rFonts w:ascii="仿宋" w:eastAsia="仿宋" w:hAnsi="仿宋" w:hint="eastAsia"/>
          <w:sz w:val="28"/>
          <w:szCs w:val="28"/>
        </w:rPr>
        <w:lastRenderedPageBreak/>
        <w:t>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4" w:name="_Toc989032"/>
      <w:r w:rsidRPr="00801C59">
        <w:rPr>
          <w:rFonts w:ascii="仿宋" w:eastAsia="仿宋" w:hAnsi="仿宋"/>
          <w:b/>
          <w:sz w:val="28"/>
          <w:szCs w:val="28"/>
        </w:rPr>
        <w:t>34、职工薪酬</w:t>
      </w:r>
      <w:bookmarkEnd w:id="144"/>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5" w:name="_Toc989033"/>
      <w:r w:rsidRPr="00801C59">
        <w:rPr>
          <w:rFonts w:ascii="仿宋" w:eastAsia="仿宋" w:hAnsi="仿宋"/>
          <w:b/>
          <w:sz w:val="28"/>
          <w:szCs w:val="28"/>
        </w:rPr>
        <w:t>（1） 短期薪酬的会计处理方法</w:t>
      </w:r>
      <w:bookmarkEnd w:id="145"/>
    </w:p>
    <w:p w:rsidR="00B13593" w:rsidRPr="00801C59" w:rsidRDefault="00B13593" w:rsidP="00801C59">
      <w:pPr>
        <w:pStyle w:val="a3"/>
        <w:widowControl w:val="0"/>
        <w:spacing w:before="0" w:beforeAutospacing="0" w:after="0" w:afterAutospacing="0" w:line="560" w:lineRule="exact"/>
        <w:ind w:firstLineChars="200" w:firstLine="560"/>
        <w:jc w:val="both"/>
        <w:divId w:val="1472868964"/>
        <w:rPr>
          <w:rFonts w:ascii="仿宋" w:eastAsia="仿宋" w:hAnsi="仿宋"/>
          <w:sz w:val="28"/>
          <w:szCs w:val="28"/>
        </w:rPr>
      </w:pPr>
      <w:r>
        <w:rPr>
          <w:rFonts w:ascii="仿宋" w:eastAsia="仿宋" w:hAnsi="仿宋" w:hint="eastAsia"/>
          <w:sz w:val="28"/>
          <w:szCs w:val="28"/>
        </w:rPr>
        <w:t>①职工基本薪酬（工资、奖金、津贴、补贴）</w:t>
      </w:r>
    </w:p>
    <w:p w:rsidR="00B13593" w:rsidRPr="00801C59" w:rsidRDefault="00B13593" w:rsidP="00801C59">
      <w:pPr>
        <w:pStyle w:val="a3"/>
        <w:widowControl w:val="0"/>
        <w:spacing w:before="0" w:beforeAutospacing="0" w:after="0" w:afterAutospacing="0" w:line="560" w:lineRule="exact"/>
        <w:ind w:firstLineChars="200" w:firstLine="560"/>
        <w:jc w:val="both"/>
        <w:divId w:val="1472868964"/>
        <w:rPr>
          <w:rFonts w:ascii="仿宋" w:eastAsia="仿宋" w:hAnsi="仿宋"/>
          <w:sz w:val="28"/>
          <w:szCs w:val="28"/>
        </w:rPr>
      </w:pPr>
      <w:r>
        <w:rPr>
          <w:rFonts w:ascii="仿宋" w:eastAsia="仿宋" w:hAnsi="仿宋" w:hint="eastAsia"/>
          <w:sz w:val="28"/>
          <w:szCs w:val="28"/>
        </w:rPr>
        <w:t>本公司在职工为其提供服务的会计期间，将实际发生的短期薪酬确认为负债，并计入当期损益，其他会计准则要求或允许计入资产成本的除外。</w:t>
      </w:r>
    </w:p>
    <w:p w:rsidR="00B13593" w:rsidRPr="00801C59" w:rsidRDefault="00B13593" w:rsidP="00801C59">
      <w:pPr>
        <w:pStyle w:val="a3"/>
        <w:widowControl w:val="0"/>
        <w:spacing w:before="0" w:beforeAutospacing="0" w:after="0" w:afterAutospacing="0" w:line="560" w:lineRule="exact"/>
        <w:ind w:firstLineChars="200" w:firstLine="560"/>
        <w:jc w:val="both"/>
        <w:divId w:val="1472868964"/>
        <w:rPr>
          <w:rFonts w:ascii="仿宋" w:eastAsia="仿宋" w:hAnsi="仿宋"/>
          <w:sz w:val="28"/>
          <w:szCs w:val="28"/>
        </w:rPr>
      </w:pPr>
      <w:r>
        <w:rPr>
          <w:rFonts w:ascii="仿宋" w:eastAsia="仿宋" w:hAnsi="仿宋" w:hint="eastAsia"/>
          <w:sz w:val="28"/>
          <w:szCs w:val="28"/>
        </w:rPr>
        <w:t>②职工福利费</w:t>
      </w:r>
    </w:p>
    <w:p w:rsidR="00B13593" w:rsidRPr="00801C59" w:rsidRDefault="00B13593" w:rsidP="00801C59">
      <w:pPr>
        <w:pStyle w:val="a3"/>
        <w:widowControl w:val="0"/>
        <w:spacing w:before="0" w:beforeAutospacing="0" w:after="0" w:afterAutospacing="0" w:line="560" w:lineRule="exact"/>
        <w:ind w:firstLineChars="200" w:firstLine="560"/>
        <w:jc w:val="both"/>
        <w:divId w:val="1472868964"/>
        <w:rPr>
          <w:rFonts w:ascii="仿宋" w:eastAsia="仿宋" w:hAnsi="仿宋"/>
          <w:sz w:val="28"/>
          <w:szCs w:val="28"/>
        </w:rPr>
      </w:pPr>
      <w:r>
        <w:rPr>
          <w:rFonts w:ascii="仿宋" w:eastAsia="仿宋" w:hAnsi="仿宋" w:hint="eastAsia"/>
          <w:sz w:val="28"/>
          <w:szCs w:val="28"/>
        </w:rPr>
        <w:t>本公司发生的职工福利费，在实际发生时根据实际发生额计入当期损益或相关资产成本。职工福利费为非货币性福利的，按照公允价值计量。</w:t>
      </w:r>
    </w:p>
    <w:p w:rsidR="00B13593" w:rsidRPr="00801C59" w:rsidRDefault="00B13593" w:rsidP="00801C59">
      <w:pPr>
        <w:pStyle w:val="a3"/>
        <w:widowControl w:val="0"/>
        <w:spacing w:before="0" w:beforeAutospacing="0" w:after="0" w:afterAutospacing="0" w:line="560" w:lineRule="exact"/>
        <w:ind w:firstLineChars="200" w:firstLine="560"/>
        <w:jc w:val="both"/>
        <w:divId w:val="1472868964"/>
        <w:rPr>
          <w:rFonts w:ascii="仿宋" w:eastAsia="仿宋" w:hAnsi="仿宋"/>
          <w:sz w:val="28"/>
          <w:szCs w:val="28"/>
        </w:rPr>
      </w:pPr>
      <w:r>
        <w:rPr>
          <w:rFonts w:ascii="仿宋" w:eastAsia="仿宋" w:hAnsi="仿宋" w:hint="eastAsia"/>
          <w:sz w:val="28"/>
          <w:szCs w:val="28"/>
        </w:rPr>
        <w:t>③医疗保险费、工伤保险费、生育保险费等社会保险费和住房公积金，以及工会经费和职工教育经费</w:t>
      </w:r>
    </w:p>
    <w:p w:rsidR="00B13593" w:rsidRPr="00801C59" w:rsidRDefault="00B13593" w:rsidP="00801C59">
      <w:pPr>
        <w:pStyle w:val="a3"/>
        <w:widowControl w:val="0"/>
        <w:spacing w:before="0" w:beforeAutospacing="0" w:after="0" w:afterAutospacing="0" w:line="560" w:lineRule="exact"/>
        <w:ind w:firstLineChars="200" w:firstLine="560"/>
        <w:jc w:val="both"/>
        <w:divId w:val="1472868964"/>
        <w:rPr>
          <w:rFonts w:ascii="仿宋" w:eastAsia="仿宋" w:hAnsi="仿宋"/>
          <w:sz w:val="28"/>
          <w:szCs w:val="28"/>
        </w:rPr>
      </w:pPr>
      <w:r>
        <w:rPr>
          <w:rFonts w:ascii="仿宋" w:eastAsia="仿宋" w:hAnsi="仿宋" w:hint="eastAsia"/>
          <w:sz w:val="28"/>
          <w:szCs w:val="28"/>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6" w:name="_Toc989034"/>
      <w:r w:rsidRPr="00801C59">
        <w:rPr>
          <w:rFonts w:ascii="仿宋" w:eastAsia="仿宋" w:hAnsi="仿宋"/>
          <w:b/>
          <w:sz w:val="28"/>
          <w:szCs w:val="28"/>
        </w:rPr>
        <w:t>（2） 离职后福利的会计处理方法</w:t>
      </w:r>
      <w:bookmarkEnd w:id="146"/>
    </w:p>
    <w:p w:rsidR="00B13593" w:rsidRPr="00801C59" w:rsidRDefault="00B13593" w:rsidP="00801C59">
      <w:pPr>
        <w:pStyle w:val="a3"/>
        <w:widowControl w:val="0"/>
        <w:spacing w:before="0" w:beforeAutospacing="0" w:after="0" w:afterAutospacing="0" w:line="560" w:lineRule="exact"/>
        <w:ind w:firstLineChars="200" w:firstLine="560"/>
        <w:jc w:val="both"/>
        <w:divId w:val="827095220"/>
        <w:rPr>
          <w:rFonts w:ascii="仿宋" w:eastAsia="仿宋" w:hAnsi="仿宋"/>
          <w:sz w:val="28"/>
          <w:szCs w:val="28"/>
        </w:rPr>
      </w:pPr>
      <w:r>
        <w:rPr>
          <w:rFonts w:ascii="仿宋" w:eastAsia="仿宋" w:hAnsi="仿宋" w:hint="eastAsia"/>
          <w:sz w:val="28"/>
          <w:szCs w:val="28"/>
        </w:rPr>
        <w:t>①设定提存计划</w:t>
      </w:r>
    </w:p>
    <w:p w:rsidR="00B13593" w:rsidRPr="00801C59" w:rsidRDefault="00B13593" w:rsidP="00801C59">
      <w:pPr>
        <w:pStyle w:val="a3"/>
        <w:widowControl w:val="0"/>
        <w:spacing w:before="0" w:beforeAutospacing="0" w:after="0" w:afterAutospacing="0" w:line="560" w:lineRule="exact"/>
        <w:ind w:firstLineChars="200" w:firstLine="560"/>
        <w:jc w:val="both"/>
        <w:divId w:val="827095220"/>
        <w:rPr>
          <w:rFonts w:ascii="仿宋" w:eastAsia="仿宋" w:hAnsi="仿宋"/>
          <w:sz w:val="28"/>
          <w:szCs w:val="28"/>
        </w:rPr>
      </w:pPr>
      <w:r>
        <w:rPr>
          <w:rFonts w:ascii="仿宋" w:eastAsia="仿宋" w:hAnsi="仿宋" w:hint="eastAsia"/>
          <w:sz w:val="28"/>
          <w:szCs w:val="28"/>
        </w:rPr>
        <w:t>本公司在职工为其提供服务的会计期间，将根据设定提存计划计算的应缴存金额确认为负债，并计入当期损益或相关资产成本。</w:t>
      </w:r>
    </w:p>
    <w:p w:rsidR="00B13593" w:rsidRPr="00801C59" w:rsidRDefault="00B13593" w:rsidP="00801C59">
      <w:pPr>
        <w:pStyle w:val="a3"/>
        <w:widowControl w:val="0"/>
        <w:spacing w:before="0" w:beforeAutospacing="0" w:after="0" w:afterAutospacing="0" w:line="560" w:lineRule="exact"/>
        <w:ind w:firstLineChars="200" w:firstLine="560"/>
        <w:jc w:val="both"/>
        <w:divId w:val="827095220"/>
        <w:rPr>
          <w:rFonts w:ascii="仿宋" w:eastAsia="仿宋" w:hAnsi="仿宋"/>
          <w:sz w:val="28"/>
          <w:szCs w:val="28"/>
        </w:rPr>
      </w:pPr>
      <w:r>
        <w:rPr>
          <w:rFonts w:ascii="仿宋" w:eastAsia="仿宋" w:hAnsi="仿宋" w:hint="eastAsia"/>
          <w:sz w:val="28"/>
          <w:szCs w:val="28"/>
        </w:rPr>
        <w:t>根据设定提存计划，预期不会在职工提供相关服务的年度报告期结束后十二个月内支付全部应缴存金额的，本公司参照相应的折现率（根据资产负</w:t>
      </w:r>
      <w:r>
        <w:rPr>
          <w:rFonts w:ascii="仿宋" w:eastAsia="仿宋" w:hAnsi="仿宋" w:hint="eastAsia"/>
          <w:sz w:val="28"/>
          <w:szCs w:val="28"/>
        </w:rPr>
        <w:lastRenderedPageBreak/>
        <w:t>债表日与设定提存计划义务期限和币种相匹配的国债或活跃市场上的高质量公司债券的市场收益率确定），将全部应缴存金额以折现后的金额计量应付职工薪酬。</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7" w:name="_Toc989035"/>
      <w:r w:rsidRPr="00801C59">
        <w:rPr>
          <w:rFonts w:ascii="仿宋" w:eastAsia="仿宋" w:hAnsi="仿宋"/>
          <w:b/>
          <w:sz w:val="28"/>
          <w:szCs w:val="28"/>
        </w:rPr>
        <w:t>（3） 辞退福利的会计处理方法</w:t>
      </w:r>
      <w:bookmarkEnd w:id="147"/>
    </w:p>
    <w:p w:rsidR="00B13593" w:rsidRPr="00801C59" w:rsidRDefault="00B13593" w:rsidP="00801C59">
      <w:pPr>
        <w:pStyle w:val="a3"/>
        <w:widowControl w:val="0"/>
        <w:spacing w:before="0" w:beforeAutospacing="0" w:after="0" w:afterAutospacing="0" w:line="560" w:lineRule="exact"/>
        <w:ind w:firstLineChars="200" w:firstLine="560"/>
        <w:jc w:val="both"/>
        <w:divId w:val="2040356592"/>
        <w:rPr>
          <w:rFonts w:ascii="仿宋" w:eastAsia="仿宋" w:hAnsi="仿宋"/>
          <w:sz w:val="28"/>
          <w:szCs w:val="28"/>
        </w:rPr>
      </w:pPr>
      <w:r>
        <w:rPr>
          <w:rFonts w:ascii="仿宋" w:eastAsia="仿宋" w:hAnsi="仿宋" w:hint="eastAsia"/>
          <w:sz w:val="28"/>
          <w:szCs w:val="28"/>
        </w:rPr>
        <w:t>本公司向职工提供辞退福利的，在下列两者孰早日确认辞退福利产生的职工薪酬负债，并计入当期损益：</w:t>
      </w:r>
    </w:p>
    <w:p w:rsidR="00B13593" w:rsidRPr="00801C59" w:rsidRDefault="00B13593" w:rsidP="00801C59">
      <w:pPr>
        <w:pStyle w:val="a3"/>
        <w:widowControl w:val="0"/>
        <w:spacing w:before="0" w:beforeAutospacing="0" w:after="0" w:afterAutospacing="0" w:line="560" w:lineRule="exact"/>
        <w:ind w:firstLineChars="200" w:firstLine="560"/>
        <w:jc w:val="both"/>
        <w:divId w:val="2040356592"/>
        <w:rPr>
          <w:rFonts w:ascii="仿宋" w:eastAsia="仿宋" w:hAnsi="仿宋"/>
          <w:sz w:val="28"/>
          <w:szCs w:val="28"/>
        </w:rPr>
      </w:pPr>
      <w:r>
        <w:rPr>
          <w:rFonts w:ascii="仿宋" w:eastAsia="仿宋" w:hAnsi="仿宋" w:hint="eastAsia"/>
          <w:sz w:val="28"/>
          <w:szCs w:val="28"/>
        </w:rPr>
        <w:t>①企业不能单方面撤回因解除劳动关系计划或裁减建议所提供的辞退福利时；</w:t>
      </w:r>
    </w:p>
    <w:p w:rsidR="00B13593" w:rsidRPr="00801C59" w:rsidRDefault="00B13593" w:rsidP="00801C59">
      <w:pPr>
        <w:pStyle w:val="a3"/>
        <w:widowControl w:val="0"/>
        <w:spacing w:before="0" w:beforeAutospacing="0" w:after="0" w:afterAutospacing="0" w:line="560" w:lineRule="exact"/>
        <w:ind w:firstLineChars="200" w:firstLine="560"/>
        <w:jc w:val="both"/>
        <w:divId w:val="2040356592"/>
        <w:rPr>
          <w:rFonts w:ascii="仿宋" w:eastAsia="仿宋" w:hAnsi="仿宋"/>
          <w:sz w:val="28"/>
          <w:szCs w:val="28"/>
        </w:rPr>
      </w:pPr>
      <w:r>
        <w:rPr>
          <w:rFonts w:ascii="仿宋" w:eastAsia="仿宋" w:hAnsi="仿宋" w:hint="eastAsia"/>
          <w:sz w:val="28"/>
          <w:szCs w:val="28"/>
        </w:rPr>
        <w:t>②企业确认与涉及支付辞退福利的重组相关的成本或费用时。</w:t>
      </w:r>
    </w:p>
    <w:p w:rsidR="00B13593" w:rsidRPr="00801C59" w:rsidRDefault="00B13593" w:rsidP="00801C59">
      <w:pPr>
        <w:pStyle w:val="a3"/>
        <w:widowControl w:val="0"/>
        <w:spacing w:before="0" w:beforeAutospacing="0" w:after="0" w:afterAutospacing="0" w:line="560" w:lineRule="exact"/>
        <w:ind w:firstLineChars="200" w:firstLine="560"/>
        <w:jc w:val="both"/>
        <w:divId w:val="2040356592"/>
        <w:rPr>
          <w:rFonts w:ascii="仿宋" w:eastAsia="仿宋" w:hAnsi="仿宋"/>
          <w:sz w:val="28"/>
          <w:szCs w:val="28"/>
        </w:rPr>
      </w:pPr>
      <w:r>
        <w:rPr>
          <w:rFonts w:ascii="仿宋" w:eastAsia="仿宋" w:hAnsi="仿宋" w:hint="eastAsia"/>
          <w:sz w:val="28"/>
          <w:szCs w:val="28"/>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8" w:name="_Toc989036"/>
      <w:r w:rsidRPr="00801C59">
        <w:rPr>
          <w:rFonts w:ascii="仿宋" w:eastAsia="仿宋" w:hAnsi="仿宋"/>
          <w:b/>
          <w:sz w:val="28"/>
          <w:szCs w:val="28"/>
        </w:rPr>
        <w:t>（4） 其他长期职工福利的会计处理方法</w:t>
      </w:r>
      <w:bookmarkEnd w:id="148"/>
    </w:p>
    <w:p w:rsidR="00B13593" w:rsidRPr="00801C59" w:rsidRDefault="00B13593" w:rsidP="00801C59">
      <w:pPr>
        <w:pStyle w:val="a3"/>
        <w:widowControl w:val="0"/>
        <w:spacing w:before="0" w:beforeAutospacing="0" w:after="0" w:afterAutospacing="0" w:line="560" w:lineRule="exact"/>
        <w:ind w:firstLineChars="200" w:firstLine="560"/>
        <w:jc w:val="both"/>
        <w:divId w:val="1917589797"/>
        <w:rPr>
          <w:rFonts w:ascii="仿宋" w:eastAsia="仿宋" w:hAnsi="仿宋"/>
          <w:sz w:val="28"/>
          <w:szCs w:val="28"/>
        </w:rPr>
      </w:pPr>
      <w:r>
        <w:rPr>
          <w:rFonts w:ascii="仿宋" w:eastAsia="仿宋" w:hAnsi="仿宋" w:hint="eastAsia"/>
          <w:sz w:val="28"/>
          <w:szCs w:val="28"/>
        </w:rPr>
        <w:t>不适用。</w:t>
      </w:r>
    </w:p>
    <w:p w:rsidR="00B13593" w:rsidRPr="00801C59" w:rsidRDefault="00B13F8C" w:rsidP="00801C59">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49" w:name="_Toc989037"/>
      <w:r w:rsidRPr="00801C59">
        <w:rPr>
          <w:rFonts w:ascii="仿宋" w:eastAsia="仿宋" w:hAnsi="仿宋"/>
          <w:b/>
          <w:sz w:val="28"/>
          <w:szCs w:val="28"/>
        </w:rPr>
        <w:t>35、租赁负债</w:t>
      </w:r>
      <w:bookmarkEnd w:id="149"/>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t>租赁负债应当按照租赁期开始日尚未支付的租赁付款额的现值进行初始计量。租赁付款额包括以下五项内容:</w:t>
      </w:r>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t>固定付款额及实质固定付款额，存在租赁激励的，扣除租赁激励相关金额；</w:t>
      </w:r>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t>取决于指数或比率的可变租赁付款额；</w:t>
      </w:r>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t>购买选择权的行权价格，前提是承租人合理确定将行使该选择权；</w:t>
      </w:r>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t>行使终止租赁选择权需支付的款项，前提是租赁期反映出承租人将行使终止租赁选择权；</w:t>
      </w:r>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lastRenderedPageBreak/>
        <w:t>根据承租人提供的担保余值预计应支付的款项。</w:t>
      </w:r>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B13593" w:rsidRPr="00801C59" w:rsidRDefault="00B13593" w:rsidP="00801C59">
      <w:pPr>
        <w:pStyle w:val="a3"/>
        <w:widowControl w:val="0"/>
        <w:spacing w:before="0" w:beforeAutospacing="0" w:after="0" w:afterAutospacing="0" w:line="560" w:lineRule="exact"/>
        <w:ind w:firstLineChars="200" w:firstLine="560"/>
        <w:jc w:val="both"/>
        <w:divId w:val="495918388"/>
        <w:rPr>
          <w:rFonts w:ascii="仿宋" w:eastAsia="仿宋" w:hAnsi="仿宋"/>
          <w:sz w:val="28"/>
          <w:szCs w:val="28"/>
        </w:rPr>
      </w:pPr>
      <w:r>
        <w:rPr>
          <w:rFonts w:ascii="仿宋" w:eastAsia="仿宋" w:hAnsi="仿宋" w:hint="eastAsia"/>
          <w:sz w:val="28"/>
          <w:szCs w:val="2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0" w:name="_Toc989038"/>
      <w:r w:rsidRPr="00347B31">
        <w:rPr>
          <w:rFonts w:ascii="仿宋" w:eastAsia="仿宋" w:hAnsi="仿宋"/>
          <w:b/>
          <w:sz w:val="28"/>
          <w:szCs w:val="28"/>
        </w:rPr>
        <w:t>36、预计负债</w:t>
      </w:r>
      <w:bookmarkEnd w:id="150"/>
    </w:p>
    <w:p w:rsidR="00B13593" w:rsidRPr="00347B31" w:rsidRDefault="00B13593" w:rsidP="00347B31">
      <w:pPr>
        <w:pStyle w:val="a3"/>
        <w:widowControl w:val="0"/>
        <w:spacing w:before="0" w:beforeAutospacing="0" w:after="0" w:afterAutospacing="0" w:line="560" w:lineRule="exact"/>
        <w:ind w:firstLineChars="200" w:firstLine="562"/>
        <w:jc w:val="both"/>
        <w:divId w:val="1652565610"/>
        <w:rPr>
          <w:rFonts w:ascii="仿宋" w:eastAsia="仿宋" w:hAnsi="仿宋"/>
          <w:b/>
          <w:sz w:val="28"/>
          <w:szCs w:val="28"/>
        </w:rPr>
      </w:pPr>
      <w:r w:rsidRPr="00347B31">
        <w:rPr>
          <w:rFonts w:ascii="仿宋" w:eastAsia="仿宋" w:hAnsi="仿宋" w:hint="eastAsia"/>
          <w:b/>
          <w:sz w:val="28"/>
          <w:szCs w:val="28"/>
        </w:rPr>
        <w:t>（1）预计负债的确认标准</w:t>
      </w:r>
    </w:p>
    <w:p w:rsidR="00B13593" w:rsidRPr="00347B31" w:rsidRDefault="00B13593" w:rsidP="00347B31">
      <w:pPr>
        <w:pStyle w:val="a3"/>
        <w:widowControl w:val="0"/>
        <w:spacing w:before="0" w:beforeAutospacing="0" w:after="0" w:afterAutospacing="0" w:line="560" w:lineRule="exact"/>
        <w:ind w:firstLineChars="200" w:firstLine="560"/>
        <w:jc w:val="both"/>
        <w:divId w:val="1652565610"/>
        <w:rPr>
          <w:rFonts w:ascii="仿宋" w:eastAsia="仿宋" w:hAnsi="仿宋"/>
          <w:sz w:val="28"/>
          <w:szCs w:val="28"/>
        </w:rPr>
      </w:pPr>
      <w:r>
        <w:rPr>
          <w:rFonts w:ascii="仿宋" w:eastAsia="仿宋" w:hAnsi="仿宋" w:hint="eastAsia"/>
          <w:sz w:val="28"/>
          <w:szCs w:val="28"/>
        </w:rPr>
        <w:t>如果与或有事项相关的义务同时符合以下条件，本公司将其确认为预计负债：</w:t>
      </w:r>
    </w:p>
    <w:p w:rsidR="00B13593" w:rsidRPr="00347B31" w:rsidRDefault="00B13593" w:rsidP="00347B31">
      <w:pPr>
        <w:pStyle w:val="a3"/>
        <w:widowControl w:val="0"/>
        <w:spacing w:before="0" w:beforeAutospacing="0" w:after="0" w:afterAutospacing="0" w:line="560" w:lineRule="exact"/>
        <w:ind w:firstLineChars="200" w:firstLine="560"/>
        <w:jc w:val="both"/>
        <w:divId w:val="1652565610"/>
        <w:rPr>
          <w:rFonts w:ascii="仿宋" w:eastAsia="仿宋" w:hAnsi="仿宋"/>
          <w:sz w:val="28"/>
          <w:szCs w:val="28"/>
        </w:rPr>
      </w:pPr>
      <w:r>
        <w:rPr>
          <w:rFonts w:ascii="仿宋" w:eastAsia="仿宋" w:hAnsi="仿宋" w:hint="eastAsia"/>
          <w:sz w:val="28"/>
          <w:szCs w:val="28"/>
        </w:rPr>
        <w:t>①该义务是本公司承担的现时义务；</w:t>
      </w:r>
    </w:p>
    <w:p w:rsidR="00B13593" w:rsidRPr="00347B31" w:rsidRDefault="00B13593" w:rsidP="00347B31">
      <w:pPr>
        <w:pStyle w:val="a3"/>
        <w:widowControl w:val="0"/>
        <w:spacing w:before="0" w:beforeAutospacing="0" w:after="0" w:afterAutospacing="0" w:line="560" w:lineRule="exact"/>
        <w:ind w:firstLineChars="200" w:firstLine="560"/>
        <w:jc w:val="both"/>
        <w:divId w:val="1652565610"/>
        <w:rPr>
          <w:rFonts w:ascii="仿宋" w:eastAsia="仿宋" w:hAnsi="仿宋"/>
          <w:sz w:val="28"/>
          <w:szCs w:val="28"/>
        </w:rPr>
      </w:pPr>
      <w:r>
        <w:rPr>
          <w:rFonts w:ascii="仿宋" w:eastAsia="仿宋" w:hAnsi="仿宋" w:hint="eastAsia"/>
          <w:sz w:val="28"/>
          <w:szCs w:val="28"/>
        </w:rPr>
        <w:t>②该义务的履行很可能导致经济利益流出本公司；</w:t>
      </w:r>
    </w:p>
    <w:p w:rsidR="00B13593" w:rsidRPr="00347B31" w:rsidRDefault="00B13593" w:rsidP="00347B31">
      <w:pPr>
        <w:pStyle w:val="a3"/>
        <w:widowControl w:val="0"/>
        <w:spacing w:before="0" w:beforeAutospacing="0" w:after="0" w:afterAutospacing="0" w:line="560" w:lineRule="exact"/>
        <w:ind w:firstLineChars="200" w:firstLine="560"/>
        <w:jc w:val="both"/>
        <w:divId w:val="1652565610"/>
        <w:rPr>
          <w:rFonts w:ascii="仿宋" w:eastAsia="仿宋" w:hAnsi="仿宋"/>
          <w:sz w:val="28"/>
          <w:szCs w:val="28"/>
        </w:rPr>
      </w:pPr>
      <w:r>
        <w:rPr>
          <w:rFonts w:ascii="仿宋" w:eastAsia="仿宋" w:hAnsi="仿宋" w:hint="eastAsia"/>
          <w:sz w:val="28"/>
          <w:szCs w:val="28"/>
        </w:rPr>
        <w:t>③该义务的金额能够可靠地计量。</w:t>
      </w:r>
    </w:p>
    <w:p w:rsidR="00B13593" w:rsidRPr="00347B31" w:rsidRDefault="00B13593" w:rsidP="00347B31">
      <w:pPr>
        <w:pStyle w:val="a3"/>
        <w:widowControl w:val="0"/>
        <w:spacing w:before="0" w:beforeAutospacing="0" w:after="0" w:afterAutospacing="0" w:line="560" w:lineRule="exact"/>
        <w:ind w:firstLineChars="200" w:firstLine="562"/>
        <w:jc w:val="both"/>
        <w:divId w:val="1652565610"/>
        <w:rPr>
          <w:rFonts w:ascii="仿宋" w:eastAsia="仿宋" w:hAnsi="仿宋"/>
          <w:b/>
          <w:sz w:val="28"/>
          <w:szCs w:val="28"/>
        </w:rPr>
      </w:pPr>
      <w:r w:rsidRPr="00347B31">
        <w:rPr>
          <w:rFonts w:ascii="仿宋" w:eastAsia="仿宋" w:hAnsi="仿宋" w:hint="eastAsia"/>
          <w:b/>
          <w:sz w:val="28"/>
          <w:szCs w:val="28"/>
        </w:rPr>
        <w:t>（2）预计负债的计量方法</w:t>
      </w:r>
    </w:p>
    <w:p w:rsidR="00B13593" w:rsidRPr="00347B31" w:rsidRDefault="00B13593" w:rsidP="00347B31">
      <w:pPr>
        <w:pStyle w:val="a3"/>
        <w:widowControl w:val="0"/>
        <w:spacing w:before="0" w:beforeAutospacing="0" w:after="0" w:afterAutospacing="0" w:line="560" w:lineRule="exact"/>
        <w:ind w:firstLineChars="200" w:firstLine="560"/>
        <w:jc w:val="both"/>
        <w:divId w:val="1652565610"/>
        <w:rPr>
          <w:rFonts w:ascii="仿宋" w:eastAsia="仿宋" w:hAnsi="仿宋"/>
          <w:sz w:val="28"/>
          <w:szCs w:val="28"/>
        </w:rPr>
      </w:pPr>
      <w:r>
        <w:rPr>
          <w:rFonts w:ascii="仿宋" w:eastAsia="仿宋" w:hAnsi="仿宋" w:hint="eastAsia"/>
          <w:sz w:val="28"/>
          <w:szCs w:val="28"/>
        </w:rPr>
        <w:t xml:space="preserve">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 </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1" w:name="_Toc989039"/>
      <w:r w:rsidRPr="00347B31">
        <w:rPr>
          <w:rFonts w:ascii="仿宋" w:eastAsia="仿宋" w:hAnsi="仿宋"/>
          <w:b/>
          <w:sz w:val="28"/>
          <w:szCs w:val="28"/>
        </w:rPr>
        <w:t>37、股份支付</w:t>
      </w:r>
      <w:bookmarkEnd w:id="151"/>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lastRenderedPageBreak/>
        <w:t>（1）股份支付的种类</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本公司股份支付包括以现金结算的股份支付和以权益结算的股份支付。</w:t>
      </w:r>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t>（2）权益工具公允价值的确定方法</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①对于授予职工的股份，其公允价值按公司股份的市场价格计量，同时考虑授予股份所依据的条款和条件（不包括市场条件之外的可行权条件）进行调整。②对于授予职工的股票期权，在许多情况下难以获得其市场价格。如果不存在条款和条件相似的交易期权，公司选择适用的期权定价模型估计所授予的期权的公允价值。</w:t>
      </w:r>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t>（3）确认可行权权益工具最佳估计的依据</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在等待期内每个资产负债表日，公司根据最新取得的可行权职工人数变动等后续信息作出最佳估计，修正预计可行权的权益工具数量，以作出可行权权益工具的最佳估计。</w:t>
      </w:r>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t>（4）股份支付计划实施的会计处理</w:t>
      </w:r>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t>以现金结算的股份支付</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①授予后立即可行权的以现金结算的股份支付，在授予日以本公司承担负债的公允价值计入相关成本或费用，相应增加负债。并在结算前的每个资产负债表日和结算日对负债的公允价值重新计量，将其变动计入损益。</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②完成等待期内的服务或达到规定业绩条件以后才可行权的以现金结算的股份支付，在等待期内的每个资产负债表日以对可行权情况的最佳估计为基础，按本公司承担负债的公允价值金额，将当期取得的服务计入成本或费用和相应的负债。</w:t>
      </w:r>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t>以权益结算的股份支付</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①授予后立即可行权的换取职工服务的以权益结算的股份支付，在授予日以权益工具的公允价值计入相关成本或费用，相应增加资本公积。</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lastRenderedPageBreak/>
        <w:t>②完成等待期内的服务或达到规定业绩条件以后才可行权换取职工服务的以权益结算的股份支付，在等待期内的每个资产负债表日，以对可行权权益工具数量的最佳估计为基础，按权益工具授予日的公允价值，将当期取得的服务计入成本或费用和资本公积。</w:t>
      </w:r>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t>（5）股份支付计划修改的会计处理</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rsidR="00B13593" w:rsidRPr="00347B31" w:rsidRDefault="00B13593" w:rsidP="00347B31">
      <w:pPr>
        <w:pStyle w:val="a3"/>
        <w:widowControl w:val="0"/>
        <w:spacing w:before="0" w:beforeAutospacing="0" w:after="0" w:afterAutospacing="0" w:line="560" w:lineRule="exact"/>
        <w:ind w:firstLineChars="200" w:firstLine="562"/>
        <w:jc w:val="both"/>
        <w:divId w:val="1927574937"/>
        <w:rPr>
          <w:rFonts w:ascii="仿宋" w:eastAsia="仿宋" w:hAnsi="仿宋"/>
          <w:b/>
          <w:sz w:val="28"/>
          <w:szCs w:val="28"/>
        </w:rPr>
      </w:pPr>
      <w:r w:rsidRPr="00347B31">
        <w:rPr>
          <w:rFonts w:ascii="仿宋" w:eastAsia="仿宋" w:hAnsi="仿宋" w:hint="eastAsia"/>
          <w:b/>
          <w:sz w:val="28"/>
          <w:szCs w:val="28"/>
        </w:rPr>
        <w:t>（6）股份支付计划终止的会计处理</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如果在等待期内取消了所授予的权益工具或结算了所授予的权益工具（因未满足可行权条件而被取消的除外），本公司：</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①将取消或结算作为加速可行权处理，立即确认原本应在剩余等待期内确认的金额；</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②在取消或结算时支付给职工的所有款项均作为权益的回购处理，回购支付的金额高于该权益工具在回购日公允价值的部分，计入当期费用。</w:t>
      </w:r>
    </w:p>
    <w:p w:rsidR="00B13593" w:rsidRPr="00347B31" w:rsidRDefault="00B13593" w:rsidP="00347B31">
      <w:pPr>
        <w:pStyle w:val="a3"/>
        <w:widowControl w:val="0"/>
        <w:spacing w:before="0" w:beforeAutospacing="0" w:after="0" w:afterAutospacing="0" w:line="560" w:lineRule="exact"/>
        <w:ind w:firstLineChars="200" w:firstLine="560"/>
        <w:jc w:val="both"/>
        <w:divId w:val="1927574937"/>
        <w:rPr>
          <w:rFonts w:ascii="仿宋" w:eastAsia="仿宋" w:hAnsi="仿宋"/>
          <w:sz w:val="28"/>
          <w:szCs w:val="28"/>
        </w:rPr>
      </w:pPr>
      <w:r>
        <w:rPr>
          <w:rFonts w:ascii="仿宋" w:eastAsia="仿宋" w:hAnsi="仿宋" w:hint="eastAsia"/>
          <w:sz w:val="28"/>
          <w:szCs w:val="28"/>
        </w:rPr>
        <w:t>本公司如果回购其职工已可行权的权益工具，冲减企业的所有者权益；回购支付的款项高于该权益工具在回购日公允价值的部分，计入当期损益。</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2" w:name="_Toc989040"/>
      <w:r w:rsidRPr="00347B31">
        <w:rPr>
          <w:rFonts w:ascii="仿宋" w:eastAsia="仿宋" w:hAnsi="仿宋"/>
          <w:b/>
          <w:sz w:val="28"/>
          <w:szCs w:val="28"/>
        </w:rPr>
        <w:t>38、优先股、永续债等其他金融工具</w:t>
      </w:r>
      <w:bookmarkEnd w:id="152"/>
    </w:p>
    <w:p w:rsidR="00B13593" w:rsidRPr="00347B31" w:rsidRDefault="00B13593" w:rsidP="00347B31">
      <w:pPr>
        <w:pStyle w:val="a3"/>
        <w:widowControl w:val="0"/>
        <w:spacing w:before="0" w:beforeAutospacing="0" w:after="0" w:afterAutospacing="0" w:line="560" w:lineRule="exact"/>
        <w:ind w:firstLineChars="200" w:firstLine="560"/>
        <w:jc w:val="both"/>
        <w:divId w:val="1732773200"/>
        <w:rPr>
          <w:rFonts w:ascii="仿宋" w:eastAsia="仿宋" w:hAnsi="仿宋"/>
          <w:sz w:val="28"/>
          <w:szCs w:val="28"/>
        </w:rPr>
      </w:pPr>
      <w:r>
        <w:rPr>
          <w:rFonts w:ascii="仿宋" w:eastAsia="仿宋" w:hAnsi="仿宋" w:hint="eastAsia"/>
          <w:sz w:val="28"/>
          <w:szCs w:val="28"/>
        </w:rPr>
        <w:t>不适用。</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3" w:name="_Toc989041"/>
      <w:r w:rsidRPr="00347B31">
        <w:rPr>
          <w:rFonts w:ascii="仿宋" w:eastAsia="仿宋" w:hAnsi="仿宋"/>
          <w:b/>
          <w:sz w:val="28"/>
          <w:szCs w:val="28"/>
        </w:rPr>
        <w:lastRenderedPageBreak/>
        <w:t>39、收入</w:t>
      </w:r>
      <w:bookmarkEnd w:id="153"/>
    </w:p>
    <w:p w:rsidR="00B13593" w:rsidRPr="00347B31" w:rsidRDefault="00B13F8C" w:rsidP="00347B31">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347B31">
        <w:rPr>
          <w:rFonts w:ascii="仿宋" w:eastAsia="仿宋" w:hAnsi="仿宋"/>
          <w:sz w:val="28"/>
          <w:szCs w:val="28"/>
        </w:rPr>
        <w:t>收入确认和计量所采用的会计政策</w:t>
      </w:r>
    </w:p>
    <w:p w:rsidR="00B13593" w:rsidRPr="00347B31" w:rsidRDefault="00B13593" w:rsidP="00347B31">
      <w:pPr>
        <w:pStyle w:val="a3"/>
        <w:widowControl w:val="0"/>
        <w:spacing w:before="0" w:beforeAutospacing="0" w:after="0" w:afterAutospacing="0" w:line="560" w:lineRule="exact"/>
        <w:ind w:firstLineChars="200" w:firstLine="562"/>
        <w:jc w:val="both"/>
        <w:divId w:val="1326668301"/>
        <w:rPr>
          <w:rFonts w:ascii="仿宋" w:eastAsia="仿宋" w:hAnsi="仿宋"/>
          <w:b/>
          <w:sz w:val="28"/>
          <w:szCs w:val="28"/>
        </w:rPr>
      </w:pPr>
      <w:r w:rsidRPr="00347B31">
        <w:rPr>
          <w:rFonts w:ascii="仿宋" w:eastAsia="仿宋" w:hAnsi="仿宋" w:hint="eastAsia"/>
          <w:b/>
          <w:sz w:val="28"/>
          <w:szCs w:val="28"/>
        </w:rPr>
        <w:t>收入确认和计量所采用的会计政策</w:t>
      </w:r>
    </w:p>
    <w:p w:rsidR="00B13593" w:rsidRPr="00347B31" w:rsidRDefault="00B13593" w:rsidP="00347B31">
      <w:pPr>
        <w:pStyle w:val="a3"/>
        <w:widowControl w:val="0"/>
        <w:spacing w:before="0" w:beforeAutospacing="0" w:after="0" w:afterAutospacing="0" w:line="560" w:lineRule="exact"/>
        <w:ind w:firstLineChars="200" w:firstLine="562"/>
        <w:jc w:val="both"/>
        <w:divId w:val="1326668301"/>
        <w:rPr>
          <w:rFonts w:ascii="仿宋" w:eastAsia="仿宋" w:hAnsi="仿宋"/>
          <w:b/>
          <w:sz w:val="28"/>
          <w:szCs w:val="28"/>
        </w:rPr>
      </w:pPr>
      <w:r w:rsidRPr="00347B31">
        <w:rPr>
          <w:rFonts w:ascii="仿宋" w:eastAsia="仿宋" w:hAnsi="仿宋" w:hint="eastAsia"/>
          <w:b/>
          <w:sz w:val="28"/>
          <w:szCs w:val="28"/>
        </w:rPr>
        <w:t>（1）一般原则</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收入是本公司在日常活动中形成的、会导致股东权益增加且与股东投入资本无关的经济利益的总流入。</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本公司在履行了合同中的履约义务，即在客户取得相关商品控制权时确认收入。取得相关商品控制权，是指能够主导该商品的使用并从中获得几乎全部的经济利益。</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满足下列条件之一的，属于在某一时段内履行履约义务；否则，属于在某一时点履行履约义务：</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①客户在本公司履约的同时即取得并消耗本公司履约所带来的经济利益；</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②客户能够控制本公司履约过程中在建的商品；</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lastRenderedPageBreak/>
        <w:t>③本公司履约过程中所产出的商品具有不可替代用途，且本公司在整个合同期间内有权就累计至今已完成的履约部分收取款项。</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对于在某一时点履行的履约义务，本公司在客户取得相关商品控制权时点确认收入。在判断客户是否已取得商品或服务控制权时，本公司会考虑下列迹象：</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①本公司就该商品或服务享有现时收款权利，即客户就该商品负有现时付款义务；</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②本公司已将该商品的法定所有权转移给客户，即客户已拥有了该商品的法定所有权；</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③本公司已将该商品的实物转移给客户，即客户已实物占有该商品；</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④本公司已将该商品所有权上的主要风险和报酬转移给客户，即客户已取得该商品所有权上的主要风险和报酬；</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⑤客户已接受该商品。</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主要责任人与代理人</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w:t>
      </w:r>
      <w:r>
        <w:rPr>
          <w:rFonts w:ascii="仿宋" w:eastAsia="仿宋" w:hAnsi="仿宋" w:hint="eastAsia"/>
          <w:sz w:val="28"/>
          <w:szCs w:val="28"/>
        </w:rPr>
        <w:lastRenderedPageBreak/>
        <w:t>除应支付给其他相关方的价款后的净额，或者按照既定的佣金金额或比例等确定。</w:t>
      </w:r>
    </w:p>
    <w:p w:rsidR="00B13593" w:rsidRPr="00347B31" w:rsidRDefault="00B13593" w:rsidP="00347B31">
      <w:pPr>
        <w:pStyle w:val="a3"/>
        <w:widowControl w:val="0"/>
        <w:spacing w:before="0" w:beforeAutospacing="0" w:after="0" w:afterAutospacing="0" w:line="560" w:lineRule="exact"/>
        <w:ind w:firstLineChars="200" w:firstLine="562"/>
        <w:jc w:val="both"/>
        <w:divId w:val="1326668301"/>
        <w:rPr>
          <w:rFonts w:ascii="仿宋" w:eastAsia="仿宋" w:hAnsi="仿宋"/>
          <w:b/>
          <w:sz w:val="28"/>
          <w:szCs w:val="28"/>
        </w:rPr>
      </w:pPr>
      <w:r w:rsidRPr="00347B31">
        <w:rPr>
          <w:rFonts w:ascii="仿宋" w:eastAsia="仿宋" w:hAnsi="仿宋" w:hint="eastAsia"/>
          <w:b/>
          <w:sz w:val="28"/>
          <w:szCs w:val="28"/>
        </w:rPr>
        <w:t>（2）具体方法</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本公司收入确认的具体方法如下：</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sidRPr="00347B31">
        <w:rPr>
          <w:rFonts w:ascii="仿宋" w:eastAsia="仿宋" w:hAnsi="仿宋" w:hint="eastAsia"/>
          <w:sz w:val="28"/>
          <w:szCs w:val="28"/>
        </w:rPr>
        <w:t> </w:t>
      </w:r>
      <w:r>
        <w:rPr>
          <w:rFonts w:ascii="仿宋" w:eastAsia="仿宋" w:hAnsi="仿宋" w:hint="eastAsia"/>
          <w:sz w:val="28"/>
          <w:szCs w:val="28"/>
        </w:rPr>
        <w:t>商品销售收入</w:t>
      </w:r>
    </w:p>
    <w:p w:rsidR="00B13593" w:rsidRPr="00347B31" w:rsidRDefault="00B13593" w:rsidP="00347B31">
      <w:pPr>
        <w:pStyle w:val="a3"/>
        <w:widowControl w:val="0"/>
        <w:spacing w:before="0" w:beforeAutospacing="0" w:after="0" w:afterAutospacing="0" w:line="560" w:lineRule="exact"/>
        <w:ind w:firstLineChars="200" w:firstLine="560"/>
        <w:jc w:val="both"/>
        <w:divId w:val="1326668301"/>
        <w:rPr>
          <w:rFonts w:ascii="仿宋" w:eastAsia="仿宋" w:hAnsi="仿宋"/>
          <w:sz w:val="28"/>
          <w:szCs w:val="28"/>
        </w:rPr>
      </w:pPr>
      <w:r>
        <w:rPr>
          <w:rFonts w:ascii="仿宋" w:eastAsia="仿宋" w:hAnsi="仿宋" w:hint="eastAsia"/>
          <w:sz w:val="28"/>
          <w:szCs w:val="28"/>
        </w:rPr>
        <w:t>本公司与客户之间的销售商品合同包含转让电源及相关产品、高性能特种合金材料制品以及食糖的履约义务，属于在某一时点履行履约义务。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347B31">
        <w:rPr>
          <w:rFonts w:ascii="仿宋" w:eastAsia="仿宋" w:hAnsi="仿宋"/>
          <w:b/>
          <w:sz w:val="28"/>
          <w:szCs w:val="28"/>
        </w:rPr>
        <w:t>同类业务采用不同经营模式导致收入确认会计政策存在差异的情况</w:t>
      </w:r>
    </w:p>
    <w:p w:rsidR="00B13593" w:rsidRPr="00347B31" w:rsidRDefault="00B13593" w:rsidP="00347B31">
      <w:pPr>
        <w:pStyle w:val="a3"/>
        <w:widowControl w:val="0"/>
        <w:spacing w:before="0" w:beforeAutospacing="0" w:after="0" w:afterAutospacing="0" w:line="560" w:lineRule="exact"/>
        <w:ind w:firstLineChars="200" w:firstLine="560"/>
        <w:jc w:val="both"/>
        <w:divId w:val="1223520981"/>
        <w:rPr>
          <w:rFonts w:ascii="仿宋" w:eastAsia="仿宋" w:hAnsi="仿宋"/>
          <w:sz w:val="28"/>
          <w:szCs w:val="28"/>
        </w:rPr>
      </w:pPr>
      <w:r>
        <w:rPr>
          <w:rFonts w:ascii="仿宋" w:eastAsia="仿宋" w:hAnsi="仿宋" w:hint="eastAsia"/>
          <w:sz w:val="28"/>
          <w:szCs w:val="28"/>
        </w:rPr>
        <w:t>不适用。</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4" w:name="_Toc989042"/>
      <w:r w:rsidRPr="00347B31">
        <w:rPr>
          <w:rFonts w:ascii="仿宋" w:eastAsia="仿宋" w:hAnsi="仿宋"/>
          <w:b/>
          <w:sz w:val="28"/>
          <w:szCs w:val="28"/>
        </w:rPr>
        <w:t>40、政府补助</w:t>
      </w:r>
      <w:bookmarkEnd w:id="154"/>
    </w:p>
    <w:p w:rsidR="00B13593" w:rsidRPr="00347B31" w:rsidRDefault="00B13593" w:rsidP="00347B31">
      <w:pPr>
        <w:pStyle w:val="a3"/>
        <w:widowControl w:val="0"/>
        <w:spacing w:before="0" w:beforeAutospacing="0" w:after="0" w:afterAutospacing="0" w:line="560" w:lineRule="exact"/>
        <w:ind w:firstLineChars="200" w:firstLine="562"/>
        <w:jc w:val="both"/>
        <w:divId w:val="1653876253"/>
        <w:rPr>
          <w:rFonts w:ascii="仿宋" w:eastAsia="仿宋" w:hAnsi="仿宋"/>
          <w:b/>
          <w:sz w:val="28"/>
          <w:szCs w:val="28"/>
        </w:rPr>
      </w:pPr>
      <w:r w:rsidRPr="00347B31">
        <w:rPr>
          <w:rFonts w:ascii="仿宋" w:eastAsia="仿宋" w:hAnsi="仿宋" w:hint="eastAsia"/>
          <w:b/>
          <w:sz w:val="28"/>
          <w:szCs w:val="28"/>
        </w:rPr>
        <w:t>（1）政府补助的确认</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政府补助同时满足下列条件的，才能予以确认：</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①本公司能够满足政府补助所附条件；</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②本公司能够收到政府补助。</w:t>
      </w:r>
    </w:p>
    <w:p w:rsidR="00B13593" w:rsidRPr="00347B31" w:rsidRDefault="00B13593" w:rsidP="00347B31">
      <w:pPr>
        <w:pStyle w:val="a3"/>
        <w:widowControl w:val="0"/>
        <w:spacing w:before="0" w:beforeAutospacing="0" w:after="0" w:afterAutospacing="0" w:line="560" w:lineRule="exact"/>
        <w:ind w:firstLineChars="200" w:firstLine="562"/>
        <w:jc w:val="both"/>
        <w:divId w:val="1653876253"/>
        <w:rPr>
          <w:rFonts w:ascii="仿宋" w:eastAsia="仿宋" w:hAnsi="仿宋"/>
          <w:b/>
          <w:sz w:val="28"/>
          <w:szCs w:val="28"/>
        </w:rPr>
      </w:pPr>
      <w:r w:rsidRPr="00347B31">
        <w:rPr>
          <w:rFonts w:ascii="仿宋" w:eastAsia="仿宋" w:hAnsi="仿宋" w:hint="eastAsia"/>
          <w:b/>
          <w:sz w:val="28"/>
          <w:szCs w:val="28"/>
        </w:rPr>
        <w:t>（2）政府补助的计量</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政府补助为货币性资产的，按照收到或应收的金额计量。政府补助为非货币性资产的，按照公允价值计量；公允价值不能可靠取得的，按照名义金额1元计量。</w:t>
      </w:r>
    </w:p>
    <w:p w:rsidR="00B13593" w:rsidRPr="00347B31" w:rsidRDefault="00B13593" w:rsidP="00347B31">
      <w:pPr>
        <w:pStyle w:val="a3"/>
        <w:widowControl w:val="0"/>
        <w:spacing w:before="0" w:beforeAutospacing="0" w:after="0" w:afterAutospacing="0" w:line="560" w:lineRule="exact"/>
        <w:ind w:firstLineChars="200" w:firstLine="562"/>
        <w:jc w:val="both"/>
        <w:divId w:val="1653876253"/>
        <w:rPr>
          <w:rFonts w:ascii="仿宋" w:eastAsia="仿宋" w:hAnsi="仿宋"/>
          <w:b/>
          <w:sz w:val="28"/>
          <w:szCs w:val="28"/>
        </w:rPr>
      </w:pPr>
      <w:r w:rsidRPr="00347B31">
        <w:rPr>
          <w:rFonts w:ascii="仿宋" w:eastAsia="仿宋" w:hAnsi="仿宋" w:hint="eastAsia"/>
          <w:b/>
          <w:sz w:val="28"/>
          <w:szCs w:val="28"/>
        </w:rPr>
        <w:t>（3）政府补助的会计处理</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①与资产相关的政府补助</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公司取得的、用于购建或以其他方式形成长期资产的政府补助划分为与</w:t>
      </w:r>
      <w:r w:rsidRPr="00347B31">
        <w:rPr>
          <w:rFonts w:ascii="仿宋" w:eastAsia="仿宋" w:hAnsi="仿宋" w:hint="eastAsia"/>
          <w:sz w:val="28"/>
          <w:szCs w:val="28"/>
        </w:rPr>
        <w:lastRenderedPageBreak/>
        <w:t>资产相关的政府补助。与资产相关的政府补助确认为递延收益，在相关资产使用期限内按照合理、系统的方法分期计入损益。【采用净额法则表述：与资产相关的政府补助冲减相关资产的账面价值。】按照名义金额计量的政府补助，直接计入当期损益。相关资产在使用寿命结束前被出售、转让、报废或发生毁损的，将尚未分配的相关递延收益余额转入资产处置当期的损益。</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②与收益相关的政府补助</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除与资产相关的政府补助之外的政府补助划分为与收益相关的政府补助。与收益相关的政府补助，分情况按照以下规定进行会计处理：</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用于补偿本公司以后期间的相关成本费用或损失的，确认为递延收益，并在确认相关成本费用或损失的期间，计入当期损益；</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用于补偿本公司已发生的相关成本费用或损失的，直接计入当期损益。</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对于同时包含与资产相关部分和与收益相关部分的政府补助，区分不同部分分别进行会计处理；难以区分的，整体归类为与收益相关的政府补助。</w:t>
      </w:r>
    </w:p>
    <w:p w:rsidR="00B13593" w:rsidRPr="00347B31" w:rsidRDefault="00B13593" w:rsidP="00347B31">
      <w:pPr>
        <w:pStyle w:val="a3"/>
        <w:widowControl w:val="0"/>
        <w:spacing w:before="0" w:beforeAutospacing="0" w:after="0" w:afterAutospacing="0" w:line="560" w:lineRule="exact"/>
        <w:ind w:firstLineChars="200" w:firstLine="560"/>
        <w:jc w:val="both"/>
        <w:divId w:val="1653876253"/>
        <w:rPr>
          <w:rFonts w:ascii="仿宋" w:eastAsia="仿宋" w:hAnsi="仿宋"/>
          <w:sz w:val="28"/>
          <w:szCs w:val="28"/>
        </w:rPr>
      </w:pPr>
      <w:r w:rsidRPr="00347B31">
        <w:rPr>
          <w:rFonts w:ascii="仿宋" w:eastAsia="仿宋" w:hAnsi="仿宋" w:hint="eastAsia"/>
          <w:sz w:val="28"/>
          <w:szCs w:val="28"/>
        </w:rPr>
        <w:t>与本公司日常活动相关的政府补助，按照经济业务实质，计入其他收益。与本公司日常活动无关的政府补助，计入营业外收支。</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5" w:name="_Toc989043"/>
      <w:r w:rsidRPr="00347B31">
        <w:rPr>
          <w:rFonts w:ascii="仿宋" w:eastAsia="仿宋" w:hAnsi="仿宋"/>
          <w:b/>
          <w:sz w:val="28"/>
          <w:szCs w:val="28"/>
        </w:rPr>
        <w:t>41、递延所得税资产/递延所得税负债</w:t>
      </w:r>
      <w:bookmarkEnd w:id="155"/>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Pr>
          <w:rFonts w:ascii="仿宋" w:eastAsia="仿宋" w:hAnsi="仿宋" w:hint="eastAsia"/>
          <w:sz w:val="28"/>
          <w:szCs w:val="28"/>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rsidR="00B13593" w:rsidRPr="00347B31" w:rsidRDefault="00B13593" w:rsidP="00347B31">
      <w:pPr>
        <w:pStyle w:val="a3"/>
        <w:widowControl w:val="0"/>
        <w:spacing w:before="0" w:beforeAutospacing="0" w:after="0" w:afterAutospacing="0" w:line="560" w:lineRule="exact"/>
        <w:ind w:firstLineChars="200" w:firstLine="562"/>
        <w:jc w:val="both"/>
        <w:divId w:val="1031345689"/>
        <w:rPr>
          <w:rFonts w:ascii="仿宋" w:eastAsia="仿宋" w:hAnsi="仿宋"/>
          <w:b/>
          <w:sz w:val="28"/>
          <w:szCs w:val="28"/>
        </w:rPr>
      </w:pPr>
      <w:r w:rsidRPr="00347B31">
        <w:rPr>
          <w:rFonts w:ascii="仿宋" w:eastAsia="仿宋" w:hAnsi="仿宋" w:hint="eastAsia"/>
          <w:b/>
          <w:sz w:val="28"/>
          <w:szCs w:val="28"/>
        </w:rPr>
        <w:t>（1）递延所得税资产的确认</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w:t>
      </w:r>
      <w:r w:rsidRPr="00347B31">
        <w:rPr>
          <w:rFonts w:ascii="仿宋" w:eastAsia="仿宋" w:hAnsi="仿宋" w:hint="eastAsia"/>
          <w:sz w:val="28"/>
          <w:szCs w:val="28"/>
        </w:rPr>
        <w:lastRenderedPageBreak/>
        <w:t>可抵扣亏损和税款抵减的未来应纳税所得额为限。</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同时具有下列特征的交易或事项中因资产或负债的初始确认所产生的可抵扣暂时性差异对所得税的影响额不确认为递延所得税资产：</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A.该项交易不是企业合并；</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B.交易发生时既不影响会计利润也不影响应纳税所得额（或可抵扣亏损）。</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本公司对与子公司、联营公司及合营企业投资相关的可抵扣暂时性差异，同时满足下列两项条件的，其对所得税的影响额（才能）确认为递延所得税资产：</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A.暂时性差异在可预见的未来很可能转回；</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B.未来很可能获得用来抵扣可抵扣暂时性差异的应纳税所得额；</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资产负债表日，有确凿证据表明未来期间很可能获得足够的应纳税所得额用来抵扣可抵扣暂时性差异的，确认以前期间未确认的递延所得税资产。</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B13593" w:rsidRPr="00347B31" w:rsidRDefault="00B13593" w:rsidP="00347B31">
      <w:pPr>
        <w:pStyle w:val="a3"/>
        <w:widowControl w:val="0"/>
        <w:spacing w:before="0" w:beforeAutospacing="0" w:after="0" w:afterAutospacing="0" w:line="560" w:lineRule="exact"/>
        <w:ind w:firstLineChars="200" w:firstLine="562"/>
        <w:jc w:val="both"/>
        <w:divId w:val="1031345689"/>
        <w:rPr>
          <w:rFonts w:ascii="仿宋" w:eastAsia="仿宋" w:hAnsi="仿宋"/>
          <w:b/>
          <w:sz w:val="28"/>
          <w:szCs w:val="28"/>
        </w:rPr>
      </w:pPr>
      <w:r w:rsidRPr="00347B31">
        <w:rPr>
          <w:rFonts w:ascii="仿宋" w:eastAsia="仿宋" w:hAnsi="仿宋" w:hint="eastAsia"/>
          <w:b/>
          <w:sz w:val="28"/>
          <w:szCs w:val="28"/>
        </w:rPr>
        <w:t>（2）递延所得税负债的确认</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本公司所有应纳税暂时性差异均按预计转回期间的所得税税率计量对所得税的影响，并将该影响额确认为递延所得税负债，但下列情况的除外：</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①因下列交易或事项中产生的应纳税暂时性差异对所得税的影响不确认为递延所得税负债：</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A.商誉的初始确认；</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B.具有以下特征的交易中产生的资产或负债的初始确认：该交易不是企</w:t>
      </w:r>
      <w:r w:rsidRPr="00347B31">
        <w:rPr>
          <w:rFonts w:ascii="仿宋" w:eastAsia="仿宋" w:hAnsi="仿宋" w:hint="eastAsia"/>
          <w:sz w:val="28"/>
          <w:szCs w:val="28"/>
        </w:rPr>
        <w:lastRenderedPageBreak/>
        <w:t>业合并，并且交易发生时既不影响会计利润也不影响应纳税所得额或可抵扣亏损。</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②本公司对与子公司、合营企业及联营企业投资相关的应纳税暂时性差异，其对所得税的影响额一般确认为递延所得税负债，但同时满足以下两项条件的除外：</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A.本公司能够控制暂时性差异转回的时间；</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B.该暂时性差异在可预见的未来很可能不会转回。</w:t>
      </w:r>
    </w:p>
    <w:p w:rsidR="00B13593" w:rsidRPr="00347B31" w:rsidRDefault="00B13593" w:rsidP="00347B31">
      <w:pPr>
        <w:pStyle w:val="a3"/>
        <w:widowControl w:val="0"/>
        <w:spacing w:before="0" w:beforeAutospacing="0" w:after="0" w:afterAutospacing="0" w:line="560" w:lineRule="exact"/>
        <w:ind w:firstLineChars="200" w:firstLine="562"/>
        <w:jc w:val="both"/>
        <w:divId w:val="1031345689"/>
        <w:rPr>
          <w:rFonts w:ascii="仿宋" w:eastAsia="仿宋" w:hAnsi="仿宋"/>
          <w:b/>
          <w:sz w:val="28"/>
          <w:szCs w:val="28"/>
        </w:rPr>
      </w:pPr>
      <w:r w:rsidRPr="00347B31">
        <w:rPr>
          <w:rFonts w:ascii="仿宋" w:eastAsia="仿宋" w:hAnsi="仿宋" w:hint="eastAsia"/>
          <w:b/>
          <w:sz w:val="28"/>
          <w:szCs w:val="28"/>
        </w:rPr>
        <w:t>（3）特定交易或事项所涉及的递延所得税负债或资产的确认</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①与企业合并相关的递延所得税负债或资产</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非同一控制下企业合并产生的应纳税暂时性差异或可抵扣暂时性差异，在确认递延所得税负债或递延所得税资产的同时，相关的递延所得税费用（或收益），通常调整企业合并中所确认的商誉。</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②直接计入所有者权益的项目</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③可弥补亏损和税款抵减</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A.本公司自身经营产生的可弥补亏损以及税款抵减</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w:t>
      </w:r>
      <w:r w:rsidRPr="00347B31">
        <w:rPr>
          <w:rFonts w:ascii="仿宋" w:eastAsia="仿宋" w:hAnsi="仿宋" w:hint="eastAsia"/>
          <w:sz w:val="28"/>
          <w:szCs w:val="28"/>
        </w:rPr>
        <w:lastRenderedPageBreak/>
        <w:t>或税款抵减的未来期间内很可能取得足够的应纳税所得额时，以很可能取得的应纳税所得额为限，确认相应的递延所得税资产，同时减少当期利润表中的所得税费用。</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B.因企业合并而形成的可弥补的被合并企业的未弥补亏损</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④合并抵销形成的暂时性差异</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⑤以权益结算的股份支付</w:t>
      </w:r>
    </w:p>
    <w:p w:rsidR="00B13593" w:rsidRPr="00347B31" w:rsidRDefault="00B13593" w:rsidP="00347B31">
      <w:pPr>
        <w:pStyle w:val="a3"/>
        <w:widowControl w:val="0"/>
        <w:spacing w:before="0" w:beforeAutospacing="0" w:after="0" w:afterAutospacing="0" w:line="560" w:lineRule="exact"/>
        <w:ind w:firstLineChars="200" w:firstLine="560"/>
        <w:jc w:val="both"/>
        <w:divId w:val="1031345689"/>
        <w:rPr>
          <w:rFonts w:ascii="仿宋" w:eastAsia="仿宋" w:hAnsi="仿宋"/>
          <w:sz w:val="28"/>
          <w:szCs w:val="28"/>
        </w:rPr>
      </w:pPr>
      <w:r w:rsidRPr="00347B31">
        <w:rPr>
          <w:rFonts w:ascii="仿宋" w:eastAsia="仿宋" w:hAnsi="仿宋" w:hint="eastAsia"/>
          <w:sz w:val="28"/>
          <w:szCs w:val="28"/>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6" w:name="_Toc989044"/>
      <w:r w:rsidRPr="00347B31">
        <w:rPr>
          <w:rFonts w:ascii="仿宋" w:eastAsia="仿宋" w:hAnsi="仿宋"/>
          <w:b/>
          <w:sz w:val="28"/>
          <w:szCs w:val="28"/>
        </w:rPr>
        <w:t>42、租赁</w:t>
      </w:r>
      <w:bookmarkEnd w:id="156"/>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7" w:name="_Toc989045"/>
      <w:r w:rsidRPr="00347B31">
        <w:rPr>
          <w:rFonts w:ascii="仿宋" w:eastAsia="仿宋" w:hAnsi="仿宋"/>
          <w:b/>
          <w:sz w:val="28"/>
          <w:szCs w:val="28"/>
        </w:rPr>
        <w:lastRenderedPageBreak/>
        <w:t>（1） 经营租赁的会计处理方法</w:t>
      </w:r>
      <w:bookmarkEnd w:id="157"/>
    </w:p>
    <w:p w:rsidR="00B13593" w:rsidRPr="00347B31" w:rsidRDefault="00B13593" w:rsidP="00347B31">
      <w:pPr>
        <w:pStyle w:val="a3"/>
        <w:widowControl w:val="0"/>
        <w:spacing w:before="0" w:beforeAutospacing="0" w:after="0" w:afterAutospacing="0" w:line="560" w:lineRule="exact"/>
        <w:ind w:firstLineChars="200" w:firstLine="560"/>
        <w:jc w:val="both"/>
        <w:divId w:val="140777502"/>
        <w:rPr>
          <w:rFonts w:ascii="仿宋" w:eastAsia="仿宋" w:hAnsi="仿宋"/>
          <w:sz w:val="28"/>
          <w:szCs w:val="28"/>
        </w:rPr>
      </w:pPr>
      <w:r>
        <w:rPr>
          <w:rFonts w:ascii="仿宋" w:eastAsia="仿宋" w:hAnsi="仿宋" w:hint="eastAsia"/>
          <w:sz w:val="28"/>
          <w:szCs w:val="28"/>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B13593" w:rsidRPr="00347B31" w:rsidRDefault="00B13F8C" w:rsidP="00347B3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58" w:name="_Toc989046"/>
      <w:r w:rsidRPr="00347B31">
        <w:rPr>
          <w:rFonts w:ascii="仿宋" w:eastAsia="仿宋" w:hAnsi="仿宋"/>
          <w:b/>
          <w:sz w:val="28"/>
          <w:szCs w:val="28"/>
        </w:rPr>
        <w:t>（2） 融资租赁的会计处理方法</w:t>
      </w:r>
      <w:bookmarkEnd w:id="158"/>
    </w:p>
    <w:p w:rsidR="00B13593" w:rsidRPr="00347B31" w:rsidRDefault="00B13593" w:rsidP="00347B31">
      <w:pPr>
        <w:pStyle w:val="a3"/>
        <w:widowControl w:val="0"/>
        <w:spacing w:before="0" w:beforeAutospacing="0" w:after="0" w:afterAutospacing="0" w:line="560" w:lineRule="exact"/>
        <w:ind w:firstLineChars="200" w:firstLine="560"/>
        <w:jc w:val="both"/>
        <w:divId w:val="203519175"/>
        <w:rPr>
          <w:rFonts w:ascii="仿宋" w:eastAsia="仿宋" w:hAnsi="仿宋"/>
          <w:sz w:val="28"/>
          <w:szCs w:val="28"/>
        </w:rPr>
      </w:pPr>
      <w:r>
        <w:rPr>
          <w:rFonts w:ascii="仿宋" w:eastAsia="仿宋" w:hAnsi="仿宋" w:hint="eastAsia"/>
          <w:sz w:val="28"/>
          <w:szCs w:val="28"/>
        </w:rPr>
        <w:t>在租赁开始日，本公司按照租赁投资净额(未担保余值和租赁期开始日尚未收到的租赁收款额按照租赁内含利率折现的现值之和)确认应收融资租赁款，并终止确认融资租赁资产。在租赁期的各个期间，本公司按照租赁内含利率计算并确认利息收入。</w:t>
      </w:r>
    </w:p>
    <w:p w:rsidR="00B13593" w:rsidRPr="00347B31"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59" w:name="_Toc989047"/>
      <w:r w:rsidRPr="00347B31">
        <w:rPr>
          <w:rFonts w:ascii="仿宋" w:eastAsia="仿宋" w:hAnsi="仿宋"/>
          <w:b/>
          <w:sz w:val="28"/>
          <w:szCs w:val="28"/>
        </w:rPr>
        <w:t>43、其他重要的会计政策和会计估计</w:t>
      </w:r>
      <w:bookmarkEnd w:id="159"/>
    </w:p>
    <w:p w:rsidR="00B13593" w:rsidRPr="00347B31" w:rsidRDefault="00B13593" w:rsidP="00705C45">
      <w:pPr>
        <w:pStyle w:val="a3"/>
        <w:widowControl w:val="0"/>
        <w:spacing w:before="0" w:beforeAutospacing="0" w:after="0" w:afterAutospacing="0" w:line="540" w:lineRule="exact"/>
        <w:ind w:firstLineChars="200" w:firstLine="562"/>
        <w:jc w:val="both"/>
        <w:divId w:val="576133125"/>
        <w:rPr>
          <w:rFonts w:ascii="仿宋" w:eastAsia="仿宋" w:hAnsi="仿宋"/>
          <w:b/>
          <w:sz w:val="28"/>
          <w:szCs w:val="28"/>
        </w:rPr>
      </w:pPr>
      <w:r w:rsidRPr="00347B31">
        <w:rPr>
          <w:rFonts w:ascii="仿宋" w:eastAsia="仿宋" w:hAnsi="仿宋" w:hint="eastAsia"/>
          <w:b/>
          <w:sz w:val="28"/>
          <w:szCs w:val="28"/>
        </w:rPr>
        <w:t>（1）安全生产费用</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公司之子公司沈阳含能从事高性能特种合金材料制品生产，根据《企业安全生产费用提取和使用管理办法》对冶金企业的有关规定，按以下标准提取安全生产费用：</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a.营业收入不超过1000万元的，按照3%提取;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b.营业收入超过1000万元至1亿元的部分，按照1.5%提取;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c.营业收入超过1亿元至10亿元的部分，按照0.5%提取;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d.营业收入超过10亿元至50亿元的部分，按照0.2%提取。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e.营业收入超过50亿元至100亿元的部分，按照0.1%提取。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f.营业收入超过100亿元的部分，按照0.05%提取。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公司之子公司沈阳非晶从事高性能特种合金材料制品生产，根据《企业安全生产费用提取和使用管理办法》对机械制造企业的有关规定，以上一年度营业收入为依据，采取超额累退方式确定本年度应计提金额，并逐月平均提取安全生产费用。具体如下：</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lastRenderedPageBreak/>
        <w:t>a.上一年度营业收入不超过1000万元的，按照2%提取；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b.上一年度营业收入超过1000万元至1亿元的部分，按照1%提取；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c.上一年度营业收入超过1亿元至10亿元的部分，按照0.2%提取；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d.上一年度营业收入超过10亿元至50亿元的部分，按照0.1%提取；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e.上一年度营业收入超过50亿元的部分，按照0.05%提取。</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安全生产费用于提取时计入相关产品的成本或当期损益，同时计入“专项储备”科目。</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提取的安全生产费按规定范围使用时，属于费用性支出的，直接冲减专项储备；形成固定资产的，先通过“在建工程”科目归集所发生的支出，待安全项目完工达到预定可使用状态时确认为固定资产；同时，按照形成固定资产的成本冲减专项储备，并确认相同金额的累计折旧。该固定资产在以后期间不再计提折旧。</w:t>
      </w:r>
    </w:p>
    <w:p w:rsidR="00B13593" w:rsidRPr="00347B31" w:rsidRDefault="00B13593" w:rsidP="00705C45">
      <w:pPr>
        <w:pStyle w:val="a3"/>
        <w:widowControl w:val="0"/>
        <w:spacing w:before="0" w:beforeAutospacing="0" w:after="0" w:afterAutospacing="0" w:line="540" w:lineRule="exact"/>
        <w:ind w:firstLineChars="200" w:firstLine="562"/>
        <w:jc w:val="both"/>
        <w:divId w:val="576133125"/>
        <w:rPr>
          <w:rFonts w:ascii="仿宋" w:eastAsia="仿宋" w:hAnsi="仿宋"/>
          <w:b/>
          <w:sz w:val="28"/>
          <w:szCs w:val="28"/>
        </w:rPr>
      </w:pPr>
      <w:r w:rsidRPr="00347B31">
        <w:rPr>
          <w:rFonts w:ascii="仿宋" w:eastAsia="仿宋" w:hAnsi="仿宋" w:hint="eastAsia"/>
          <w:b/>
          <w:sz w:val="28"/>
          <w:szCs w:val="28"/>
        </w:rPr>
        <w:t>（2）终止经营</w:t>
      </w:r>
    </w:p>
    <w:p w:rsidR="00B13593" w:rsidRPr="00D857D0" w:rsidRDefault="00B13593" w:rsidP="00705C45">
      <w:pPr>
        <w:pStyle w:val="a3"/>
        <w:widowControl w:val="0"/>
        <w:spacing w:before="0" w:beforeAutospacing="0" w:after="0" w:afterAutospacing="0" w:line="540" w:lineRule="exact"/>
        <w:ind w:firstLineChars="200" w:firstLine="562"/>
        <w:jc w:val="both"/>
        <w:divId w:val="576133125"/>
        <w:rPr>
          <w:rFonts w:ascii="仿宋" w:eastAsia="仿宋" w:hAnsi="仿宋"/>
          <w:b/>
          <w:sz w:val="28"/>
          <w:szCs w:val="28"/>
        </w:rPr>
      </w:pPr>
      <w:r w:rsidRPr="00D857D0">
        <w:rPr>
          <w:rFonts w:ascii="仿宋" w:eastAsia="仿宋" w:hAnsi="仿宋" w:hint="eastAsia"/>
          <w:b/>
          <w:sz w:val="28"/>
          <w:szCs w:val="28"/>
        </w:rPr>
        <w:t>终止经营的认定标准</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终止经营，是指本公司满足下列条件之一的、能够单独区分的组成部分，且该组成部分已经处置或划分为持有待售类别：</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①该组成部分代表一项独立的主要业务或一个单独的主要经营地区；</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②该组成部分是拟对一项独立的主要业务或一个单独的主要经营地区进行处置的一项相关联计划的一部分；</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③该组成部分是专为转售而取得的子公司。</w:t>
      </w:r>
    </w:p>
    <w:p w:rsidR="00B13593" w:rsidRPr="00347B31" w:rsidRDefault="00B13593" w:rsidP="00705C45">
      <w:pPr>
        <w:pStyle w:val="a3"/>
        <w:widowControl w:val="0"/>
        <w:spacing w:before="0" w:beforeAutospacing="0" w:after="0" w:afterAutospacing="0" w:line="540" w:lineRule="exact"/>
        <w:ind w:firstLineChars="200" w:firstLine="562"/>
        <w:jc w:val="both"/>
        <w:divId w:val="576133125"/>
        <w:rPr>
          <w:rFonts w:ascii="仿宋" w:eastAsia="仿宋" w:hAnsi="仿宋"/>
          <w:b/>
          <w:sz w:val="28"/>
          <w:szCs w:val="28"/>
        </w:rPr>
      </w:pPr>
      <w:r w:rsidRPr="00347B31">
        <w:rPr>
          <w:rFonts w:ascii="仿宋" w:eastAsia="仿宋" w:hAnsi="仿宋" w:hint="eastAsia"/>
          <w:b/>
          <w:sz w:val="28"/>
          <w:szCs w:val="28"/>
        </w:rPr>
        <w:t>终止经营的列示</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本公司在利润表中分别列示持续经营损益和终止经营损益。对于当期列报的终止经营，本公司在当期财务报表中，将原来作为持续经营损益列报的信息重新作为可比会计期间的终止经营损益列报。终止经营不再满足持有待售类别划分条件的，本公司在当期财务报表中，将原来作为终止经营损益列</w:t>
      </w:r>
      <w:r>
        <w:rPr>
          <w:rFonts w:ascii="仿宋" w:eastAsia="仿宋" w:hAnsi="仿宋" w:hint="eastAsia"/>
          <w:sz w:val="28"/>
          <w:szCs w:val="28"/>
        </w:rPr>
        <w:lastRenderedPageBreak/>
        <w:t>报的信息重新作为可比会计期间的持续经营损益列报。</w:t>
      </w:r>
    </w:p>
    <w:p w:rsidR="00B13593" w:rsidRPr="00347B31" w:rsidRDefault="00B13593" w:rsidP="00705C45">
      <w:pPr>
        <w:pStyle w:val="a3"/>
        <w:widowControl w:val="0"/>
        <w:spacing w:before="0" w:beforeAutospacing="0" w:after="0" w:afterAutospacing="0" w:line="540" w:lineRule="exact"/>
        <w:ind w:firstLineChars="200" w:firstLine="562"/>
        <w:jc w:val="both"/>
        <w:divId w:val="576133125"/>
        <w:rPr>
          <w:rFonts w:ascii="仿宋" w:eastAsia="仿宋" w:hAnsi="仿宋"/>
          <w:b/>
          <w:sz w:val="28"/>
          <w:szCs w:val="28"/>
        </w:rPr>
      </w:pPr>
      <w:r w:rsidRPr="00347B31">
        <w:rPr>
          <w:rFonts w:ascii="仿宋" w:eastAsia="仿宋" w:hAnsi="仿宋" w:hint="eastAsia"/>
          <w:b/>
          <w:sz w:val="28"/>
          <w:szCs w:val="28"/>
        </w:rPr>
        <w:t>（3）回购公司股份</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①本公司按法定程序报经批准采用收购本公司股票方式减资的，按注销股票面值总额减少股本，购回股票支付的价款（含交易费用）与股票面值的差额调整所有者权益，超过面值总额的部分，依次冲减资本公积（股本溢价）、盈余公积和未分配利润；低于面值总额的，低于面值总额的部分增加资本公积（股本溢价）。</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②公司回购的股份在注销或者转让之前，作为库存股管理，回购股份的全部支出转作库存股成本。</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③库存股转让时，转让收入高于库存股成本的部分，增加资本公积（股本溢价）；低于库存股成本的部分，依次冲减资本公积（股本溢价）、盈余公积、未分配利润。</w:t>
      </w:r>
    </w:p>
    <w:p w:rsidR="00B13593" w:rsidRPr="00347B31" w:rsidRDefault="00B13593" w:rsidP="00705C45">
      <w:pPr>
        <w:pStyle w:val="a3"/>
        <w:widowControl w:val="0"/>
        <w:spacing w:before="0" w:beforeAutospacing="0" w:after="0" w:afterAutospacing="0" w:line="540" w:lineRule="exact"/>
        <w:ind w:firstLineChars="200" w:firstLine="562"/>
        <w:jc w:val="both"/>
        <w:divId w:val="576133125"/>
        <w:rPr>
          <w:rFonts w:ascii="仿宋" w:eastAsia="仿宋" w:hAnsi="仿宋"/>
          <w:b/>
          <w:sz w:val="28"/>
          <w:szCs w:val="28"/>
        </w:rPr>
      </w:pPr>
      <w:r w:rsidRPr="00347B31">
        <w:rPr>
          <w:rFonts w:ascii="仿宋" w:eastAsia="仿宋" w:hAnsi="仿宋" w:hint="eastAsia"/>
          <w:b/>
          <w:sz w:val="28"/>
          <w:szCs w:val="28"/>
        </w:rPr>
        <w:t>（4）限制性股票</w:t>
      </w:r>
    </w:p>
    <w:p w:rsidR="00B13593" w:rsidRPr="00347B31" w:rsidRDefault="00B13593" w:rsidP="00705C45">
      <w:pPr>
        <w:pStyle w:val="a3"/>
        <w:widowControl w:val="0"/>
        <w:spacing w:before="0" w:beforeAutospacing="0" w:after="0" w:afterAutospacing="0" w:line="540" w:lineRule="exact"/>
        <w:ind w:firstLineChars="200" w:firstLine="560"/>
        <w:jc w:val="both"/>
        <w:divId w:val="576133125"/>
        <w:rPr>
          <w:rFonts w:ascii="仿宋" w:eastAsia="仿宋" w:hAnsi="仿宋"/>
          <w:sz w:val="28"/>
          <w:szCs w:val="28"/>
        </w:rPr>
      </w:pPr>
      <w:r>
        <w:rPr>
          <w:rFonts w:ascii="仿宋" w:eastAsia="仿宋" w:hAnsi="仿宋" w:hint="eastAsia"/>
          <w:sz w:val="28"/>
          <w:szCs w:val="28"/>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公司股权激励授予股票来源为从二级市场回购，在授予日，本公司根据收到的职工缴纳的认股款确认回购义务，并将授予股票的回购价格与授予价格差异部分转出核销库存股。</w:t>
      </w:r>
    </w:p>
    <w:p w:rsidR="00B13593" w:rsidRPr="00E76791"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60" w:name="_Toc989048"/>
      <w:r w:rsidRPr="00E76791">
        <w:rPr>
          <w:rFonts w:ascii="仿宋" w:eastAsia="仿宋" w:hAnsi="仿宋"/>
          <w:b/>
          <w:sz w:val="28"/>
          <w:szCs w:val="28"/>
        </w:rPr>
        <w:t>44、重要会计政策和会计估计变更</w:t>
      </w:r>
      <w:bookmarkEnd w:id="160"/>
    </w:p>
    <w:p w:rsidR="00B13593" w:rsidRPr="00E76791" w:rsidRDefault="00B13F8C" w:rsidP="00E7679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61" w:name="_Toc989049"/>
      <w:r w:rsidRPr="00E76791">
        <w:rPr>
          <w:rFonts w:ascii="仿宋" w:eastAsia="仿宋" w:hAnsi="仿宋"/>
          <w:b/>
          <w:sz w:val="28"/>
          <w:szCs w:val="28"/>
        </w:rPr>
        <w:t>（1） 重要会计政策变更</w:t>
      </w:r>
      <w:bookmarkEnd w:id="161"/>
    </w:p>
    <w:p w:rsidR="00B13593" w:rsidRPr="00E76791" w:rsidRDefault="00B13F8C" w:rsidP="00E76791">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E76791">
        <w:rPr>
          <w:rFonts w:ascii="仿宋" w:eastAsia="仿宋" w:hAnsi="仿宋"/>
          <w:sz w:val="28"/>
          <w:szCs w:val="28"/>
        </w:rPr>
        <w:t>□适用</w:t>
      </w:r>
      <w:r w:rsidR="00E76791" w:rsidRPr="00E76791">
        <w:rPr>
          <w:rFonts w:ascii="仿宋" w:eastAsia="仿宋" w:hAnsi="仿宋" w:hint="eastAsia"/>
          <w:sz w:val="28"/>
          <w:szCs w:val="28"/>
        </w:rPr>
        <w:t xml:space="preserve"> </w:t>
      </w:r>
      <w:r w:rsidRPr="00E76791">
        <w:rPr>
          <w:rFonts w:ascii="仿宋" w:eastAsia="仿宋" w:hAnsi="仿宋"/>
          <w:sz w:val="28"/>
          <w:szCs w:val="28"/>
        </w:rPr>
        <w:t xml:space="preserve"> </w:t>
      </w:r>
      <w:r w:rsidRPr="00E76791">
        <w:rPr>
          <w:rFonts w:ascii="仿宋" w:eastAsia="仿宋" w:hAnsi="仿宋"/>
          <w:sz w:val="28"/>
          <w:szCs w:val="28"/>
        </w:rPr>
        <w:sym w:font="Wingdings 2" w:char="F052"/>
      </w:r>
      <w:r w:rsidRPr="00E76791">
        <w:rPr>
          <w:rFonts w:ascii="仿宋" w:eastAsia="仿宋" w:hAnsi="仿宋"/>
          <w:sz w:val="28"/>
          <w:szCs w:val="28"/>
        </w:rPr>
        <w:t>不适用</w:t>
      </w:r>
    </w:p>
    <w:p w:rsidR="00B13593" w:rsidRPr="00E76791" w:rsidRDefault="00B13F8C" w:rsidP="00E7679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62" w:name="_Toc989050"/>
      <w:r w:rsidRPr="00E76791">
        <w:rPr>
          <w:rFonts w:ascii="仿宋" w:eastAsia="仿宋" w:hAnsi="仿宋"/>
          <w:b/>
          <w:sz w:val="28"/>
          <w:szCs w:val="28"/>
        </w:rPr>
        <w:t>（2） 重要会计估计变更</w:t>
      </w:r>
      <w:bookmarkEnd w:id="162"/>
    </w:p>
    <w:p w:rsidR="00B13593" w:rsidRPr="00E76791" w:rsidRDefault="00B13F8C" w:rsidP="00E76791">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E76791">
        <w:rPr>
          <w:rFonts w:ascii="仿宋" w:eastAsia="仿宋" w:hAnsi="仿宋"/>
          <w:sz w:val="28"/>
          <w:szCs w:val="28"/>
        </w:rPr>
        <w:t xml:space="preserve">□适用 </w:t>
      </w:r>
      <w:r w:rsidR="00E76791" w:rsidRPr="00E76791">
        <w:rPr>
          <w:rFonts w:ascii="仿宋" w:eastAsia="仿宋" w:hAnsi="仿宋" w:hint="eastAsia"/>
          <w:sz w:val="28"/>
          <w:szCs w:val="28"/>
        </w:rPr>
        <w:t xml:space="preserve"> </w:t>
      </w:r>
      <w:r w:rsidRPr="00E76791">
        <w:rPr>
          <w:rFonts w:ascii="仿宋" w:eastAsia="仿宋" w:hAnsi="仿宋"/>
          <w:sz w:val="28"/>
          <w:szCs w:val="28"/>
        </w:rPr>
        <w:sym w:font="Wingdings 2" w:char="F052"/>
      </w:r>
      <w:r w:rsidRPr="00E76791">
        <w:rPr>
          <w:rFonts w:ascii="仿宋" w:eastAsia="仿宋" w:hAnsi="仿宋"/>
          <w:sz w:val="28"/>
          <w:szCs w:val="28"/>
        </w:rPr>
        <w:t>不适用</w:t>
      </w:r>
    </w:p>
    <w:p w:rsidR="00B13593" w:rsidRPr="00E76791" w:rsidRDefault="00B13F8C" w:rsidP="00E7679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63" w:name="_Toc989051"/>
      <w:r w:rsidRPr="00E76791">
        <w:rPr>
          <w:rFonts w:ascii="仿宋" w:eastAsia="仿宋" w:hAnsi="仿宋"/>
          <w:b/>
          <w:sz w:val="28"/>
          <w:szCs w:val="28"/>
        </w:rPr>
        <w:t>（3） 2023年起首次执行新会计准则调整首次执行当年年初财务报表相</w:t>
      </w:r>
      <w:r w:rsidRPr="00E76791">
        <w:rPr>
          <w:rFonts w:ascii="仿宋" w:eastAsia="仿宋" w:hAnsi="仿宋"/>
          <w:b/>
          <w:sz w:val="28"/>
          <w:szCs w:val="28"/>
        </w:rPr>
        <w:lastRenderedPageBreak/>
        <w:t>关项目情况</w:t>
      </w:r>
      <w:bookmarkEnd w:id="163"/>
    </w:p>
    <w:p w:rsidR="00B13593" w:rsidRPr="00E76791" w:rsidRDefault="00B13F8C" w:rsidP="00E76791">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E76791">
        <w:rPr>
          <w:rFonts w:ascii="仿宋" w:eastAsia="仿宋" w:hAnsi="仿宋"/>
          <w:sz w:val="28"/>
          <w:szCs w:val="28"/>
        </w:rPr>
        <w:t>□适用</w:t>
      </w:r>
      <w:r w:rsidR="00E76791" w:rsidRPr="00E76791">
        <w:rPr>
          <w:rFonts w:ascii="仿宋" w:eastAsia="仿宋" w:hAnsi="仿宋" w:hint="eastAsia"/>
          <w:sz w:val="28"/>
          <w:szCs w:val="28"/>
        </w:rPr>
        <w:t xml:space="preserve"> </w:t>
      </w:r>
      <w:r w:rsidRPr="00E76791">
        <w:rPr>
          <w:rFonts w:ascii="仿宋" w:eastAsia="仿宋" w:hAnsi="仿宋"/>
          <w:sz w:val="28"/>
          <w:szCs w:val="28"/>
        </w:rPr>
        <w:t xml:space="preserve"> </w:t>
      </w:r>
      <w:r w:rsidRPr="00E76791">
        <w:rPr>
          <w:rFonts w:ascii="仿宋" w:eastAsia="仿宋" w:hAnsi="仿宋"/>
          <w:sz w:val="28"/>
          <w:szCs w:val="28"/>
        </w:rPr>
        <w:sym w:font="Wingdings 2" w:char="F052"/>
      </w:r>
      <w:r w:rsidRPr="00E76791">
        <w:rPr>
          <w:rFonts w:ascii="仿宋" w:eastAsia="仿宋" w:hAnsi="仿宋"/>
          <w:sz w:val="28"/>
          <w:szCs w:val="28"/>
        </w:rPr>
        <w:t>不适用</w:t>
      </w:r>
    </w:p>
    <w:p w:rsidR="00B13593" w:rsidRPr="00E76791" w:rsidRDefault="00B13F8C" w:rsidP="00E76791">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64" w:name="_Toc989052"/>
      <w:r w:rsidRPr="00E76791">
        <w:rPr>
          <w:rFonts w:ascii="仿宋" w:eastAsia="仿宋" w:hAnsi="仿宋"/>
          <w:b/>
          <w:sz w:val="28"/>
          <w:szCs w:val="28"/>
        </w:rPr>
        <w:t>45、其他</w:t>
      </w:r>
      <w:bookmarkEnd w:id="164"/>
    </w:p>
    <w:p w:rsidR="00B13593" w:rsidRPr="00E76791" w:rsidRDefault="00B13593" w:rsidP="00E76791">
      <w:pPr>
        <w:pStyle w:val="a3"/>
        <w:widowControl w:val="0"/>
        <w:spacing w:before="0" w:beforeAutospacing="0" w:after="0" w:afterAutospacing="0" w:line="560" w:lineRule="exact"/>
        <w:ind w:firstLineChars="200" w:firstLine="560"/>
        <w:jc w:val="both"/>
        <w:divId w:val="968244321"/>
        <w:rPr>
          <w:rFonts w:ascii="仿宋" w:eastAsia="仿宋" w:hAnsi="仿宋"/>
          <w:sz w:val="28"/>
          <w:szCs w:val="28"/>
        </w:rPr>
      </w:pPr>
      <w:r w:rsidRPr="00E76791">
        <w:rPr>
          <w:rFonts w:ascii="仿宋" w:eastAsia="仿宋" w:hAnsi="仿宋" w:hint="eastAsia"/>
          <w:sz w:val="28"/>
          <w:szCs w:val="28"/>
        </w:rPr>
        <w:t>无。</w:t>
      </w:r>
    </w:p>
    <w:p w:rsidR="00B13593" w:rsidRPr="005D6FAB" w:rsidRDefault="00B13F8C" w:rsidP="005D6FAB">
      <w:pPr>
        <w:pStyle w:val="a3"/>
        <w:widowControl w:val="0"/>
        <w:spacing w:before="0" w:beforeAutospacing="0" w:after="0" w:afterAutospacing="0" w:line="560" w:lineRule="exact"/>
        <w:ind w:firstLineChars="200" w:firstLine="562"/>
        <w:jc w:val="both"/>
        <w:rPr>
          <w:b/>
          <w:bCs/>
          <w:sz w:val="28"/>
          <w:szCs w:val="28"/>
        </w:rPr>
      </w:pPr>
      <w:bookmarkStart w:id="165" w:name="_Toc989053"/>
      <w:r w:rsidRPr="005D6FAB">
        <w:rPr>
          <w:b/>
          <w:bCs/>
          <w:sz w:val="28"/>
          <w:szCs w:val="28"/>
        </w:rPr>
        <w:t>六、税项</w:t>
      </w:r>
      <w:bookmarkEnd w:id="165"/>
    </w:p>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66" w:name="_Toc989054"/>
      <w:r w:rsidRPr="005D6FAB">
        <w:rPr>
          <w:rFonts w:ascii="仿宋" w:eastAsia="仿宋" w:hAnsi="仿宋"/>
          <w:b/>
          <w:sz w:val="28"/>
          <w:szCs w:val="28"/>
        </w:rPr>
        <w:t>1、主要税种及税率</w:t>
      </w:r>
      <w:bookmarkEnd w:id="16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税率</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销售商品或提供劳务、有形动产租赁的增值额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3% 、5% 、6%</w:t>
            </w:r>
          </w:p>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、9%、10%、13%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应缴纳流转税额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15%、16.5%、20%、25%</w:t>
            </w:r>
          </w:p>
        </w:tc>
      </w:tr>
    </w:tbl>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5D6FAB">
        <w:rPr>
          <w:rFonts w:ascii="仿宋" w:eastAsia="仿宋" w:hAnsi="仿宋"/>
          <w:b/>
          <w:sz w:val="28"/>
          <w:szCs w:val="2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2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20" w:lineRule="exact"/>
              <w:jc w:val="center"/>
              <w:rPr>
                <w:rFonts w:ascii="宋体" w:eastAsia="宋体" w:hAnsi="宋体" w:cs="宋体"/>
                <w:sz w:val="18"/>
                <w:szCs w:val="18"/>
              </w:rPr>
            </w:pPr>
            <w:r>
              <w:rPr>
                <w:rFonts w:ascii="宋体" w:eastAsia="宋体" w:hAnsi="宋体" w:cs="宋体"/>
                <w:sz w:val="18"/>
                <w:szCs w:val="18"/>
              </w:rPr>
              <w:t>所得税税率</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升华电源</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15%</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沈阳含能</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15%</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沈阳非晶</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15%</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汇德投资</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16.5%</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甘华电源</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20%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甘科物业</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20%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升华源</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20%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四川德芯源</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20%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20" w:lineRule="exact"/>
              <w:rPr>
                <w:rFonts w:ascii="宋体" w:eastAsia="宋体" w:hAnsi="宋体" w:cs="宋体"/>
                <w:sz w:val="18"/>
                <w:szCs w:val="18"/>
              </w:rPr>
            </w:pPr>
            <w:r>
              <w:rPr>
                <w:rFonts w:ascii="宋体" w:eastAsia="宋体" w:hAnsi="宋体" w:cs="宋体"/>
                <w:sz w:val="18"/>
                <w:szCs w:val="18"/>
              </w:rPr>
              <w:t>沈阳超能</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9F7711" w:rsidP="005D6FAB">
            <w:pPr>
              <w:spacing w:line="320" w:lineRule="exact"/>
              <w:rPr>
                <w:rFonts w:ascii="宋体" w:eastAsia="宋体" w:hAnsi="宋体" w:cs="宋体"/>
                <w:sz w:val="18"/>
                <w:szCs w:val="18"/>
              </w:rPr>
            </w:pPr>
            <w:r>
              <w:rPr>
                <w:rFonts w:ascii="宋体" w:eastAsia="宋体" w:hAnsi="宋体" w:cs="宋体" w:hint="eastAsia"/>
                <w:sz w:val="18"/>
                <w:szCs w:val="18"/>
              </w:rPr>
              <w:t>20</w:t>
            </w:r>
            <w:r w:rsidR="00B13F8C">
              <w:rPr>
                <w:rFonts w:ascii="宋体" w:eastAsia="宋体" w:hAnsi="宋体" w:cs="宋体"/>
                <w:sz w:val="18"/>
                <w:szCs w:val="18"/>
              </w:rPr>
              <w:t>%</w:t>
            </w:r>
          </w:p>
        </w:tc>
      </w:tr>
    </w:tbl>
    <w:p w:rsidR="005D6FA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67" w:name="_Toc989055"/>
      <w:r w:rsidRPr="005D6FAB">
        <w:rPr>
          <w:rFonts w:ascii="仿宋" w:eastAsia="仿宋" w:hAnsi="仿宋"/>
          <w:b/>
          <w:sz w:val="28"/>
          <w:szCs w:val="28"/>
        </w:rPr>
        <w:t>2、税收优惠</w:t>
      </w:r>
      <w:bookmarkEnd w:id="167"/>
    </w:p>
    <w:p w:rsidR="005D6FAB" w:rsidRPr="005D6FAB" w:rsidRDefault="00B13593" w:rsidP="00705C45">
      <w:pPr>
        <w:pStyle w:val="a3"/>
        <w:widowControl w:val="0"/>
        <w:spacing w:before="0" w:beforeAutospacing="0" w:after="0" w:afterAutospacing="0" w:line="540" w:lineRule="exact"/>
        <w:ind w:firstLineChars="200" w:firstLine="560"/>
        <w:jc w:val="both"/>
        <w:rPr>
          <w:rFonts w:ascii="仿宋" w:eastAsia="仿宋" w:hAnsi="仿宋"/>
          <w:b/>
          <w:sz w:val="28"/>
          <w:szCs w:val="28"/>
        </w:rPr>
      </w:pPr>
      <w:r>
        <w:rPr>
          <w:rFonts w:ascii="仿宋" w:eastAsia="仿宋" w:hAnsi="仿宋" w:hint="eastAsia"/>
          <w:sz w:val="28"/>
          <w:szCs w:val="28"/>
        </w:rPr>
        <w:t>（1）高新技术企业企业所得税优惠</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公司下属子公司升华电源、沈阳含能及沈阳非晶为高新技术企业，高新技术资格有效期内适用高新技术企业所得税的优惠税率15%。</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（2）西部大开发企业所得税优惠</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根据财政部、税务总局、国家发展改革委《关于延续西部大开发企业所得税政策的公告》（2020年第23号），自2021年1月1日至2030年12月31日，对设在西部地区的鼓励类产业企业减按15%的税率征收企业所得税。本条所称鼓励类产业企业是指以《西部地区鼓励类产业目录》中规定的产业</w:t>
      </w:r>
      <w:r>
        <w:rPr>
          <w:rFonts w:ascii="仿宋" w:eastAsia="仿宋" w:hAnsi="仿宋" w:hint="eastAsia"/>
          <w:sz w:val="28"/>
          <w:szCs w:val="28"/>
        </w:rPr>
        <w:lastRenderedPageBreak/>
        <w:t>项目为主营业务，且其主营业务收入占企业收入总额60%以上的企业，经公司申请，主管税务机关审核确认后，可减按15%税率缴纳企业所得税。公司下属子公司升华电源于2014年5月14日获得成都市成华区国家税务局批准通知书，于2013年度开始享受所得税减免优惠。</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（3）小微企业税收优惠</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根据财政部、税务总局2019年1月17日发布的《关于实施小微企业普惠性税收减免政策的通知》（财税201913号）规定，自2019年1月1日至2021年12月31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根据财政部、税务总局2021年4月2日发布的《关于实施小微企业和个体工商户所得税优惠政策的公告》（财税202112号）规定，自2021年1月1日至2022年12月31日，对小型微利企业年应纳税所得额不超过100万元的部分，在财政部、税务总局发布的《关于实施小微企业普惠性税收减免政策的通知》（财税201913号）第二条规定的优惠政策基础上，再减半征收企业所得税。即年应纳税所得额不超过100万元的部分，减按12.5%计入应纳税所得额，按20%的税率缴纳企业所得税。根据财政部、税务总局2022年3月14日发布的《关于进一步实施小微企业所得税优惠政策的公告》（财税202213号）规定，自2022年1月1日至2024年12月31日，对年应纳税所得额超过100万元但不超过300万元的部分，减按25%计入应纳税所得额，按20%的税率缴纳企业所得税。公司之子公司甘华电源、甘科物业、升华源、四川德芯源</w:t>
      </w:r>
      <w:r w:rsidR="003056A7">
        <w:rPr>
          <w:rFonts w:ascii="仿宋" w:eastAsia="仿宋" w:hAnsi="仿宋" w:hint="eastAsia"/>
          <w:sz w:val="28"/>
          <w:szCs w:val="28"/>
        </w:rPr>
        <w:t>和沈阳超能本期</w:t>
      </w:r>
      <w:r>
        <w:rPr>
          <w:rFonts w:ascii="仿宋" w:eastAsia="仿宋" w:hAnsi="仿宋" w:hint="eastAsia"/>
          <w:sz w:val="28"/>
          <w:szCs w:val="28"/>
        </w:rPr>
        <w:t>享受该税收优惠。</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（4）军品销售增值税优惠</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公司下属子公司升华电源销售军品，按照军品增值税政策，军品增值税</w:t>
      </w:r>
      <w:r>
        <w:rPr>
          <w:rFonts w:ascii="仿宋" w:eastAsia="仿宋" w:hAnsi="仿宋" w:hint="eastAsia"/>
          <w:sz w:val="28"/>
          <w:szCs w:val="28"/>
        </w:rPr>
        <w:lastRenderedPageBreak/>
        <w:t>施行免税合同清单制，公司向相关部门申报免税合同后，形成清单报送财政部和国税总局，其联合批复下发文件至各级税务机关，随后通知企业办理已交增值税退税，免税清单下发后企业可直接开具增值税免税普通发票。</w:t>
      </w:r>
    </w:p>
    <w:p w:rsidR="00B13593" w:rsidRPr="005D6FAB" w:rsidRDefault="00B13593" w:rsidP="00705C45">
      <w:pPr>
        <w:pStyle w:val="a3"/>
        <w:widowControl w:val="0"/>
        <w:spacing w:before="0" w:beforeAutospacing="0" w:after="0" w:afterAutospacing="0" w:line="540" w:lineRule="exact"/>
        <w:ind w:firstLineChars="200" w:firstLine="560"/>
        <w:jc w:val="both"/>
        <w:divId w:val="1958635639"/>
        <w:rPr>
          <w:rFonts w:ascii="仿宋" w:eastAsia="仿宋" w:hAnsi="仿宋"/>
          <w:sz w:val="28"/>
          <w:szCs w:val="28"/>
        </w:rPr>
      </w:pPr>
      <w:r>
        <w:rPr>
          <w:rFonts w:ascii="仿宋" w:eastAsia="仿宋" w:hAnsi="仿宋" w:hint="eastAsia"/>
          <w:sz w:val="28"/>
          <w:szCs w:val="28"/>
        </w:rPr>
        <w:t>根据军方通知，销售合同签订时间在2022年1月1日及以后的军品销售不再享受免交增值税的税收优惠。子公司升华电源本期执行的销售合同中仅属于2022年1月1日之前签订的享受军品免征增值税优惠。</w:t>
      </w:r>
    </w:p>
    <w:p w:rsidR="00B13593" w:rsidRPr="005D6FA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68" w:name="_Toc989056"/>
      <w:r w:rsidRPr="005D6FAB">
        <w:rPr>
          <w:rFonts w:ascii="仿宋" w:eastAsia="仿宋" w:hAnsi="仿宋"/>
          <w:b/>
          <w:sz w:val="28"/>
          <w:szCs w:val="28"/>
        </w:rPr>
        <w:t>3、其他</w:t>
      </w:r>
      <w:bookmarkEnd w:id="168"/>
    </w:p>
    <w:p w:rsidR="00B13593" w:rsidRPr="005D6FAB" w:rsidRDefault="00B13593" w:rsidP="00705C45">
      <w:pPr>
        <w:pStyle w:val="a3"/>
        <w:widowControl w:val="0"/>
        <w:spacing w:before="0" w:beforeAutospacing="0" w:after="0" w:afterAutospacing="0" w:line="540" w:lineRule="exact"/>
        <w:ind w:firstLineChars="200" w:firstLine="560"/>
        <w:jc w:val="both"/>
        <w:divId w:val="438456260"/>
        <w:rPr>
          <w:rFonts w:ascii="仿宋" w:eastAsia="仿宋" w:hAnsi="仿宋"/>
          <w:sz w:val="28"/>
          <w:szCs w:val="28"/>
        </w:rPr>
      </w:pPr>
      <w:r>
        <w:rPr>
          <w:rFonts w:ascii="仿宋" w:eastAsia="仿宋" w:hAnsi="仿宋" w:hint="eastAsia"/>
          <w:sz w:val="28"/>
          <w:szCs w:val="28"/>
        </w:rPr>
        <w:t>无。</w:t>
      </w:r>
    </w:p>
    <w:p w:rsidR="00B13593" w:rsidRPr="005D6FAB" w:rsidRDefault="00B13F8C" w:rsidP="00705C45">
      <w:pPr>
        <w:pStyle w:val="a3"/>
        <w:widowControl w:val="0"/>
        <w:spacing w:before="0" w:beforeAutospacing="0" w:after="0" w:afterAutospacing="0" w:line="540" w:lineRule="exact"/>
        <w:ind w:firstLineChars="200" w:firstLine="562"/>
        <w:jc w:val="both"/>
        <w:rPr>
          <w:b/>
          <w:bCs/>
          <w:sz w:val="28"/>
          <w:szCs w:val="28"/>
        </w:rPr>
      </w:pPr>
      <w:bookmarkStart w:id="169" w:name="_Toc989057"/>
      <w:r w:rsidRPr="005D6FAB">
        <w:rPr>
          <w:b/>
          <w:bCs/>
          <w:sz w:val="28"/>
          <w:szCs w:val="28"/>
        </w:rPr>
        <w:t>七、合并财务报表项目注释</w:t>
      </w:r>
      <w:bookmarkEnd w:id="169"/>
    </w:p>
    <w:p w:rsidR="00B13593" w:rsidRPr="005D6FA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70" w:name="_Toc989058"/>
      <w:r w:rsidRPr="005D6FAB">
        <w:rPr>
          <w:rFonts w:ascii="仿宋" w:eastAsia="仿宋" w:hAnsi="仿宋"/>
          <w:b/>
          <w:sz w:val="28"/>
          <w:szCs w:val="28"/>
        </w:rPr>
        <w:t>1、货币资金</w:t>
      </w:r>
      <w:bookmarkEnd w:id="17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142,634.97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155,756.04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221,944,012.96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134,162,641.68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1,898,713.43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7,321,347.15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223,985,361.36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141,639,744.87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2,996.60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3,609.30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因抵押、质押或冻结等对使用有限制的款项总额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1,887,970.86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7,294,365.16</w:t>
            </w:r>
          </w:p>
        </w:tc>
      </w:tr>
    </w:tbl>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5D6FAB">
        <w:rPr>
          <w:rFonts w:ascii="仿宋" w:eastAsia="仿宋" w:hAnsi="仿宋"/>
          <w:b/>
          <w:sz w:val="28"/>
          <w:szCs w:val="28"/>
        </w:rPr>
        <w:t>其他说明</w:t>
      </w:r>
    </w:p>
    <w:p w:rsidR="00B13593" w:rsidRPr="005D6FAB" w:rsidRDefault="00B13593" w:rsidP="005D6FAB">
      <w:pPr>
        <w:pStyle w:val="a3"/>
        <w:widowControl w:val="0"/>
        <w:spacing w:before="0" w:beforeAutospacing="0" w:after="0" w:afterAutospacing="0" w:line="560" w:lineRule="exact"/>
        <w:ind w:firstLineChars="200" w:firstLine="560"/>
        <w:jc w:val="both"/>
        <w:divId w:val="1013995699"/>
        <w:rPr>
          <w:rFonts w:ascii="仿宋" w:eastAsia="仿宋" w:hAnsi="仿宋"/>
          <w:sz w:val="28"/>
          <w:szCs w:val="28"/>
        </w:rPr>
      </w:pPr>
      <w:r>
        <w:rPr>
          <w:rFonts w:ascii="仿宋" w:eastAsia="仿宋" w:hAnsi="仿宋" w:hint="eastAsia"/>
          <w:sz w:val="28"/>
          <w:szCs w:val="28"/>
        </w:rPr>
        <w:t>期末其他货币资金包括票据保证金1,887,970.86元、存出投资款10,742.57元。除票据保证金之外，期末货币资金中无其他因抵押、质押或冻结等对使用有限制、有潜在回收风险的款项。</w:t>
      </w:r>
    </w:p>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1" w:name="_Toc989059"/>
      <w:r w:rsidRPr="005D6FAB">
        <w:rPr>
          <w:rFonts w:ascii="仿宋" w:eastAsia="仿宋" w:hAnsi="仿宋"/>
          <w:b/>
          <w:sz w:val="28"/>
          <w:szCs w:val="28"/>
        </w:rPr>
        <w:t>2、交易性金融资产</w:t>
      </w:r>
      <w:bookmarkEnd w:id="17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434.00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434.00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111,192,320.68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292,231,057.07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lastRenderedPageBreak/>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111,192,320.68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292,231,057.07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111,192,320.68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292,231,491.07</w:t>
            </w:r>
          </w:p>
        </w:tc>
      </w:tr>
    </w:tbl>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2" w:name="_Toc989060"/>
      <w:r w:rsidRPr="005D6FAB">
        <w:rPr>
          <w:rFonts w:ascii="仿宋" w:eastAsia="仿宋" w:hAnsi="仿宋"/>
          <w:b/>
          <w:sz w:val="28"/>
          <w:szCs w:val="28"/>
        </w:rPr>
        <w:t>3、应收票据</w:t>
      </w:r>
      <w:bookmarkEnd w:id="172"/>
    </w:p>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3" w:name="_Toc989061"/>
      <w:r w:rsidRPr="005D6FAB">
        <w:rPr>
          <w:rFonts w:ascii="仿宋" w:eastAsia="仿宋" w:hAnsi="仿宋"/>
          <w:b/>
          <w:sz w:val="28"/>
          <w:szCs w:val="28"/>
        </w:rPr>
        <w:t>（1）应收票据分类列示</w:t>
      </w:r>
      <w:bookmarkEnd w:id="17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3,070,691.70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3,958,182.88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133,902,522.01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152,198,105.97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136,973,213.71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156,156,288.85</w:t>
            </w:r>
          </w:p>
        </w:tc>
      </w:tr>
    </w:tbl>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8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5"/>
        <w:gridCol w:w="934"/>
        <w:gridCol w:w="968"/>
        <w:gridCol w:w="1024"/>
        <w:gridCol w:w="729"/>
        <w:gridCol w:w="876"/>
        <w:gridCol w:w="876"/>
        <w:gridCol w:w="877"/>
        <w:gridCol w:w="876"/>
        <w:gridCol w:w="877"/>
        <w:gridCol w:w="876"/>
      </w:tblGrid>
      <w:tr w:rsidR="00B13593" w:rsidTr="005D6FAB">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453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rsidTr="005D6FAB">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19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账面价值</w:t>
            </w:r>
          </w:p>
        </w:tc>
      </w:tr>
      <w:tr w:rsidR="00B13593" w:rsidTr="005D6FAB">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9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比例</w:t>
            </w:r>
          </w:p>
        </w:tc>
        <w:tc>
          <w:tcPr>
            <w:tcW w:w="102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72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r>
      <w:tr w:rsidR="00B13593" w:rsidTr="005D6FA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其中：</w:t>
            </w:r>
          </w:p>
        </w:tc>
        <w:tc>
          <w:tcPr>
            <w:tcW w:w="9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102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72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r>
      <w:tr w:rsidR="00B13593" w:rsidTr="005D6FA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按组合计提坏账准备的应收票据</w:t>
            </w:r>
          </w:p>
        </w:tc>
        <w:tc>
          <w:tcPr>
            <w:tcW w:w="934"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146,677,446.31</w:t>
            </w:r>
          </w:p>
        </w:tc>
        <w:tc>
          <w:tcPr>
            <w:tcW w:w="968"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024"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9,704,232.60</w:t>
            </w:r>
          </w:p>
        </w:tc>
        <w:tc>
          <w:tcPr>
            <w:tcW w:w="729"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6.62%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136,973,213.71</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164,606,184.35</w:t>
            </w: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8,449,895.50</w:t>
            </w: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5.13%</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156,156,288.85</w:t>
            </w:r>
          </w:p>
        </w:tc>
      </w:tr>
      <w:tr w:rsidR="00B13593" w:rsidTr="005D6FA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其中：</w:t>
            </w:r>
          </w:p>
        </w:tc>
        <w:tc>
          <w:tcPr>
            <w:tcW w:w="9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102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72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r>
      <w:tr w:rsidR="00B13593" w:rsidTr="005D6FAB">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1. 银行承兑汇票</w:t>
            </w:r>
          </w:p>
        </w:tc>
        <w:tc>
          <w:tcPr>
            <w:tcW w:w="934"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3,070,691.70</w:t>
            </w:r>
          </w:p>
        </w:tc>
        <w:tc>
          <w:tcPr>
            <w:tcW w:w="968"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2.09%</w:t>
            </w:r>
          </w:p>
        </w:tc>
        <w:tc>
          <w:tcPr>
            <w:tcW w:w="1024" w:type="dxa"/>
            <w:tcBorders>
              <w:top w:val="single" w:sz="2" w:space="0" w:color="auto"/>
              <w:left w:val="single" w:sz="2" w:space="0" w:color="auto"/>
              <w:bottom w:val="single" w:sz="2" w:space="0" w:color="auto"/>
              <w:right w:val="single" w:sz="2" w:space="0" w:color="auto"/>
            </w:tcBorders>
            <w:vAlign w:val="center"/>
          </w:tcPr>
          <w:p w:rsidR="00B13593" w:rsidRDefault="00B13593" w:rsidP="005D6FAB">
            <w:pPr>
              <w:spacing w:line="300" w:lineRule="exact"/>
              <w:jc w:val="right"/>
              <w:rPr>
                <w:rFonts w:ascii="宋体" w:eastAsia="宋体" w:hAnsi="宋体" w:cs="宋体"/>
                <w:sz w:val="18"/>
                <w:szCs w:val="18"/>
              </w:rPr>
            </w:pPr>
          </w:p>
        </w:tc>
        <w:tc>
          <w:tcPr>
            <w:tcW w:w="729"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3,070,691.70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3,958,182.88</w:t>
            </w: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2.40%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5D6FA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593" w:rsidP="005D6FA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3,958,182.88</w:t>
            </w:r>
          </w:p>
        </w:tc>
      </w:tr>
      <w:tr w:rsidR="00B13593" w:rsidTr="005D6FAB">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2. 商业承兑汇票</w:t>
            </w:r>
          </w:p>
        </w:tc>
        <w:tc>
          <w:tcPr>
            <w:tcW w:w="934"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143,606,754.61</w:t>
            </w:r>
          </w:p>
        </w:tc>
        <w:tc>
          <w:tcPr>
            <w:tcW w:w="968"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97.91%</w:t>
            </w:r>
          </w:p>
        </w:tc>
        <w:tc>
          <w:tcPr>
            <w:tcW w:w="1024"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9,704,232.60</w:t>
            </w:r>
          </w:p>
        </w:tc>
        <w:tc>
          <w:tcPr>
            <w:tcW w:w="729"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6.76%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133,902,522.01</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160,648,001.47</w:t>
            </w: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97.60%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8,449,895.50</w:t>
            </w: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5.26%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152,198,105.97</w:t>
            </w:r>
          </w:p>
        </w:tc>
      </w:tr>
      <w:tr w:rsidR="00B13593" w:rsidTr="005D6FA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合计</w:t>
            </w:r>
          </w:p>
        </w:tc>
        <w:tc>
          <w:tcPr>
            <w:tcW w:w="934"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146,677,446.31</w:t>
            </w:r>
          </w:p>
        </w:tc>
        <w:tc>
          <w:tcPr>
            <w:tcW w:w="968"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024"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9,704,232.60</w:t>
            </w:r>
          </w:p>
        </w:tc>
        <w:tc>
          <w:tcPr>
            <w:tcW w:w="729"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6.62%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136,973,213.71</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164,606,184.35</w:t>
            </w: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8,449,895.50</w:t>
            </w:r>
          </w:p>
        </w:tc>
        <w:tc>
          <w:tcPr>
            <w:tcW w:w="877"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5.13%</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156,156,288.85</w:t>
            </w:r>
          </w:p>
        </w:tc>
      </w:tr>
    </w:tbl>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5D6FAB">
        <w:rPr>
          <w:rFonts w:ascii="仿宋" w:eastAsia="仿宋" w:hAnsi="仿宋"/>
          <w:b/>
          <w:sz w:val="28"/>
          <w:szCs w:val="28"/>
        </w:rPr>
        <w:t>按组合计提坏账准备：银行承兑汇票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计提比例</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银行承兑汇票</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3,070,691.70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3,070,691.70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r>
    </w:tbl>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5D6FAB">
        <w:rPr>
          <w:rFonts w:ascii="仿宋" w:eastAsia="仿宋" w:hAnsi="仿宋"/>
          <w:b/>
          <w:sz w:val="28"/>
          <w:szCs w:val="28"/>
        </w:rPr>
        <w:t>确定该组合依据的说明：</w:t>
      </w:r>
    </w:p>
    <w:p w:rsidR="00B13593" w:rsidRPr="005D6FAB" w:rsidRDefault="00B13593" w:rsidP="005D6FAB">
      <w:pPr>
        <w:pStyle w:val="a3"/>
        <w:widowControl w:val="0"/>
        <w:spacing w:before="0" w:beforeAutospacing="0" w:after="0" w:afterAutospacing="0" w:line="560" w:lineRule="exact"/>
        <w:ind w:firstLineChars="200" w:firstLine="560"/>
        <w:jc w:val="both"/>
        <w:divId w:val="342130064"/>
        <w:rPr>
          <w:rFonts w:ascii="仿宋" w:eastAsia="仿宋" w:hAnsi="仿宋"/>
          <w:sz w:val="28"/>
          <w:szCs w:val="28"/>
        </w:rPr>
      </w:pPr>
      <w:r>
        <w:rPr>
          <w:rFonts w:ascii="仿宋" w:eastAsia="仿宋" w:hAnsi="仿宋" w:hint="eastAsia"/>
          <w:sz w:val="28"/>
          <w:szCs w:val="28"/>
        </w:rPr>
        <w:t>按组合计提坏账准备的确认标准及说明见附注五、10。</w:t>
      </w:r>
    </w:p>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5D6FAB">
        <w:rPr>
          <w:rFonts w:ascii="仿宋" w:eastAsia="仿宋" w:hAnsi="仿宋"/>
          <w:b/>
          <w:sz w:val="28"/>
          <w:szCs w:val="28"/>
        </w:rPr>
        <w:t>按组合计提坏账准备：商业承兑汇票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lastRenderedPageBreak/>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jc w:val="center"/>
              <w:rPr>
                <w:rFonts w:ascii="宋体" w:eastAsia="宋体" w:hAnsi="宋体" w:cs="宋体"/>
                <w:sz w:val="18"/>
                <w:szCs w:val="18"/>
              </w:rPr>
            </w:pPr>
            <w:r>
              <w:rPr>
                <w:rFonts w:ascii="宋体" w:eastAsia="宋体" w:hAnsi="宋体" w:cs="宋体"/>
                <w:sz w:val="18"/>
                <w:szCs w:val="18"/>
              </w:rPr>
              <w:t>计提比例</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军工总装客户</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13,241,676.50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130,365,078.11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9,704,232.60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7.44%</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5D6FAB">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143,606,754.61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5D6FAB">
            <w:pPr>
              <w:spacing w:line="300" w:lineRule="exact"/>
              <w:jc w:val="right"/>
              <w:rPr>
                <w:rFonts w:ascii="宋体" w:eastAsia="宋体" w:hAnsi="宋体" w:cs="宋体"/>
                <w:sz w:val="18"/>
                <w:szCs w:val="18"/>
              </w:rPr>
            </w:pPr>
            <w:r>
              <w:rPr>
                <w:rFonts w:ascii="宋体" w:eastAsia="宋体" w:hAnsi="宋体" w:cs="宋体"/>
                <w:sz w:val="18"/>
                <w:szCs w:val="18"/>
              </w:rPr>
              <w:t>9,704,232.60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5D6FAB">
            <w:pPr>
              <w:spacing w:line="300" w:lineRule="exact"/>
            </w:pPr>
          </w:p>
        </w:tc>
      </w:tr>
    </w:tbl>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5D6FAB">
        <w:rPr>
          <w:rFonts w:ascii="仿宋" w:eastAsia="仿宋" w:hAnsi="仿宋"/>
          <w:b/>
          <w:sz w:val="28"/>
          <w:szCs w:val="28"/>
        </w:rPr>
        <w:t>确定该组合依据的说明：</w:t>
      </w:r>
    </w:p>
    <w:p w:rsidR="00B13593" w:rsidRPr="005D6FAB" w:rsidRDefault="00B13593" w:rsidP="005D6FAB">
      <w:pPr>
        <w:pStyle w:val="a3"/>
        <w:widowControl w:val="0"/>
        <w:spacing w:before="0" w:beforeAutospacing="0" w:after="0" w:afterAutospacing="0" w:line="560" w:lineRule="exact"/>
        <w:ind w:firstLineChars="200" w:firstLine="560"/>
        <w:jc w:val="both"/>
        <w:divId w:val="1945771944"/>
        <w:rPr>
          <w:rFonts w:ascii="仿宋" w:eastAsia="仿宋" w:hAnsi="仿宋"/>
          <w:sz w:val="28"/>
          <w:szCs w:val="28"/>
        </w:rPr>
      </w:pPr>
      <w:r>
        <w:rPr>
          <w:rFonts w:ascii="仿宋" w:eastAsia="仿宋" w:hAnsi="仿宋" w:hint="eastAsia"/>
          <w:sz w:val="28"/>
          <w:szCs w:val="28"/>
        </w:rPr>
        <w:t>按组合计提坏账准备的确认标准及说明见附注五、10。</w:t>
      </w:r>
    </w:p>
    <w:p w:rsidR="00B13593" w:rsidRPr="005D6FAB" w:rsidRDefault="00B13F8C" w:rsidP="005D6FA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5D6FAB">
        <w:rPr>
          <w:rFonts w:ascii="仿宋" w:eastAsia="仿宋" w:hAnsi="仿宋"/>
          <w:b/>
          <w:sz w:val="28"/>
          <w:szCs w:val="28"/>
        </w:rPr>
        <w:t>如是按照预期信用损失一般模型计提应收票据坏账准备，请参照其他应收款的披露方式披露坏账准备的相关信息：</w:t>
      </w:r>
    </w:p>
    <w:p w:rsidR="00B13593" w:rsidRPr="005D6FAB" w:rsidRDefault="00B13F8C" w:rsidP="005D6FAB">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5D6FAB">
        <w:rPr>
          <w:rFonts w:ascii="仿宋" w:eastAsia="仿宋" w:hAnsi="仿宋"/>
          <w:sz w:val="28"/>
          <w:szCs w:val="28"/>
        </w:rPr>
        <w:t>□适用</w:t>
      </w:r>
      <w:r w:rsidR="005D6FAB">
        <w:rPr>
          <w:rFonts w:ascii="仿宋" w:eastAsia="仿宋" w:hAnsi="仿宋" w:hint="eastAsia"/>
          <w:sz w:val="28"/>
          <w:szCs w:val="28"/>
        </w:rPr>
        <w:t xml:space="preserve"> </w:t>
      </w:r>
      <w:r w:rsidRPr="005D6FAB">
        <w:rPr>
          <w:rFonts w:ascii="仿宋" w:eastAsia="仿宋" w:hAnsi="仿宋"/>
          <w:sz w:val="28"/>
          <w:szCs w:val="28"/>
        </w:rPr>
        <w:t xml:space="preserve"> </w:t>
      </w:r>
      <w:r w:rsidRPr="005D6FAB">
        <w:rPr>
          <w:rFonts w:ascii="仿宋" w:eastAsia="仿宋" w:hAnsi="仿宋"/>
          <w:sz w:val="28"/>
          <w:szCs w:val="28"/>
        </w:rPr>
        <w:sym w:font="Wingdings 2" w:char="F052"/>
      </w:r>
      <w:r w:rsidRPr="005D6FAB">
        <w:rPr>
          <w:rFonts w:ascii="仿宋" w:eastAsia="仿宋" w:hAnsi="仿宋"/>
          <w:sz w:val="28"/>
          <w:szCs w:val="28"/>
        </w:rPr>
        <w:t>不适用</w:t>
      </w:r>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4" w:name="_Toc989062"/>
      <w:r w:rsidRPr="00646D1B">
        <w:rPr>
          <w:rFonts w:ascii="仿宋" w:eastAsia="仿宋" w:hAnsi="仿宋"/>
          <w:b/>
          <w:sz w:val="28"/>
          <w:szCs w:val="28"/>
        </w:rPr>
        <w:t>（2）本期计提、收回或转回的坏账准备情况</w:t>
      </w:r>
      <w:bookmarkEnd w:id="174"/>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本期计提坏账准备情况：</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商业承兑汇票</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8,449,895.50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1,254,337.10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9,704,232.60</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8,449,895.50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1,254,337.10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9,704,232.60</w:t>
            </w:r>
          </w:p>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其中本期坏账准备收回或转回金额重要的：</w:t>
      </w:r>
    </w:p>
    <w:p w:rsidR="00B13593" w:rsidRPr="00646D1B" w:rsidRDefault="00B13F8C" w:rsidP="00646D1B">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646D1B">
        <w:rPr>
          <w:rFonts w:ascii="仿宋" w:eastAsia="仿宋" w:hAnsi="仿宋"/>
          <w:sz w:val="28"/>
          <w:szCs w:val="28"/>
        </w:rPr>
        <w:t xml:space="preserve">□适用 </w:t>
      </w:r>
      <w:r w:rsidR="00646D1B" w:rsidRPr="00646D1B">
        <w:rPr>
          <w:rFonts w:ascii="仿宋" w:eastAsia="仿宋" w:hAnsi="仿宋" w:hint="eastAsia"/>
          <w:sz w:val="28"/>
          <w:szCs w:val="28"/>
        </w:rPr>
        <w:t xml:space="preserve"> </w:t>
      </w:r>
      <w:r w:rsidRPr="00646D1B">
        <w:rPr>
          <w:rFonts w:ascii="仿宋" w:eastAsia="仿宋" w:hAnsi="仿宋"/>
          <w:sz w:val="28"/>
          <w:szCs w:val="28"/>
        </w:rPr>
        <w:sym w:font="Wingdings 2" w:char="F052"/>
      </w:r>
      <w:r w:rsidRPr="00646D1B">
        <w:rPr>
          <w:rFonts w:ascii="仿宋" w:eastAsia="仿宋" w:hAnsi="仿宋"/>
          <w:sz w:val="28"/>
          <w:szCs w:val="28"/>
        </w:rPr>
        <w:t>不适用</w:t>
      </w:r>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5" w:name="_Toc989063"/>
      <w:r w:rsidRPr="00646D1B">
        <w:rPr>
          <w:rFonts w:ascii="仿宋" w:eastAsia="仿宋" w:hAnsi="仿宋"/>
          <w:b/>
          <w:sz w:val="28"/>
          <w:szCs w:val="28"/>
        </w:rPr>
        <w:t>（3）期末公司已质押的应收票据</w:t>
      </w:r>
      <w:bookmarkEnd w:id="17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期末已质押金额</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商业承兑票据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5,606,462.00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5,606,462.00</w:t>
            </w:r>
          </w:p>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6" w:name="_Toc989064"/>
      <w:r w:rsidRPr="00646D1B">
        <w:rPr>
          <w:rFonts w:ascii="仿宋" w:eastAsia="仿宋" w:hAnsi="仿宋"/>
          <w:b/>
          <w:sz w:val="28"/>
          <w:szCs w:val="28"/>
        </w:rPr>
        <w:t>4、应收账款</w:t>
      </w:r>
      <w:bookmarkEnd w:id="176"/>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7" w:name="_Toc989065"/>
      <w:r w:rsidRPr="00646D1B">
        <w:rPr>
          <w:rFonts w:ascii="仿宋" w:eastAsia="仿宋" w:hAnsi="仿宋"/>
          <w:b/>
          <w:sz w:val="28"/>
          <w:szCs w:val="28"/>
        </w:rPr>
        <w:t>（1）应收账款分类披露</w:t>
      </w:r>
      <w:bookmarkEnd w:id="17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5"/>
        <w:gridCol w:w="876"/>
        <w:gridCol w:w="877"/>
        <w:gridCol w:w="876"/>
        <w:gridCol w:w="877"/>
        <w:gridCol w:w="876"/>
        <w:gridCol w:w="876"/>
        <w:gridCol w:w="877"/>
        <w:gridCol w:w="876"/>
        <w:gridCol w:w="877"/>
        <w:gridCol w:w="876"/>
      </w:tblGrid>
      <w:tr w:rsidR="00B13593">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账面价值</w:t>
            </w:r>
          </w:p>
        </w:tc>
      </w:tr>
      <w:tr w:rsidR="00B13593">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sz w:val="18"/>
                <w:szCs w:val="18"/>
              </w:rPr>
              <w:lastRenderedPageBreak/>
              <w:t>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lastRenderedPageBreak/>
              <w:t>255,869,492.96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9,007,113.86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3.52%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246,862,379.10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157,573,634.74</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6,102,083.11</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3.87%</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151,471,551.63</w:t>
            </w: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lastRenderedPageBreak/>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1. 军工总装客户</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91,977,335.04</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35.95%</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91,977,335.04</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46,943,624.46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29.79%</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46,943,624.46</w:t>
            </w: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2. 其他客户</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163,892,157.92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64.05%</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9,007,113.86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5.50%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154,885,044.06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110,630,010.28</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70.21%</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6,102,083.11</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5.52%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104,527,927.17</w:t>
            </w: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255,869,492.96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9,007,113.86</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3.52%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246,862,379.10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157,573,634.74</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6,102,083.11</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3.87%</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151,471,551.63</w:t>
            </w:r>
          </w:p>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按组合计提坏账准备：军工总装客户</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军工总装客户</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91,977,335.04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91,977,335.04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确定该组合依据的说明：</w:t>
      </w:r>
    </w:p>
    <w:p w:rsidR="00B13593" w:rsidRPr="00646D1B" w:rsidRDefault="00B13593" w:rsidP="00646D1B">
      <w:pPr>
        <w:pStyle w:val="a3"/>
        <w:widowControl w:val="0"/>
        <w:spacing w:before="0" w:beforeAutospacing="0" w:after="0" w:afterAutospacing="0" w:line="560" w:lineRule="exact"/>
        <w:ind w:firstLineChars="200" w:firstLine="560"/>
        <w:jc w:val="both"/>
        <w:divId w:val="1352150429"/>
        <w:rPr>
          <w:rFonts w:ascii="仿宋" w:eastAsia="仿宋" w:hAnsi="仿宋"/>
          <w:sz w:val="28"/>
          <w:szCs w:val="28"/>
        </w:rPr>
      </w:pPr>
      <w:r w:rsidRPr="00646D1B">
        <w:rPr>
          <w:rFonts w:ascii="仿宋" w:eastAsia="仿宋" w:hAnsi="仿宋" w:hint="eastAsia"/>
          <w:sz w:val="28"/>
          <w:szCs w:val="28"/>
        </w:rPr>
        <w:t>按组合计提坏账准备的确认标准及说明见附注五、10。</w:t>
      </w:r>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按组合计提坏账准备：其他客户</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计提比例</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163,892,157.92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9,007,113.86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5.50%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163,892,157.92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9,007,113.86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确定该组合依据的说明：</w:t>
      </w:r>
    </w:p>
    <w:p w:rsidR="00B13593" w:rsidRPr="00646D1B" w:rsidRDefault="00B13593" w:rsidP="00646D1B">
      <w:pPr>
        <w:pStyle w:val="a3"/>
        <w:widowControl w:val="0"/>
        <w:spacing w:before="0" w:beforeAutospacing="0" w:after="0" w:afterAutospacing="0" w:line="560" w:lineRule="exact"/>
        <w:ind w:firstLineChars="200" w:firstLine="560"/>
        <w:jc w:val="both"/>
        <w:divId w:val="1816604935"/>
        <w:rPr>
          <w:rFonts w:ascii="仿宋" w:eastAsia="仿宋" w:hAnsi="仿宋"/>
          <w:sz w:val="28"/>
          <w:szCs w:val="28"/>
        </w:rPr>
      </w:pPr>
      <w:r>
        <w:rPr>
          <w:rFonts w:ascii="仿宋" w:eastAsia="仿宋" w:hAnsi="仿宋" w:hint="eastAsia"/>
          <w:sz w:val="28"/>
          <w:szCs w:val="28"/>
        </w:rPr>
        <w:t>按组合计提坏账准备的确认标准及说明见附注五、10。</w:t>
      </w:r>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如是按照预期信用损失一般模型计提应收账款坏账准备，请参照其他应收款的披露方式披露坏账准备的相关信息：</w:t>
      </w:r>
    </w:p>
    <w:p w:rsidR="00B13593" w:rsidRPr="00646D1B" w:rsidRDefault="00B13F8C" w:rsidP="00646D1B">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646D1B">
        <w:rPr>
          <w:rFonts w:ascii="仿宋" w:eastAsia="仿宋" w:hAnsi="仿宋"/>
          <w:sz w:val="28"/>
          <w:szCs w:val="28"/>
        </w:rPr>
        <w:t>□适用</w:t>
      </w:r>
      <w:r w:rsidR="00646D1B">
        <w:rPr>
          <w:rFonts w:ascii="仿宋" w:eastAsia="仿宋" w:hAnsi="仿宋" w:hint="eastAsia"/>
          <w:sz w:val="28"/>
          <w:szCs w:val="28"/>
        </w:rPr>
        <w:t xml:space="preserve"> </w:t>
      </w:r>
      <w:r w:rsidRPr="00646D1B">
        <w:rPr>
          <w:rFonts w:ascii="仿宋" w:eastAsia="仿宋" w:hAnsi="仿宋"/>
          <w:sz w:val="28"/>
          <w:szCs w:val="28"/>
        </w:rPr>
        <w:t xml:space="preserve"> </w:t>
      </w:r>
      <w:r w:rsidRPr="00646D1B">
        <w:rPr>
          <w:rFonts w:ascii="仿宋" w:eastAsia="仿宋" w:hAnsi="仿宋"/>
          <w:sz w:val="28"/>
          <w:szCs w:val="28"/>
        </w:rPr>
        <w:sym w:font="Wingdings 2" w:char="F052"/>
      </w:r>
      <w:r w:rsidRPr="00646D1B">
        <w:rPr>
          <w:rFonts w:ascii="仿宋" w:eastAsia="仿宋" w:hAnsi="仿宋"/>
          <w:sz w:val="28"/>
          <w:szCs w:val="28"/>
        </w:rPr>
        <w:t>不适用</w:t>
      </w:r>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按账龄披露</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646D1B">
            <w:pPr>
              <w:spacing w:line="300" w:lineRule="exact"/>
              <w:jc w:val="right"/>
              <w:rPr>
                <w:rFonts w:ascii="宋体" w:eastAsia="宋体" w:hAnsi="宋体" w:cs="宋体"/>
                <w:sz w:val="18"/>
                <w:szCs w:val="18"/>
              </w:rPr>
            </w:pPr>
            <w:r w:rsidRPr="00DE181D">
              <w:rPr>
                <w:rFonts w:ascii="宋体" w:eastAsia="宋体" w:hAnsi="宋体" w:cs="宋体"/>
                <w:sz w:val="18"/>
                <w:szCs w:val="18"/>
              </w:rPr>
              <w:t>227,335,392.65</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12,306,560.40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15,881,235.89</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lastRenderedPageBreak/>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646D1B">
            <w:pPr>
              <w:spacing w:line="300" w:lineRule="exact"/>
              <w:jc w:val="right"/>
              <w:rPr>
                <w:rFonts w:ascii="宋体" w:eastAsia="宋体" w:hAnsi="宋体" w:cs="宋体"/>
                <w:sz w:val="18"/>
                <w:szCs w:val="18"/>
              </w:rPr>
            </w:pPr>
            <w:r w:rsidRPr="00DE181D">
              <w:rPr>
                <w:rFonts w:ascii="宋体" w:eastAsia="宋体" w:hAnsi="宋体" w:cs="宋体"/>
                <w:sz w:val="18"/>
                <w:szCs w:val="18"/>
              </w:rPr>
              <w:t>346,304.02</w:t>
            </w:r>
          </w:p>
        </w:tc>
      </w:tr>
      <w:tr w:rsidR="00DE181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E181D" w:rsidRDefault="00DE181D" w:rsidP="00646D1B">
            <w:pPr>
              <w:spacing w:line="300" w:lineRule="exact"/>
              <w:ind w:firstLineChars="100" w:firstLine="180"/>
              <w:rPr>
                <w:rFonts w:ascii="宋体" w:eastAsia="宋体" w:hAnsi="宋体" w:cs="宋体"/>
                <w:sz w:val="18"/>
                <w:szCs w:val="18"/>
              </w:rPr>
            </w:pPr>
            <w:r>
              <w:rPr>
                <w:rFonts w:ascii="宋体" w:eastAsia="宋体" w:hAnsi="宋体" w:cs="宋体" w:hint="eastAsia"/>
                <w:sz w:val="18"/>
                <w:szCs w:val="18"/>
              </w:rPr>
              <w:t>3至</w:t>
            </w:r>
            <w:r>
              <w:rPr>
                <w:rFonts w:ascii="宋体" w:eastAsia="宋体" w:hAnsi="宋体" w:cs="宋体"/>
                <w:sz w:val="18"/>
                <w:szCs w:val="18"/>
              </w:rPr>
              <w:t>4</w:t>
            </w:r>
            <w:r>
              <w:rPr>
                <w:rFonts w:ascii="宋体" w:eastAsia="宋体" w:hAnsi="宋体" w:cs="宋体" w:hint="eastAsia"/>
                <w:sz w:val="18"/>
                <w:szCs w:val="18"/>
              </w:rPr>
              <w:t>年</w:t>
            </w:r>
          </w:p>
        </w:tc>
        <w:tc>
          <w:tcPr>
            <w:tcW w:w="4820" w:type="dxa"/>
            <w:tcBorders>
              <w:top w:val="single" w:sz="2" w:space="0" w:color="auto"/>
              <w:left w:val="single" w:sz="2" w:space="0" w:color="auto"/>
              <w:bottom w:val="single" w:sz="2" w:space="0" w:color="auto"/>
              <w:right w:val="single" w:sz="2" w:space="0" w:color="auto"/>
            </w:tcBorders>
            <w:vAlign w:val="center"/>
          </w:tcPr>
          <w:p w:rsidR="00DE181D" w:rsidRDefault="00DE181D" w:rsidP="00646D1B">
            <w:pPr>
              <w:spacing w:line="300" w:lineRule="exact"/>
              <w:jc w:val="right"/>
              <w:rPr>
                <w:rFonts w:ascii="宋体" w:eastAsia="宋体" w:hAnsi="宋体" w:cs="宋体"/>
                <w:sz w:val="18"/>
                <w:szCs w:val="18"/>
              </w:rPr>
            </w:pPr>
            <w:r w:rsidRPr="00DE181D">
              <w:rPr>
                <w:rFonts w:ascii="宋体" w:eastAsia="宋体" w:hAnsi="宋体" w:cs="宋体"/>
                <w:sz w:val="18"/>
                <w:szCs w:val="18"/>
              </w:rPr>
              <w:t>195,920.00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646D1B">
            <w:pPr>
              <w:spacing w:line="300" w:lineRule="exact"/>
              <w:jc w:val="right"/>
              <w:rPr>
                <w:rFonts w:ascii="宋体" w:eastAsia="宋体" w:hAnsi="宋体" w:cs="宋体"/>
                <w:sz w:val="18"/>
                <w:szCs w:val="18"/>
              </w:rPr>
            </w:pPr>
            <w:r w:rsidRPr="00DE181D">
              <w:rPr>
                <w:rFonts w:ascii="宋体" w:eastAsia="宋体" w:hAnsi="宋体" w:cs="宋体"/>
                <w:sz w:val="18"/>
                <w:szCs w:val="18"/>
              </w:rPr>
              <w:t>150,384.02</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255,869,492.96</w:t>
            </w:r>
          </w:p>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8" w:name="_Toc989066"/>
      <w:r w:rsidRPr="00646D1B">
        <w:rPr>
          <w:rFonts w:ascii="仿宋" w:eastAsia="仿宋" w:hAnsi="仿宋"/>
          <w:b/>
          <w:sz w:val="28"/>
          <w:szCs w:val="28"/>
        </w:rPr>
        <w:t>（2）本期计提、收回或转回的坏账准备情况</w:t>
      </w:r>
      <w:bookmarkEnd w:id="178"/>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646D1B">
        <w:rPr>
          <w:rFonts w:ascii="仿宋" w:eastAsia="仿宋" w:hAnsi="仿宋"/>
          <w:b/>
          <w:sz w:val="28"/>
          <w:szCs w:val="28"/>
        </w:rPr>
        <w:t>本期计提坏账准备情况：</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6,102,083.11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2,905,030.75</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9,007,113.86</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6,102,083.11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2,905,030.75</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9,007,113.86</w:t>
            </w:r>
          </w:p>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79" w:name="_Toc989067"/>
      <w:r w:rsidRPr="00646D1B">
        <w:rPr>
          <w:rFonts w:ascii="仿宋" w:eastAsia="仿宋" w:hAnsi="仿宋"/>
          <w:b/>
          <w:sz w:val="28"/>
          <w:szCs w:val="28"/>
        </w:rPr>
        <w:t>（3）按欠款方归集的期末余额前五名的应收账款情况</w:t>
      </w:r>
      <w:bookmarkEnd w:id="17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69,564,030.00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27.19%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3,478,201.50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55,407,884.46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21.65%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28,261,020.00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11.05%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646D1B">
            <w:pPr>
              <w:spacing w:line="300" w:lineRule="exact"/>
              <w:jc w:val="righ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16,955,041.00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6.63%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847,752.05</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第五名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8,734,200.00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3.41%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436,710.00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178,922,175.46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69.93%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bl>
    <w:p w:rsidR="00B13593" w:rsidRPr="00646D1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80" w:name="_Toc989068"/>
      <w:r w:rsidRPr="00646D1B">
        <w:rPr>
          <w:rFonts w:ascii="仿宋" w:eastAsia="仿宋" w:hAnsi="仿宋"/>
          <w:b/>
          <w:sz w:val="28"/>
          <w:szCs w:val="28"/>
        </w:rPr>
        <w:t>（4）因金融资产转移而终止确认的应收账款</w:t>
      </w:r>
      <w:bookmarkEnd w:id="180"/>
    </w:p>
    <w:p w:rsidR="00B13593" w:rsidRPr="00646D1B" w:rsidRDefault="00B13593" w:rsidP="00705C45">
      <w:pPr>
        <w:pStyle w:val="a3"/>
        <w:widowControl w:val="0"/>
        <w:spacing w:before="0" w:beforeAutospacing="0" w:after="0" w:afterAutospacing="0" w:line="540" w:lineRule="exact"/>
        <w:ind w:firstLineChars="200" w:firstLine="560"/>
        <w:jc w:val="both"/>
        <w:divId w:val="1966306271"/>
        <w:rPr>
          <w:rFonts w:ascii="仿宋" w:eastAsia="仿宋" w:hAnsi="仿宋"/>
          <w:sz w:val="28"/>
          <w:szCs w:val="28"/>
        </w:rPr>
      </w:pPr>
      <w:r w:rsidRPr="00646D1B">
        <w:rPr>
          <w:rFonts w:ascii="仿宋" w:eastAsia="仿宋" w:hAnsi="仿宋" w:hint="eastAsia"/>
          <w:sz w:val="28"/>
          <w:szCs w:val="28"/>
        </w:rPr>
        <w:t>不适用</w:t>
      </w:r>
    </w:p>
    <w:p w:rsidR="00B13593" w:rsidRPr="00646D1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81" w:name="_Toc989069"/>
      <w:r w:rsidRPr="00646D1B">
        <w:rPr>
          <w:rFonts w:ascii="仿宋" w:eastAsia="仿宋" w:hAnsi="仿宋"/>
          <w:b/>
          <w:sz w:val="28"/>
          <w:szCs w:val="28"/>
        </w:rPr>
        <w:t>（5）转移应收账款且继续涉入形成的资产、负债金额</w:t>
      </w:r>
      <w:bookmarkEnd w:id="181"/>
    </w:p>
    <w:p w:rsidR="00B13593" w:rsidRPr="00646D1B" w:rsidRDefault="00B13593" w:rsidP="00705C45">
      <w:pPr>
        <w:pStyle w:val="a3"/>
        <w:widowControl w:val="0"/>
        <w:spacing w:before="0" w:beforeAutospacing="0" w:after="0" w:afterAutospacing="0" w:line="540" w:lineRule="exact"/>
        <w:ind w:firstLineChars="200" w:firstLine="560"/>
        <w:jc w:val="both"/>
        <w:divId w:val="71440159"/>
        <w:rPr>
          <w:rFonts w:ascii="仿宋" w:eastAsia="仿宋" w:hAnsi="仿宋"/>
          <w:sz w:val="28"/>
          <w:szCs w:val="28"/>
        </w:rPr>
      </w:pPr>
      <w:r w:rsidRPr="00646D1B">
        <w:rPr>
          <w:rFonts w:ascii="仿宋" w:eastAsia="仿宋" w:hAnsi="仿宋" w:hint="eastAsia"/>
          <w:sz w:val="28"/>
          <w:szCs w:val="28"/>
        </w:rPr>
        <w:t>不适用</w:t>
      </w:r>
    </w:p>
    <w:p w:rsidR="00646D1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bookmarkStart w:id="182" w:name="_Toc989070"/>
      <w:r w:rsidRPr="00646D1B">
        <w:rPr>
          <w:rFonts w:ascii="仿宋" w:eastAsia="仿宋" w:hAnsi="仿宋"/>
          <w:b/>
          <w:sz w:val="28"/>
          <w:szCs w:val="28"/>
        </w:rPr>
        <w:t>5、应收款项融资</w:t>
      </w:r>
      <w:bookmarkEnd w:id="182"/>
    </w:p>
    <w:p w:rsidR="00B13593" w:rsidRPr="00646D1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r w:rsidRPr="00646D1B">
        <w:rPr>
          <w:rFonts w:ascii="仿宋" w:eastAsia="仿宋" w:hAnsi="仿宋"/>
          <w:b/>
          <w:sz w:val="28"/>
          <w:szCs w:val="28"/>
        </w:rPr>
        <w:t>应收款项融资本期增减变动及公允价值变动情况</w:t>
      </w:r>
    </w:p>
    <w:p w:rsidR="00B13593" w:rsidRPr="00646D1B" w:rsidRDefault="00B13F8C" w:rsidP="00705C45">
      <w:pPr>
        <w:pStyle w:val="a3"/>
        <w:widowControl w:val="0"/>
        <w:spacing w:before="0" w:beforeAutospacing="0" w:after="0" w:afterAutospacing="0" w:line="540" w:lineRule="exact"/>
        <w:ind w:firstLineChars="200" w:firstLine="560"/>
        <w:jc w:val="both"/>
        <w:rPr>
          <w:rFonts w:ascii="仿宋" w:eastAsia="仿宋" w:hAnsi="仿宋"/>
          <w:sz w:val="28"/>
          <w:szCs w:val="28"/>
        </w:rPr>
      </w:pPr>
      <w:r w:rsidRPr="00646D1B">
        <w:rPr>
          <w:rFonts w:ascii="仿宋" w:eastAsia="仿宋" w:hAnsi="仿宋"/>
          <w:sz w:val="28"/>
          <w:szCs w:val="28"/>
        </w:rPr>
        <w:t xml:space="preserve">□适用 </w:t>
      </w:r>
      <w:r w:rsidR="00646D1B">
        <w:rPr>
          <w:rFonts w:ascii="仿宋" w:eastAsia="仿宋" w:hAnsi="仿宋" w:hint="eastAsia"/>
          <w:sz w:val="28"/>
          <w:szCs w:val="28"/>
        </w:rPr>
        <w:t xml:space="preserve"> </w:t>
      </w:r>
      <w:r w:rsidRPr="00646D1B">
        <w:rPr>
          <w:rFonts w:ascii="仿宋" w:eastAsia="仿宋" w:hAnsi="仿宋"/>
          <w:sz w:val="28"/>
          <w:szCs w:val="28"/>
        </w:rPr>
        <w:sym w:font="Wingdings 2" w:char="F052"/>
      </w:r>
      <w:r w:rsidRPr="00646D1B">
        <w:rPr>
          <w:rFonts w:ascii="仿宋" w:eastAsia="仿宋" w:hAnsi="仿宋"/>
          <w:sz w:val="28"/>
          <w:szCs w:val="28"/>
        </w:rPr>
        <w:t>不适用</w:t>
      </w:r>
    </w:p>
    <w:p w:rsidR="00B13593" w:rsidRPr="00646D1B" w:rsidRDefault="00B13F8C" w:rsidP="00705C45">
      <w:pPr>
        <w:pStyle w:val="a3"/>
        <w:widowControl w:val="0"/>
        <w:spacing w:before="0" w:beforeAutospacing="0" w:after="0" w:afterAutospacing="0" w:line="540" w:lineRule="exact"/>
        <w:ind w:firstLineChars="200" w:firstLine="562"/>
        <w:jc w:val="both"/>
        <w:rPr>
          <w:rFonts w:ascii="仿宋" w:eastAsia="仿宋" w:hAnsi="仿宋"/>
          <w:b/>
          <w:sz w:val="28"/>
          <w:szCs w:val="28"/>
        </w:rPr>
      </w:pPr>
      <w:r w:rsidRPr="00646D1B">
        <w:rPr>
          <w:rFonts w:ascii="仿宋" w:eastAsia="仿宋" w:hAnsi="仿宋"/>
          <w:b/>
          <w:sz w:val="28"/>
          <w:szCs w:val="28"/>
        </w:rPr>
        <w:t>如是按照预期信用损失一般模型计提应收款项融资减值准备，请参照其他应收款的披露方式披露减值准备的相关信息：</w:t>
      </w:r>
    </w:p>
    <w:p w:rsidR="00B13593" w:rsidRPr="00646D1B" w:rsidRDefault="00B13F8C" w:rsidP="00705C45">
      <w:pPr>
        <w:pStyle w:val="a3"/>
        <w:widowControl w:val="0"/>
        <w:spacing w:before="0" w:beforeAutospacing="0" w:after="0" w:afterAutospacing="0" w:line="540" w:lineRule="exact"/>
        <w:ind w:firstLineChars="200" w:firstLine="560"/>
        <w:jc w:val="both"/>
        <w:rPr>
          <w:rFonts w:ascii="仿宋" w:eastAsia="仿宋" w:hAnsi="仿宋"/>
          <w:sz w:val="28"/>
          <w:szCs w:val="28"/>
        </w:rPr>
      </w:pPr>
      <w:r w:rsidRPr="00646D1B">
        <w:rPr>
          <w:rFonts w:ascii="仿宋" w:eastAsia="仿宋" w:hAnsi="仿宋"/>
          <w:sz w:val="28"/>
          <w:szCs w:val="28"/>
        </w:rPr>
        <w:t>□适用</w:t>
      </w:r>
      <w:r w:rsidR="00646D1B">
        <w:rPr>
          <w:rFonts w:ascii="仿宋" w:eastAsia="仿宋" w:hAnsi="仿宋" w:hint="eastAsia"/>
          <w:sz w:val="28"/>
          <w:szCs w:val="28"/>
        </w:rPr>
        <w:t xml:space="preserve"> </w:t>
      </w:r>
      <w:r w:rsidRPr="00646D1B">
        <w:rPr>
          <w:rFonts w:ascii="仿宋" w:eastAsia="仿宋" w:hAnsi="仿宋"/>
          <w:sz w:val="28"/>
          <w:szCs w:val="28"/>
        </w:rPr>
        <w:t xml:space="preserve"> </w:t>
      </w:r>
      <w:r w:rsidRPr="00646D1B">
        <w:rPr>
          <w:rFonts w:ascii="仿宋" w:eastAsia="仿宋" w:hAnsi="仿宋"/>
          <w:sz w:val="28"/>
          <w:szCs w:val="28"/>
        </w:rPr>
        <w:sym w:font="Wingdings 2" w:char="F052"/>
      </w:r>
      <w:r w:rsidRPr="00646D1B">
        <w:rPr>
          <w:rFonts w:ascii="仿宋" w:eastAsia="仿宋" w:hAnsi="仿宋"/>
          <w:sz w:val="28"/>
          <w:szCs w:val="28"/>
        </w:rPr>
        <w:t>不适用</w:t>
      </w:r>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83" w:name="_Toc989071"/>
      <w:r w:rsidRPr="00646D1B">
        <w:rPr>
          <w:rFonts w:ascii="仿宋" w:eastAsia="仿宋" w:hAnsi="仿宋"/>
          <w:b/>
          <w:sz w:val="28"/>
          <w:szCs w:val="28"/>
        </w:rPr>
        <w:t>6、预付款项</w:t>
      </w:r>
      <w:bookmarkEnd w:id="183"/>
    </w:p>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84" w:name="_Toc989072"/>
      <w:r w:rsidRPr="00646D1B">
        <w:rPr>
          <w:rFonts w:ascii="仿宋" w:eastAsia="仿宋" w:hAnsi="仿宋"/>
          <w:b/>
          <w:sz w:val="28"/>
          <w:szCs w:val="28"/>
        </w:rPr>
        <w:t>（1）预付款项按账龄列示</w:t>
      </w:r>
      <w:bookmarkEnd w:id="18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jc w:val="center"/>
              <w:rPr>
                <w:rFonts w:ascii="宋体" w:eastAsia="宋体" w:hAnsi="宋体" w:cs="宋体"/>
                <w:sz w:val="18"/>
                <w:szCs w:val="18"/>
              </w:rPr>
            </w:pPr>
            <w:r>
              <w:rPr>
                <w:rFonts w:ascii="宋体" w:eastAsia="宋体" w:hAnsi="宋体" w:cs="宋体"/>
                <w:sz w:val="18"/>
                <w:szCs w:val="18"/>
              </w:rPr>
              <w:t>比例</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18,167,428.84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99.54%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2,161,691.13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83.91%</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10,755.00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0.06%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135,428.29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5.26%</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16,099.69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0.09%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222,750.00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8.65%</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56,301.70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0.31%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56,301.70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2.18%</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46D1B">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18,250,585.23</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46D1B">
            <w:pPr>
              <w:spacing w:line="300" w:lineRule="exact"/>
              <w:jc w:val="right"/>
              <w:rPr>
                <w:rFonts w:ascii="宋体" w:eastAsia="宋体" w:hAnsi="宋体" w:cs="宋体"/>
                <w:sz w:val="18"/>
                <w:szCs w:val="18"/>
              </w:rPr>
            </w:pPr>
            <w:r>
              <w:rPr>
                <w:rFonts w:ascii="宋体" w:eastAsia="宋体" w:hAnsi="宋体" w:cs="宋体"/>
                <w:sz w:val="18"/>
                <w:szCs w:val="18"/>
              </w:rPr>
              <w:t>2,576,171.12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46D1B">
            <w:pPr>
              <w:spacing w:line="300" w:lineRule="exact"/>
            </w:pPr>
          </w:p>
        </w:tc>
      </w:tr>
    </w:tbl>
    <w:p w:rsidR="00B13593" w:rsidRPr="00646D1B" w:rsidRDefault="00B13F8C" w:rsidP="00646D1B">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85" w:name="_Toc989073"/>
      <w:r w:rsidRPr="00646D1B">
        <w:rPr>
          <w:rFonts w:ascii="仿宋" w:eastAsia="仿宋" w:hAnsi="仿宋"/>
          <w:b/>
          <w:sz w:val="28"/>
          <w:szCs w:val="28"/>
        </w:rPr>
        <w:t>（2）按预付对象归集的期末余额前五名的预付款情况</w:t>
      </w:r>
      <w:bookmarkEnd w:id="185"/>
    </w:p>
    <w:tbl>
      <w:tblPr>
        <w:tblW w:w="7300" w:type="dxa"/>
        <w:tblCellMar>
          <w:left w:w="0" w:type="dxa"/>
          <w:right w:w="0" w:type="dxa"/>
        </w:tblCellMar>
        <w:tblLook w:val="04A0"/>
      </w:tblPr>
      <w:tblGrid>
        <w:gridCol w:w="1540"/>
        <w:gridCol w:w="1960"/>
        <w:gridCol w:w="3800"/>
      </w:tblGrid>
      <w:tr w:rsidR="00B13593">
        <w:trPr>
          <w:divId w:val="245578782"/>
          <w:trHeight w:val="276"/>
        </w:trPr>
        <w:tc>
          <w:tcPr>
            <w:tcW w:w="15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单位名称</w:t>
            </w:r>
            <w:r>
              <w:rPr>
                <w:rFonts w:hint="eastAsia"/>
                <w:sz w:val="20"/>
                <w:szCs w:val="20"/>
              </w:rPr>
              <w:t> </w:t>
            </w:r>
          </w:p>
        </w:tc>
        <w:tc>
          <w:tcPr>
            <w:tcW w:w="1960" w:type="dxa"/>
            <w:tcBorders>
              <w:top w:val="single" w:sz="8" w:space="0" w:color="auto"/>
              <w:left w:val="nil"/>
              <w:bottom w:val="single" w:sz="8" w:space="0" w:color="auto"/>
              <w:right w:val="single" w:sz="8" w:space="0" w:color="auto"/>
            </w:tcBorders>
            <w:shd w:val="clear" w:color="auto" w:fill="D9D9D9"/>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期末余额</w:t>
            </w:r>
          </w:p>
        </w:tc>
        <w:tc>
          <w:tcPr>
            <w:tcW w:w="3800" w:type="dxa"/>
            <w:tcBorders>
              <w:top w:val="single" w:sz="8" w:space="0" w:color="auto"/>
              <w:left w:val="nil"/>
              <w:bottom w:val="single" w:sz="8" w:space="0" w:color="auto"/>
              <w:right w:val="single" w:sz="8" w:space="0" w:color="auto"/>
            </w:tcBorders>
            <w:shd w:val="clear" w:color="auto" w:fill="D9D9D9"/>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占预付款项期末余额合计数的比例（</w:t>
            </w:r>
            <w:r>
              <w:rPr>
                <w:rFonts w:hint="eastAsia"/>
                <w:sz w:val="20"/>
                <w:szCs w:val="20"/>
              </w:rPr>
              <w:t>%</w:t>
            </w:r>
            <w:r>
              <w:rPr>
                <w:rFonts w:hint="eastAsia"/>
                <w:sz w:val="20"/>
                <w:szCs w:val="20"/>
              </w:rPr>
              <w:t>）</w:t>
            </w:r>
          </w:p>
        </w:tc>
      </w:tr>
      <w:tr w:rsidR="00B13593">
        <w:trPr>
          <w:divId w:val="245578782"/>
          <w:trHeight w:val="276"/>
        </w:trPr>
        <w:tc>
          <w:tcPr>
            <w:tcW w:w="0" w:type="auto"/>
            <w:tcBorders>
              <w:top w:val="nil"/>
              <w:left w:val="single" w:sz="8" w:space="0" w:color="auto"/>
              <w:bottom w:val="single" w:sz="8" w:space="0" w:color="auto"/>
              <w:right w:val="single" w:sz="8" w:space="0" w:color="auto"/>
            </w:tcBorders>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第一名</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center"/>
              <w:rPr>
                <w:rFonts w:ascii="Times New Roman" w:eastAsia="宋体" w:hAnsi="Times New Roman" w:cs="Times New Roman"/>
                <w:sz w:val="18"/>
                <w:szCs w:val="18"/>
              </w:rPr>
            </w:pPr>
            <w:r>
              <w:rPr>
                <w:rFonts w:ascii="Times New Roman" w:hAnsi="Times New Roman" w:cs="Times New Roman"/>
                <w:sz w:val="18"/>
                <w:szCs w:val="18"/>
              </w:rPr>
              <w:t>                    4,274,660.00</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right"/>
              <w:rPr>
                <w:rFonts w:ascii="Times New Roman" w:eastAsia="宋体" w:hAnsi="Times New Roman" w:cs="Times New Roman"/>
                <w:sz w:val="18"/>
                <w:szCs w:val="18"/>
              </w:rPr>
            </w:pPr>
            <w:r>
              <w:rPr>
                <w:rFonts w:ascii="Times New Roman" w:hAnsi="Times New Roman" w:cs="Times New Roman"/>
                <w:sz w:val="18"/>
                <w:szCs w:val="18"/>
              </w:rPr>
              <w:t>23.42%</w:t>
            </w:r>
          </w:p>
        </w:tc>
      </w:tr>
      <w:tr w:rsidR="00B13593">
        <w:trPr>
          <w:divId w:val="245578782"/>
          <w:trHeight w:val="276"/>
        </w:trPr>
        <w:tc>
          <w:tcPr>
            <w:tcW w:w="0" w:type="auto"/>
            <w:tcBorders>
              <w:top w:val="nil"/>
              <w:left w:val="single" w:sz="8" w:space="0" w:color="auto"/>
              <w:bottom w:val="single" w:sz="8" w:space="0" w:color="auto"/>
              <w:right w:val="single" w:sz="8" w:space="0" w:color="auto"/>
            </w:tcBorders>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第二名</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center"/>
              <w:rPr>
                <w:rFonts w:ascii="Times New Roman" w:eastAsia="宋体" w:hAnsi="Times New Roman" w:cs="Times New Roman"/>
                <w:sz w:val="18"/>
                <w:szCs w:val="18"/>
              </w:rPr>
            </w:pPr>
            <w:r>
              <w:rPr>
                <w:rFonts w:ascii="Times New Roman" w:hAnsi="Times New Roman" w:cs="Times New Roman"/>
                <w:sz w:val="18"/>
                <w:szCs w:val="18"/>
              </w:rPr>
              <w:t>                    4,078,800.00</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right"/>
              <w:rPr>
                <w:rFonts w:ascii="Times New Roman" w:eastAsia="宋体" w:hAnsi="Times New Roman" w:cs="Times New Roman"/>
                <w:sz w:val="18"/>
                <w:szCs w:val="18"/>
              </w:rPr>
            </w:pPr>
            <w:r>
              <w:rPr>
                <w:rFonts w:ascii="Times New Roman" w:hAnsi="Times New Roman" w:cs="Times New Roman"/>
                <w:sz w:val="18"/>
                <w:szCs w:val="18"/>
              </w:rPr>
              <w:t>22.35%</w:t>
            </w:r>
          </w:p>
        </w:tc>
      </w:tr>
      <w:tr w:rsidR="00B13593">
        <w:trPr>
          <w:divId w:val="245578782"/>
          <w:trHeight w:val="276"/>
        </w:trPr>
        <w:tc>
          <w:tcPr>
            <w:tcW w:w="0" w:type="auto"/>
            <w:tcBorders>
              <w:top w:val="nil"/>
              <w:left w:val="single" w:sz="8" w:space="0" w:color="auto"/>
              <w:bottom w:val="single" w:sz="8" w:space="0" w:color="auto"/>
              <w:right w:val="single" w:sz="8" w:space="0" w:color="auto"/>
            </w:tcBorders>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第三名</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center"/>
              <w:rPr>
                <w:rFonts w:ascii="Times New Roman" w:eastAsia="宋体" w:hAnsi="Times New Roman" w:cs="Times New Roman"/>
                <w:sz w:val="18"/>
                <w:szCs w:val="18"/>
              </w:rPr>
            </w:pPr>
            <w:r>
              <w:rPr>
                <w:rFonts w:ascii="Times New Roman" w:hAnsi="Times New Roman" w:cs="Times New Roman"/>
                <w:sz w:val="18"/>
                <w:szCs w:val="18"/>
              </w:rPr>
              <w:t>                    3,605,000.00</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right"/>
              <w:rPr>
                <w:rFonts w:ascii="Times New Roman" w:eastAsia="宋体" w:hAnsi="Times New Roman" w:cs="Times New Roman"/>
                <w:sz w:val="18"/>
                <w:szCs w:val="18"/>
              </w:rPr>
            </w:pPr>
            <w:r>
              <w:rPr>
                <w:rFonts w:ascii="Times New Roman" w:hAnsi="Times New Roman" w:cs="Times New Roman"/>
                <w:sz w:val="18"/>
                <w:szCs w:val="18"/>
              </w:rPr>
              <w:t>19.75%</w:t>
            </w:r>
          </w:p>
        </w:tc>
      </w:tr>
      <w:tr w:rsidR="00B13593">
        <w:trPr>
          <w:divId w:val="245578782"/>
          <w:trHeight w:val="276"/>
        </w:trPr>
        <w:tc>
          <w:tcPr>
            <w:tcW w:w="0" w:type="auto"/>
            <w:tcBorders>
              <w:top w:val="nil"/>
              <w:left w:val="single" w:sz="8" w:space="0" w:color="auto"/>
              <w:bottom w:val="single" w:sz="8" w:space="0" w:color="auto"/>
              <w:right w:val="single" w:sz="8" w:space="0" w:color="auto"/>
            </w:tcBorders>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第四名</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center"/>
              <w:rPr>
                <w:rFonts w:ascii="Times New Roman" w:eastAsia="宋体" w:hAnsi="Times New Roman" w:cs="Times New Roman"/>
                <w:sz w:val="18"/>
                <w:szCs w:val="18"/>
              </w:rPr>
            </w:pPr>
            <w:r>
              <w:rPr>
                <w:rFonts w:ascii="Times New Roman" w:hAnsi="Times New Roman" w:cs="Times New Roman"/>
                <w:sz w:val="18"/>
                <w:szCs w:val="18"/>
              </w:rPr>
              <w:t>                    2,469,777.18</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right"/>
              <w:rPr>
                <w:rFonts w:ascii="Times New Roman" w:eastAsia="宋体" w:hAnsi="Times New Roman" w:cs="Times New Roman"/>
                <w:sz w:val="18"/>
                <w:szCs w:val="18"/>
              </w:rPr>
            </w:pPr>
            <w:r>
              <w:rPr>
                <w:rFonts w:ascii="Times New Roman" w:hAnsi="Times New Roman" w:cs="Times New Roman"/>
                <w:sz w:val="18"/>
                <w:szCs w:val="18"/>
              </w:rPr>
              <w:t>13.53%</w:t>
            </w:r>
          </w:p>
        </w:tc>
      </w:tr>
      <w:tr w:rsidR="00B13593">
        <w:trPr>
          <w:divId w:val="245578782"/>
          <w:trHeight w:val="276"/>
        </w:trPr>
        <w:tc>
          <w:tcPr>
            <w:tcW w:w="0" w:type="auto"/>
            <w:tcBorders>
              <w:top w:val="nil"/>
              <w:left w:val="single" w:sz="8" w:space="0" w:color="auto"/>
              <w:bottom w:val="single" w:sz="8" w:space="0" w:color="auto"/>
              <w:right w:val="single" w:sz="8" w:space="0" w:color="auto"/>
            </w:tcBorders>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第五名</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center"/>
              <w:rPr>
                <w:rFonts w:ascii="Times New Roman" w:eastAsia="宋体" w:hAnsi="Times New Roman" w:cs="Times New Roman"/>
                <w:sz w:val="18"/>
                <w:szCs w:val="18"/>
              </w:rPr>
            </w:pPr>
            <w:r>
              <w:rPr>
                <w:rFonts w:ascii="Times New Roman" w:hAnsi="Times New Roman" w:cs="Times New Roman"/>
                <w:sz w:val="18"/>
                <w:szCs w:val="18"/>
              </w:rPr>
              <w:t>                    1,010,000.00</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right"/>
              <w:rPr>
                <w:rFonts w:ascii="Times New Roman" w:eastAsia="宋体" w:hAnsi="Times New Roman" w:cs="Times New Roman"/>
                <w:sz w:val="18"/>
                <w:szCs w:val="18"/>
              </w:rPr>
            </w:pPr>
            <w:r>
              <w:rPr>
                <w:rFonts w:ascii="Times New Roman" w:hAnsi="Times New Roman" w:cs="Times New Roman"/>
                <w:sz w:val="18"/>
                <w:szCs w:val="18"/>
              </w:rPr>
              <w:t>5.53%</w:t>
            </w:r>
          </w:p>
        </w:tc>
      </w:tr>
      <w:tr w:rsidR="00B13593">
        <w:trPr>
          <w:divId w:val="245578782"/>
          <w:trHeight w:val="276"/>
        </w:trPr>
        <w:tc>
          <w:tcPr>
            <w:tcW w:w="0" w:type="auto"/>
            <w:tcBorders>
              <w:top w:val="nil"/>
              <w:left w:val="single" w:sz="8" w:space="0" w:color="auto"/>
              <w:bottom w:val="single" w:sz="8" w:space="0" w:color="auto"/>
              <w:right w:val="single" w:sz="8" w:space="0" w:color="auto"/>
            </w:tcBorders>
            <w:noWrap/>
            <w:vAlign w:val="center"/>
            <w:hideMark/>
          </w:tcPr>
          <w:p w:rsidR="00B13593" w:rsidRDefault="00B13593" w:rsidP="00646D1B">
            <w:pPr>
              <w:spacing w:line="300" w:lineRule="exact"/>
              <w:jc w:val="center"/>
              <w:rPr>
                <w:rFonts w:ascii="宋体" w:eastAsia="宋体" w:hAnsi="宋体" w:cs="宋体"/>
                <w:sz w:val="20"/>
                <w:szCs w:val="20"/>
              </w:rPr>
            </w:pPr>
            <w:r>
              <w:rPr>
                <w:rFonts w:hint="eastAsia"/>
                <w:sz w:val="20"/>
                <w:szCs w:val="20"/>
              </w:rPr>
              <w:t>合计</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center"/>
              <w:rPr>
                <w:rFonts w:ascii="Times New Roman" w:eastAsia="宋体" w:hAnsi="Times New Roman" w:cs="Times New Roman"/>
                <w:sz w:val="18"/>
                <w:szCs w:val="18"/>
              </w:rPr>
            </w:pPr>
            <w:r>
              <w:rPr>
                <w:rFonts w:ascii="Times New Roman" w:hAnsi="Times New Roman" w:cs="Times New Roman"/>
                <w:sz w:val="18"/>
                <w:szCs w:val="18"/>
              </w:rPr>
              <w:t>                  15,438,237.18</w:t>
            </w:r>
          </w:p>
        </w:tc>
        <w:tc>
          <w:tcPr>
            <w:tcW w:w="0" w:type="auto"/>
            <w:tcBorders>
              <w:top w:val="nil"/>
              <w:left w:val="nil"/>
              <w:bottom w:val="single" w:sz="8" w:space="0" w:color="auto"/>
              <w:right w:val="single" w:sz="8" w:space="0" w:color="auto"/>
            </w:tcBorders>
            <w:noWrap/>
            <w:vAlign w:val="center"/>
            <w:hideMark/>
          </w:tcPr>
          <w:p w:rsidR="00B13593" w:rsidRDefault="00B13593" w:rsidP="00646D1B">
            <w:pPr>
              <w:spacing w:line="300" w:lineRule="exact"/>
              <w:jc w:val="right"/>
              <w:rPr>
                <w:rFonts w:ascii="Times New Roman" w:eastAsia="宋体" w:hAnsi="Times New Roman" w:cs="Times New Roman"/>
                <w:sz w:val="18"/>
                <w:szCs w:val="18"/>
              </w:rPr>
            </w:pPr>
            <w:r>
              <w:rPr>
                <w:rFonts w:ascii="Times New Roman" w:hAnsi="Times New Roman" w:cs="Times New Roman"/>
                <w:sz w:val="18"/>
                <w:szCs w:val="18"/>
              </w:rPr>
              <w:t>84.59%</w:t>
            </w:r>
          </w:p>
        </w:tc>
      </w:tr>
    </w:tbl>
    <w:p w:rsidR="00B13593" w:rsidRPr="00DD4CC2" w:rsidRDefault="00B13F8C" w:rsidP="00DD4CC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86" w:name="_Toc989074"/>
      <w:r w:rsidRPr="00DD4CC2">
        <w:rPr>
          <w:rFonts w:ascii="仿宋" w:eastAsia="仿宋" w:hAnsi="仿宋"/>
          <w:b/>
          <w:sz w:val="28"/>
          <w:szCs w:val="28"/>
        </w:rPr>
        <w:t>7、其他应收款</w:t>
      </w:r>
      <w:bookmarkEnd w:id="18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rPr>
                <w:rFonts w:ascii="宋体" w:eastAsia="宋体" w:hAnsi="宋体" w:cs="宋体"/>
                <w:sz w:val="18"/>
                <w:szCs w:val="18"/>
              </w:rPr>
            </w:pPr>
            <w:r>
              <w:rPr>
                <w:rFonts w:ascii="宋体" w:eastAsia="宋体" w:hAnsi="宋体" w:cs="宋体"/>
                <w:sz w:val="18"/>
                <w:szCs w:val="18"/>
              </w:rPr>
              <w:t>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D4CC2">
            <w:pPr>
              <w:spacing w:line="300" w:lineRule="exact"/>
              <w:jc w:val="right"/>
              <w:rPr>
                <w:rFonts w:ascii="宋体" w:eastAsia="宋体" w:hAnsi="宋体" w:cs="宋体"/>
                <w:sz w:val="18"/>
                <w:szCs w:val="18"/>
              </w:rPr>
            </w:pPr>
            <w:r>
              <w:rPr>
                <w:rFonts w:ascii="宋体" w:eastAsia="宋体" w:hAnsi="宋体" w:cs="宋体"/>
                <w:sz w:val="18"/>
                <w:szCs w:val="18"/>
              </w:rPr>
              <w:t>400,274.00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D4CC2">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D4CC2">
            <w:pPr>
              <w:spacing w:line="300" w:lineRule="exact"/>
              <w:jc w:val="right"/>
              <w:rPr>
                <w:rFonts w:ascii="宋体" w:eastAsia="宋体" w:hAnsi="宋体" w:cs="宋体"/>
                <w:sz w:val="18"/>
                <w:szCs w:val="18"/>
              </w:rPr>
            </w:pPr>
            <w:r>
              <w:rPr>
                <w:rFonts w:ascii="宋体" w:eastAsia="宋体" w:hAnsi="宋体" w:cs="宋体"/>
                <w:sz w:val="18"/>
                <w:szCs w:val="18"/>
              </w:rPr>
              <w:t>4,988,226.61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D4CC2">
            <w:pPr>
              <w:spacing w:line="300" w:lineRule="exact"/>
              <w:jc w:val="right"/>
              <w:rPr>
                <w:rFonts w:ascii="宋体" w:eastAsia="宋体" w:hAnsi="宋体" w:cs="宋体"/>
                <w:sz w:val="18"/>
                <w:szCs w:val="18"/>
              </w:rPr>
            </w:pPr>
            <w:r>
              <w:rPr>
                <w:rFonts w:ascii="宋体" w:eastAsia="宋体" w:hAnsi="宋体" w:cs="宋体"/>
                <w:sz w:val="18"/>
                <w:szCs w:val="18"/>
              </w:rPr>
              <w:t>3,567,612.39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D4CC2">
            <w:pPr>
              <w:spacing w:line="300" w:lineRule="exact"/>
              <w:jc w:val="right"/>
              <w:rPr>
                <w:rFonts w:ascii="宋体" w:eastAsia="宋体" w:hAnsi="宋体" w:cs="宋体"/>
                <w:sz w:val="18"/>
                <w:szCs w:val="18"/>
              </w:rPr>
            </w:pPr>
            <w:r>
              <w:rPr>
                <w:rFonts w:ascii="宋体" w:eastAsia="宋体" w:hAnsi="宋体" w:cs="宋体"/>
                <w:sz w:val="18"/>
                <w:szCs w:val="18"/>
              </w:rPr>
              <w:t>5,388,500.61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D4CC2">
            <w:pPr>
              <w:spacing w:line="300" w:lineRule="exact"/>
              <w:jc w:val="right"/>
              <w:rPr>
                <w:rFonts w:ascii="宋体" w:eastAsia="宋体" w:hAnsi="宋体" w:cs="宋体"/>
                <w:sz w:val="18"/>
                <w:szCs w:val="18"/>
              </w:rPr>
            </w:pPr>
            <w:r>
              <w:rPr>
                <w:rFonts w:ascii="宋体" w:eastAsia="宋体" w:hAnsi="宋体" w:cs="宋体"/>
                <w:sz w:val="18"/>
                <w:szCs w:val="18"/>
              </w:rPr>
              <w:t>3,567,612.39</w:t>
            </w:r>
          </w:p>
        </w:tc>
      </w:tr>
    </w:tbl>
    <w:p w:rsidR="00B13593" w:rsidRPr="00DD4CC2" w:rsidRDefault="00B13F8C" w:rsidP="00DD4CC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87" w:name="_Toc989075"/>
      <w:r w:rsidRPr="00DD4CC2">
        <w:rPr>
          <w:rFonts w:ascii="仿宋" w:eastAsia="仿宋" w:hAnsi="仿宋"/>
          <w:b/>
          <w:sz w:val="28"/>
          <w:szCs w:val="28"/>
        </w:rPr>
        <w:t>（1）应收利息</w:t>
      </w:r>
      <w:bookmarkEnd w:id="187"/>
    </w:p>
    <w:p w:rsidR="00B13593" w:rsidRPr="00DD4CC2" w:rsidRDefault="00B13F8C" w:rsidP="00DD4CC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88" w:name="_Toc989076"/>
      <w:r w:rsidRPr="00DD4CC2">
        <w:rPr>
          <w:rFonts w:ascii="仿宋" w:eastAsia="仿宋" w:hAnsi="仿宋"/>
          <w:b/>
          <w:sz w:val="28"/>
          <w:szCs w:val="28"/>
        </w:rPr>
        <w:t>1）应收利息分类</w:t>
      </w:r>
      <w:bookmarkEnd w:id="18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rPr>
                <w:rFonts w:ascii="宋体" w:eastAsia="宋体" w:hAnsi="宋体" w:cs="宋体"/>
                <w:sz w:val="18"/>
                <w:szCs w:val="18"/>
              </w:rPr>
            </w:pPr>
            <w:r>
              <w:rPr>
                <w:rFonts w:ascii="宋体" w:eastAsia="宋体" w:hAnsi="宋体" w:cs="宋体"/>
                <w:sz w:val="18"/>
                <w:szCs w:val="18"/>
              </w:rPr>
              <w:t>定期存款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D4CC2">
            <w:pPr>
              <w:spacing w:line="300" w:lineRule="exact"/>
              <w:jc w:val="right"/>
              <w:rPr>
                <w:rFonts w:ascii="宋体" w:eastAsia="宋体" w:hAnsi="宋体" w:cs="宋体"/>
                <w:sz w:val="18"/>
                <w:szCs w:val="18"/>
              </w:rPr>
            </w:pPr>
            <w:r>
              <w:rPr>
                <w:rFonts w:ascii="宋体" w:eastAsia="宋体" w:hAnsi="宋体" w:cs="宋体"/>
                <w:sz w:val="18"/>
                <w:szCs w:val="18"/>
              </w:rPr>
              <w:t>400,274.00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D4CC2">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D4CC2">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D4CC2">
            <w:pPr>
              <w:spacing w:line="300" w:lineRule="exact"/>
              <w:jc w:val="right"/>
              <w:rPr>
                <w:rFonts w:ascii="宋体" w:eastAsia="宋体" w:hAnsi="宋体" w:cs="宋体"/>
                <w:sz w:val="18"/>
                <w:szCs w:val="18"/>
              </w:rPr>
            </w:pPr>
            <w:r>
              <w:rPr>
                <w:rFonts w:ascii="宋体" w:eastAsia="宋体" w:hAnsi="宋体" w:cs="宋体"/>
                <w:sz w:val="18"/>
                <w:szCs w:val="18"/>
              </w:rPr>
              <w:t>400,274.00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D4CC2">
            <w:pPr>
              <w:spacing w:line="300" w:lineRule="exact"/>
              <w:jc w:val="right"/>
              <w:rPr>
                <w:rFonts w:ascii="宋体" w:eastAsia="宋体" w:hAnsi="宋体" w:cs="宋体"/>
                <w:sz w:val="18"/>
                <w:szCs w:val="18"/>
              </w:rPr>
            </w:pP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89" w:name="_Toc989077"/>
      <w:r w:rsidRPr="000F2F8A">
        <w:rPr>
          <w:rFonts w:ascii="仿宋" w:eastAsia="仿宋" w:hAnsi="仿宋"/>
          <w:b/>
          <w:sz w:val="28"/>
          <w:szCs w:val="28"/>
        </w:rPr>
        <w:t>2）坏账准备计提情况</w:t>
      </w:r>
      <w:bookmarkEnd w:id="189"/>
    </w:p>
    <w:p w:rsidR="00B13593" w:rsidRPr="000F2F8A" w:rsidRDefault="00B13F8C" w:rsidP="000F2F8A">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0F2F8A">
        <w:rPr>
          <w:rFonts w:ascii="仿宋" w:eastAsia="仿宋" w:hAnsi="仿宋"/>
          <w:sz w:val="28"/>
          <w:szCs w:val="28"/>
        </w:rPr>
        <w:t xml:space="preserve">□适用 </w:t>
      </w:r>
      <w:r w:rsidR="000F2F8A" w:rsidRPr="000F2F8A">
        <w:rPr>
          <w:rFonts w:ascii="仿宋" w:eastAsia="仿宋" w:hAnsi="仿宋" w:hint="eastAsia"/>
          <w:sz w:val="28"/>
          <w:szCs w:val="28"/>
        </w:rPr>
        <w:t xml:space="preserve"> </w:t>
      </w:r>
      <w:r w:rsidRPr="000F2F8A">
        <w:rPr>
          <w:rFonts w:ascii="仿宋" w:eastAsia="仿宋" w:hAnsi="仿宋"/>
          <w:sz w:val="28"/>
          <w:szCs w:val="28"/>
        </w:rPr>
        <w:sym w:font="Wingdings 2" w:char="F052"/>
      </w:r>
      <w:r w:rsidRPr="000F2F8A">
        <w:rPr>
          <w:rFonts w:ascii="仿宋" w:eastAsia="仿宋" w:hAnsi="仿宋"/>
          <w:sz w:val="28"/>
          <w:szCs w:val="28"/>
        </w:rPr>
        <w:t>不适用</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0" w:name="_Toc989078"/>
      <w:r w:rsidRPr="000F2F8A">
        <w:rPr>
          <w:rFonts w:ascii="仿宋" w:eastAsia="仿宋" w:hAnsi="仿宋"/>
          <w:b/>
          <w:sz w:val="28"/>
          <w:szCs w:val="28"/>
        </w:rPr>
        <w:t>（2）其他应收款</w:t>
      </w:r>
      <w:bookmarkEnd w:id="190"/>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1" w:name="_Toc989079"/>
      <w:r w:rsidRPr="000F2F8A">
        <w:rPr>
          <w:rFonts w:ascii="仿宋" w:eastAsia="仿宋" w:hAnsi="仿宋"/>
          <w:b/>
          <w:sz w:val="28"/>
          <w:szCs w:val="28"/>
        </w:rPr>
        <w:t>1）其他应收款按款项性质分类情况</w:t>
      </w:r>
      <w:bookmarkEnd w:id="191"/>
    </w:p>
    <w:p w:rsidR="000F2F8A" w:rsidRDefault="000F2F8A" w:rsidP="00054B06">
      <w:pPr>
        <w:spacing w:before="40" w:after="40" w:line="240" w:lineRule="exact"/>
        <w:jc w:val="right"/>
        <w:rPr>
          <w:rFonts w:ascii="宋体" w:eastAsia="宋体" w:hAnsi="宋体" w:cs="宋体"/>
          <w:sz w:val="18"/>
          <w:szCs w:val="18"/>
        </w:rPr>
      </w:pPr>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期初账面余额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1,750,343.32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1,739,638.48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2,570,700.00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1,594,872.00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28,875,966.05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28,382,180.86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lastRenderedPageBreak/>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2,398,898.81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2,398,898.81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35,595,908.18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34,115,590.15</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2" w:name="_Toc989080"/>
      <w:r w:rsidRPr="000F2F8A">
        <w:rPr>
          <w:rFonts w:ascii="仿宋" w:eastAsia="仿宋" w:hAnsi="仿宋"/>
          <w:b/>
          <w:sz w:val="28"/>
          <w:szCs w:val="28"/>
        </w:rPr>
        <w:t>2）坏账准备计提情况</w:t>
      </w:r>
      <w:bookmarkEnd w:id="19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2023年1月1日余额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8,148,301.07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22,399,676.69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30,547,977.76</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2023年1月1日余额在本期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59,703.81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59,703.81</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2023年6月30日余额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8,208,004.88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22,399,676.69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30,607,681.57</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F2F8A">
        <w:rPr>
          <w:rFonts w:ascii="仿宋" w:eastAsia="仿宋" w:hAnsi="仿宋"/>
          <w:b/>
          <w:sz w:val="28"/>
          <w:szCs w:val="28"/>
        </w:rPr>
        <w:t>损失准备本期变动金额重大的账面余额变动情况</w:t>
      </w:r>
    </w:p>
    <w:p w:rsidR="00B13593" w:rsidRPr="000F2F8A" w:rsidRDefault="00B13F8C" w:rsidP="000F2F8A">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0F2F8A">
        <w:rPr>
          <w:rFonts w:ascii="仿宋" w:eastAsia="仿宋" w:hAnsi="仿宋"/>
          <w:sz w:val="28"/>
          <w:szCs w:val="28"/>
        </w:rPr>
        <w:t>□适用</w:t>
      </w:r>
      <w:r w:rsidR="000F2F8A">
        <w:rPr>
          <w:rFonts w:ascii="仿宋" w:eastAsia="仿宋" w:hAnsi="仿宋" w:hint="eastAsia"/>
          <w:sz w:val="28"/>
          <w:szCs w:val="28"/>
        </w:rPr>
        <w:t xml:space="preserve"> </w:t>
      </w:r>
      <w:r w:rsidRPr="000F2F8A">
        <w:rPr>
          <w:rFonts w:ascii="仿宋" w:eastAsia="仿宋" w:hAnsi="仿宋"/>
          <w:sz w:val="28"/>
          <w:szCs w:val="28"/>
        </w:rPr>
        <w:t xml:space="preserve"> </w:t>
      </w:r>
      <w:r w:rsidRPr="000F2F8A">
        <w:rPr>
          <w:rFonts w:ascii="仿宋" w:eastAsia="仿宋" w:hAnsi="仿宋"/>
          <w:sz w:val="28"/>
          <w:szCs w:val="28"/>
        </w:rPr>
        <w:sym w:font="Wingdings 2" w:char="F052"/>
      </w:r>
      <w:r w:rsidRPr="000F2F8A">
        <w:rPr>
          <w:rFonts w:ascii="仿宋" w:eastAsia="仿宋" w:hAnsi="仿宋"/>
          <w:sz w:val="28"/>
          <w:szCs w:val="28"/>
        </w:rPr>
        <w:t>不适用</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F2F8A">
        <w:rPr>
          <w:rFonts w:ascii="仿宋" w:eastAsia="仿宋" w:hAnsi="仿宋"/>
          <w:b/>
          <w:sz w:val="28"/>
          <w:szCs w:val="28"/>
        </w:rPr>
        <w:t>按账龄披露</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0F2F8A">
            <w:pPr>
              <w:spacing w:line="300" w:lineRule="exact"/>
              <w:jc w:val="right"/>
              <w:rPr>
                <w:rFonts w:ascii="宋体" w:eastAsia="宋体" w:hAnsi="宋体" w:cs="宋体"/>
                <w:sz w:val="18"/>
                <w:szCs w:val="18"/>
              </w:rPr>
            </w:pPr>
            <w:r w:rsidRPr="00DE181D">
              <w:rPr>
                <w:rFonts w:ascii="宋体" w:eastAsia="宋体" w:hAnsi="宋体" w:cs="宋体"/>
                <w:sz w:val="18"/>
                <w:szCs w:val="18"/>
              </w:rPr>
              <w:t>3,535,465.64</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0F2F8A">
            <w:pPr>
              <w:spacing w:line="300" w:lineRule="exact"/>
              <w:jc w:val="right"/>
              <w:rPr>
                <w:rFonts w:ascii="宋体" w:eastAsia="宋体" w:hAnsi="宋体" w:cs="宋体"/>
                <w:sz w:val="18"/>
                <w:szCs w:val="18"/>
              </w:rPr>
            </w:pPr>
            <w:r w:rsidRPr="00DE181D">
              <w:rPr>
                <w:rFonts w:ascii="宋体" w:eastAsia="宋体" w:hAnsi="宋体" w:cs="宋体"/>
                <w:sz w:val="18"/>
                <w:szCs w:val="18"/>
              </w:rPr>
              <w:t>1,683,421.26</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19,092.10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0F2F8A">
            <w:pPr>
              <w:spacing w:line="300" w:lineRule="exact"/>
              <w:jc w:val="right"/>
              <w:rPr>
                <w:rFonts w:ascii="宋体" w:eastAsia="宋体" w:hAnsi="宋体" w:cs="宋体"/>
                <w:sz w:val="18"/>
                <w:szCs w:val="18"/>
              </w:rPr>
            </w:pPr>
            <w:r w:rsidRPr="00DE181D">
              <w:rPr>
                <w:rFonts w:ascii="宋体" w:eastAsia="宋体" w:hAnsi="宋体" w:cs="宋体"/>
                <w:sz w:val="18"/>
                <w:szCs w:val="18"/>
              </w:rPr>
              <w:t>30,357,929.18</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0F2F8A">
            <w:pPr>
              <w:spacing w:line="300" w:lineRule="exact"/>
              <w:jc w:val="right"/>
              <w:rPr>
                <w:rFonts w:ascii="宋体" w:eastAsia="宋体" w:hAnsi="宋体" w:cs="宋体"/>
                <w:sz w:val="18"/>
                <w:szCs w:val="18"/>
              </w:rPr>
            </w:pPr>
            <w:r w:rsidRPr="00DE181D">
              <w:rPr>
                <w:rFonts w:ascii="宋体" w:eastAsia="宋体" w:hAnsi="宋体" w:cs="宋体"/>
                <w:sz w:val="18"/>
                <w:szCs w:val="18"/>
              </w:rPr>
              <w:t>30,357,929.18</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DE181D" w:rsidP="000F2F8A">
            <w:pPr>
              <w:spacing w:line="300" w:lineRule="exact"/>
              <w:jc w:val="right"/>
              <w:rPr>
                <w:rFonts w:ascii="宋体" w:eastAsia="宋体" w:hAnsi="宋体" w:cs="宋体"/>
                <w:sz w:val="18"/>
                <w:szCs w:val="18"/>
              </w:rPr>
            </w:pPr>
            <w:r w:rsidRPr="00DE181D">
              <w:rPr>
                <w:rFonts w:ascii="宋体" w:eastAsia="宋体" w:hAnsi="宋体" w:cs="宋体"/>
                <w:sz w:val="18"/>
                <w:szCs w:val="18"/>
              </w:rPr>
              <w:t>35,595,908.18</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3" w:name="_Toc989081"/>
      <w:r w:rsidRPr="000F2F8A">
        <w:rPr>
          <w:rFonts w:ascii="仿宋" w:eastAsia="仿宋" w:hAnsi="仿宋"/>
          <w:b/>
          <w:sz w:val="28"/>
          <w:szCs w:val="28"/>
        </w:rPr>
        <w:t>3）本期计提、收回或转回的坏账准备情况</w:t>
      </w:r>
      <w:bookmarkEnd w:id="193"/>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F2F8A">
        <w:rPr>
          <w:rFonts w:ascii="仿宋" w:eastAsia="仿宋" w:hAnsi="仿宋"/>
          <w:b/>
          <w:sz w:val="28"/>
          <w:szCs w:val="28"/>
        </w:rPr>
        <w:t>本期计提坏账准备情况：</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566"/>
        <w:gridCol w:w="1188"/>
        <w:gridCol w:w="1377"/>
        <w:gridCol w:w="1377"/>
        <w:gridCol w:w="1161"/>
        <w:gridCol w:w="1593"/>
      </w:tblGrid>
      <w:tr w:rsidR="00B13593" w:rsidTr="000F2F8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510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rsidTr="000F2F8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核销</w:t>
            </w:r>
          </w:p>
        </w:tc>
        <w:tc>
          <w:tcPr>
            <w:tcW w:w="11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r>
      <w:tr w:rsidR="00B13593" w:rsidTr="000F2F8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坏账准备</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30,547,977.76</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59,703.81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30,607,681.57</w:t>
            </w:r>
          </w:p>
        </w:tc>
      </w:tr>
      <w:tr w:rsidR="00B13593" w:rsidTr="000F2F8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30,547,977.76</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59,703.81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30,607,681.57</w:t>
            </w:r>
          </w:p>
        </w:tc>
      </w:tr>
    </w:tbl>
    <w:p w:rsidR="00B13593" w:rsidRDefault="00B13593" w:rsidP="00054B06">
      <w:pPr>
        <w:spacing w:before="100" w:after="100" w:line="0" w:lineRule="atLeast"/>
      </w:pPr>
    </w:p>
    <w:p w:rsidR="00B13593" w:rsidRDefault="00B13593" w:rsidP="00054B06">
      <w:pPr>
        <w:divId w:val="676737499"/>
        <w:rPr>
          <w:sz w:val="18"/>
          <w:szCs w:val="18"/>
        </w:rPr>
      </w:pP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4" w:name="_Toc989082"/>
      <w:r w:rsidRPr="000F2F8A">
        <w:rPr>
          <w:rFonts w:ascii="仿宋" w:eastAsia="仿宋" w:hAnsi="仿宋"/>
          <w:b/>
          <w:sz w:val="28"/>
          <w:szCs w:val="28"/>
        </w:rPr>
        <w:t>4）按欠款方归集的期末余额前五名的其他应收款情况</w:t>
      </w:r>
      <w:bookmarkEnd w:id="19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占其他应收款期末余额合计数的</w:t>
            </w:r>
            <w:r>
              <w:rPr>
                <w:rFonts w:ascii="宋体" w:eastAsia="宋体" w:hAnsi="宋体" w:cs="宋体"/>
                <w:sz w:val="18"/>
                <w:szCs w:val="18"/>
              </w:rPr>
              <w:lastRenderedPageBreak/>
              <w:t>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坏账准备期末余额</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lastRenderedPageBreak/>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18,904,324.43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3 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53.11%</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18,904,324.43</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7,062,300.00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3 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19.84%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7,062,300.00</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历史遗留款项</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1,096,453.45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3 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3.08%</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1,096,453.45</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押金</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C742FF">
            <w:pPr>
              <w:spacing w:line="300" w:lineRule="exact"/>
              <w:rPr>
                <w:rFonts w:ascii="宋体" w:eastAsia="宋体" w:hAnsi="宋体" w:cs="宋体"/>
                <w:sz w:val="18"/>
                <w:szCs w:val="18"/>
              </w:rPr>
            </w:pPr>
            <w:r>
              <w:rPr>
                <w:rFonts w:ascii="宋体" w:eastAsia="宋体" w:hAnsi="宋体" w:cs="宋体"/>
                <w:sz w:val="18"/>
                <w:szCs w:val="18"/>
              </w:rPr>
              <w:t>1</w:t>
            </w:r>
            <w:r w:rsidR="00C742FF">
              <w:rPr>
                <w:rFonts w:ascii="宋体" w:eastAsia="宋体" w:hAnsi="宋体" w:cs="宋体" w:hint="eastAsia"/>
                <w:sz w:val="18"/>
                <w:szCs w:val="18"/>
              </w:rPr>
              <w:t>-2年</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3.54%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740EA7" w:rsidP="000F2F8A">
            <w:pPr>
              <w:spacing w:line="300" w:lineRule="exact"/>
              <w:jc w:val="right"/>
              <w:rPr>
                <w:rFonts w:ascii="宋体" w:eastAsia="宋体" w:hAnsi="宋体" w:cs="宋体"/>
                <w:sz w:val="18"/>
                <w:szCs w:val="18"/>
              </w:rPr>
            </w:pPr>
            <w:r>
              <w:rPr>
                <w:rFonts w:ascii="宋体" w:eastAsia="宋体" w:hAnsi="宋体" w:cs="宋体" w:hint="eastAsia"/>
                <w:sz w:val="18"/>
                <w:szCs w:val="18"/>
              </w:rPr>
              <w:t>126</w:t>
            </w:r>
            <w:r w:rsidR="00B13F8C">
              <w:rPr>
                <w:rFonts w:ascii="宋体" w:eastAsia="宋体" w:hAnsi="宋体" w:cs="宋体"/>
                <w:sz w:val="18"/>
                <w:szCs w:val="18"/>
              </w:rPr>
              <w:t>,000.00</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626,267.42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EB1463" w:rsidP="000F2F8A">
            <w:pPr>
              <w:spacing w:line="300" w:lineRule="exact"/>
              <w:rPr>
                <w:rFonts w:ascii="宋体" w:eastAsia="宋体" w:hAnsi="宋体" w:cs="宋体"/>
                <w:sz w:val="18"/>
                <w:szCs w:val="18"/>
              </w:rPr>
            </w:pPr>
            <w:r>
              <w:rPr>
                <w:rFonts w:ascii="宋体" w:eastAsia="宋体" w:hAnsi="宋体" w:cs="宋体" w:hint="eastAsia"/>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1.76%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626,267.42</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28,949,345.30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81.33%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740EA7" w:rsidP="000F2F8A">
            <w:pPr>
              <w:spacing w:line="300" w:lineRule="exact"/>
              <w:jc w:val="right"/>
              <w:rPr>
                <w:rFonts w:ascii="宋体" w:eastAsia="宋体" w:hAnsi="宋体" w:cs="宋体"/>
                <w:sz w:val="18"/>
                <w:szCs w:val="18"/>
              </w:rPr>
            </w:pPr>
            <w:r w:rsidRPr="00740EA7">
              <w:rPr>
                <w:rFonts w:ascii="宋体" w:eastAsia="宋体" w:hAnsi="宋体" w:cs="宋体" w:hint="eastAsia"/>
                <w:sz w:val="18"/>
                <w:szCs w:val="18"/>
              </w:rPr>
              <w:t>27,815,345.30</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5" w:name="_Toc989083"/>
      <w:r w:rsidRPr="000F2F8A">
        <w:rPr>
          <w:rFonts w:ascii="仿宋" w:eastAsia="仿宋" w:hAnsi="仿宋"/>
          <w:b/>
          <w:sz w:val="28"/>
          <w:szCs w:val="28"/>
        </w:rPr>
        <w:t>5）因金融资产转移而终止确认的其他应收款</w:t>
      </w:r>
      <w:bookmarkEnd w:id="195"/>
    </w:p>
    <w:p w:rsidR="00B13593" w:rsidRPr="000F2F8A" w:rsidRDefault="00B13593" w:rsidP="000F2F8A">
      <w:pPr>
        <w:pStyle w:val="a3"/>
        <w:widowControl w:val="0"/>
        <w:spacing w:before="0" w:beforeAutospacing="0" w:after="0" w:afterAutospacing="0" w:line="560" w:lineRule="exact"/>
        <w:ind w:firstLineChars="200" w:firstLine="560"/>
        <w:jc w:val="both"/>
        <w:divId w:val="1911234542"/>
        <w:rPr>
          <w:rFonts w:ascii="仿宋" w:eastAsia="仿宋" w:hAnsi="仿宋"/>
          <w:sz w:val="28"/>
          <w:szCs w:val="28"/>
        </w:rPr>
      </w:pPr>
      <w:r w:rsidRPr="000F2F8A">
        <w:rPr>
          <w:rFonts w:ascii="仿宋" w:eastAsia="仿宋" w:hAnsi="仿宋" w:hint="eastAsia"/>
          <w:sz w:val="28"/>
          <w:szCs w:val="28"/>
        </w:rPr>
        <w:t>不适用</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6" w:name="_Toc989084"/>
      <w:r w:rsidRPr="000F2F8A">
        <w:rPr>
          <w:rFonts w:ascii="仿宋" w:eastAsia="仿宋" w:hAnsi="仿宋"/>
          <w:b/>
          <w:sz w:val="28"/>
          <w:szCs w:val="28"/>
        </w:rPr>
        <w:t>6）转移其他应收款且继续涉入形成的资产、负债金额</w:t>
      </w:r>
      <w:bookmarkEnd w:id="196"/>
    </w:p>
    <w:p w:rsidR="00B13593" w:rsidRPr="000F2F8A" w:rsidRDefault="00B13593" w:rsidP="000F2F8A">
      <w:pPr>
        <w:pStyle w:val="a3"/>
        <w:widowControl w:val="0"/>
        <w:spacing w:before="0" w:beforeAutospacing="0" w:after="0" w:afterAutospacing="0" w:line="560" w:lineRule="exact"/>
        <w:ind w:firstLineChars="200" w:firstLine="560"/>
        <w:jc w:val="both"/>
        <w:divId w:val="622079754"/>
        <w:rPr>
          <w:rFonts w:ascii="仿宋" w:eastAsia="仿宋" w:hAnsi="仿宋"/>
          <w:sz w:val="28"/>
          <w:szCs w:val="28"/>
        </w:rPr>
      </w:pPr>
      <w:r w:rsidRPr="000F2F8A">
        <w:rPr>
          <w:rFonts w:ascii="仿宋" w:eastAsia="仿宋" w:hAnsi="仿宋" w:hint="eastAsia"/>
          <w:sz w:val="28"/>
          <w:szCs w:val="28"/>
        </w:rPr>
        <w:t>不适用</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7" w:name="_Toc989085"/>
      <w:r w:rsidRPr="000F2F8A">
        <w:rPr>
          <w:rFonts w:ascii="仿宋" w:eastAsia="仿宋" w:hAnsi="仿宋"/>
          <w:b/>
          <w:sz w:val="28"/>
          <w:szCs w:val="28"/>
        </w:rPr>
        <w:t>8、存货</w:t>
      </w:r>
      <w:bookmarkEnd w:id="197"/>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F2F8A">
        <w:rPr>
          <w:rFonts w:ascii="仿宋" w:eastAsia="仿宋" w:hAnsi="仿宋"/>
          <w:b/>
          <w:sz w:val="28"/>
          <w:szCs w:val="28"/>
        </w:rPr>
        <w:t>公司是否需要遵守房地产行业的披露要求</w:t>
      </w:r>
    </w:p>
    <w:p w:rsidR="00B13593" w:rsidRPr="000F2F8A" w:rsidRDefault="00B13F8C" w:rsidP="000F2F8A">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0F2F8A">
        <w:rPr>
          <w:rFonts w:ascii="仿宋" w:eastAsia="仿宋" w:hAnsi="仿宋"/>
          <w:sz w:val="28"/>
          <w:szCs w:val="28"/>
        </w:rPr>
        <w:t>否</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8" w:name="_Toc989086"/>
      <w:r w:rsidRPr="000F2F8A">
        <w:rPr>
          <w:rFonts w:ascii="仿宋" w:eastAsia="仿宋" w:hAnsi="仿宋"/>
          <w:b/>
          <w:sz w:val="28"/>
          <w:szCs w:val="28"/>
        </w:rPr>
        <w:t>（1）存货分类</w:t>
      </w:r>
      <w:bookmarkEnd w:id="19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账面价值</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64,614,382.43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5,299,278.40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59,315,104.03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79,033,805.09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2,820,105.38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76,213,699.71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33,824,040.68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33,824,040.68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25,811,434.71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25,811,434.71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45,067,190.68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2,205,974.31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42,861,216.37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39,924,627.02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1,342,370.12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38,582,256.90</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发出商品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12,462,259.90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12,462,259.90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14,494,765.88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14,494,765.88</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半成品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255,348.07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78,764.33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176,583.74</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1,508,905.21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25,161.97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1,483,743.24</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在途物资</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1,650,823.18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1,650,823.18</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委托加工物资</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2,287,076.99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2,287,076.99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892,046.91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892,046.91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低值易耗品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13,151.26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88.67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13,062.59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15,310.18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80.70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15,229.48</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158,523,450.01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7,584,105.71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150,939,344.30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163,331,718.18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4,187,718.17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159,144,000.01</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99" w:name="_Toc989087"/>
      <w:r w:rsidRPr="000F2F8A">
        <w:rPr>
          <w:rFonts w:ascii="仿宋" w:eastAsia="仿宋" w:hAnsi="仿宋"/>
          <w:b/>
          <w:sz w:val="28"/>
          <w:szCs w:val="28"/>
        </w:rPr>
        <w:t>（2）存货跌价准备和合同履约成本减值准备</w:t>
      </w:r>
      <w:bookmarkEnd w:id="19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lastRenderedPageBreak/>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2,820,105.38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2,479,173.02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5,299,278.40</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1,342,370.12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863,604.19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2,205,974.31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半成品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25,161.97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53,602.36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78,764.33</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低值易耗品</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80.70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7.97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88.67</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4,187,718.17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3,396,387.54</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7,584,105.71</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0" w:name="_Toc989088"/>
      <w:r w:rsidRPr="000F2F8A">
        <w:rPr>
          <w:rFonts w:ascii="仿宋" w:eastAsia="仿宋" w:hAnsi="仿宋"/>
          <w:b/>
          <w:sz w:val="28"/>
          <w:szCs w:val="28"/>
        </w:rPr>
        <w:t>（3）存货期末余额含有借款费用资本化金额的说明</w:t>
      </w:r>
      <w:bookmarkEnd w:id="200"/>
    </w:p>
    <w:p w:rsidR="00B13593" w:rsidRPr="000F2F8A" w:rsidRDefault="00B13593" w:rsidP="000F2F8A">
      <w:pPr>
        <w:pStyle w:val="a3"/>
        <w:widowControl w:val="0"/>
        <w:spacing w:before="0" w:beforeAutospacing="0" w:after="0" w:afterAutospacing="0" w:line="560" w:lineRule="exact"/>
        <w:ind w:firstLineChars="200" w:firstLine="560"/>
        <w:jc w:val="both"/>
        <w:divId w:val="459955086"/>
        <w:rPr>
          <w:rFonts w:ascii="仿宋" w:eastAsia="仿宋" w:hAnsi="仿宋"/>
          <w:sz w:val="28"/>
          <w:szCs w:val="28"/>
        </w:rPr>
      </w:pPr>
      <w:r w:rsidRPr="000F2F8A">
        <w:rPr>
          <w:rFonts w:ascii="仿宋" w:eastAsia="仿宋" w:hAnsi="仿宋" w:hint="eastAsia"/>
          <w:sz w:val="28"/>
          <w:szCs w:val="28"/>
        </w:rPr>
        <w:t>不适用</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1" w:name="_Toc989089"/>
      <w:r w:rsidRPr="000F2F8A">
        <w:rPr>
          <w:rFonts w:ascii="仿宋" w:eastAsia="仿宋" w:hAnsi="仿宋"/>
          <w:b/>
          <w:sz w:val="28"/>
          <w:szCs w:val="28"/>
        </w:rPr>
        <w:t>（4）合同履约成本本期摊销金额的说明</w:t>
      </w:r>
      <w:bookmarkEnd w:id="201"/>
    </w:p>
    <w:p w:rsidR="00B13593" w:rsidRPr="000F2F8A" w:rsidRDefault="00B13593" w:rsidP="000F2F8A">
      <w:pPr>
        <w:pStyle w:val="a3"/>
        <w:widowControl w:val="0"/>
        <w:spacing w:before="0" w:beforeAutospacing="0" w:after="0" w:afterAutospacing="0" w:line="560" w:lineRule="exact"/>
        <w:ind w:firstLineChars="200" w:firstLine="560"/>
        <w:jc w:val="both"/>
        <w:divId w:val="1016923576"/>
        <w:rPr>
          <w:rFonts w:ascii="仿宋" w:eastAsia="仿宋" w:hAnsi="仿宋"/>
          <w:sz w:val="28"/>
          <w:szCs w:val="28"/>
        </w:rPr>
      </w:pPr>
      <w:r w:rsidRPr="000F2F8A">
        <w:rPr>
          <w:rFonts w:ascii="仿宋" w:eastAsia="仿宋" w:hAnsi="仿宋" w:hint="eastAsia"/>
          <w:sz w:val="28"/>
          <w:szCs w:val="28"/>
        </w:rPr>
        <w:t>不适用</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2" w:name="_Toc989090"/>
      <w:r w:rsidRPr="000F2F8A">
        <w:rPr>
          <w:rFonts w:ascii="仿宋" w:eastAsia="仿宋" w:hAnsi="仿宋"/>
          <w:b/>
          <w:sz w:val="28"/>
          <w:szCs w:val="28"/>
        </w:rPr>
        <w:t>9、一年内到期的非流动资产</w:t>
      </w:r>
      <w:bookmarkEnd w:id="20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一年内到期的长期应收款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555,645.54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555,645.54</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3" w:name="_Toc989091"/>
      <w:r w:rsidRPr="000F2F8A">
        <w:rPr>
          <w:rFonts w:ascii="仿宋" w:eastAsia="仿宋" w:hAnsi="仿宋"/>
          <w:b/>
          <w:sz w:val="28"/>
          <w:szCs w:val="28"/>
        </w:rPr>
        <w:t>10、其他流动资产</w:t>
      </w:r>
      <w:bookmarkEnd w:id="20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已认证留底/待认证进项税额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1,773,088.93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659,965.25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住房基金户余款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2,137,213.54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2,133,436.87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预缴所得税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1,925,248.28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1,466,366.73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5,835,550.75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4,259,768.85</w:t>
            </w:r>
          </w:p>
        </w:tc>
      </w:tr>
    </w:tbl>
    <w:p w:rsidR="00B13593" w:rsidRPr="000F2F8A" w:rsidRDefault="000F2F8A"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4" w:name="_Toc989092"/>
      <w:r w:rsidRPr="000F2F8A">
        <w:rPr>
          <w:rFonts w:ascii="仿宋" w:eastAsia="仿宋" w:hAnsi="仿宋" w:hint="eastAsia"/>
          <w:b/>
          <w:sz w:val="28"/>
          <w:szCs w:val="28"/>
        </w:rPr>
        <w:t>1</w:t>
      </w:r>
      <w:r w:rsidR="00B13F8C" w:rsidRPr="000F2F8A">
        <w:rPr>
          <w:rFonts w:ascii="仿宋" w:eastAsia="仿宋" w:hAnsi="仿宋"/>
          <w:b/>
          <w:sz w:val="28"/>
          <w:szCs w:val="28"/>
        </w:rPr>
        <w:t>1、长期应收款</w:t>
      </w:r>
      <w:bookmarkEnd w:id="204"/>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5" w:name="_Toc989093"/>
      <w:r w:rsidRPr="000F2F8A">
        <w:rPr>
          <w:rFonts w:ascii="仿宋" w:eastAsia="仿宋" w:hAnsi="仿宋"/>
          <w:b/>
          <w:sz w:val="28"/>
          <w:szCs w:val="28"/>
        </w:rPr>
        <w:t>长期应收款情况</w:t>
      </w:r>
      <w:bookmarkEnd w:id="20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04"/>
        <w:gridCol w:w="1456"/>
        <w:gridCol w:w="954"/>
        <w:gridCol w:w="1314"/>
        <w:gridCol w:w="1417"/>
        <w:gridCol w:w="993"/>
        <w:gridCol w:w="1417"/>
        <w:gridCol w:w="884"/>
      </w:tblGrid>
      <w:tr w:rsidR="00B13593" w:rsidTr="000F2F8A">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7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8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折现率区间</w:t>
            </w:r>
          </w:p>
        </w:tc>
      </w:tr>
      <w:tr w:rsidR="00B13593" w:rsidTr="000F2F8A">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145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95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131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8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r>
      <w:tr w:rsidR="00B13593" w:rsidTr="000F2F8A">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融资租赁款</w:t>
            </w:r>
          </w:p>
        </w:tc>
        <w:tc>
          <w:tcPr>
            <w:tcW w:w="145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95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rPr>
                <w:rFonts w:ascii="宋体" w:eastAsia="宋体" w:hAnsi="宋体" w:cs="宋体"/>
                <w:sz w:val="18"/>
                <w:szCs w:val="18"/>
              </w:rPr>
            </w:pPr>
          </w:p>
        </w:tc>
      </w:tr>
      <w:tr w:rsidR="00B13593" w:rsidTr="000F2F8A">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其中：未实现融资收益</w:t>
            </w:r>
          </w:p>
        </w:tc>
        <w:tc>
          <w:tcPr>
            <w:tcW w:w="145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372,722.98</w:t>
            </w:r>
          </w:p>
        </w:tc>
        <w:tc>
          <w:tcPr>
            <w:tcW w:w="95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372,722.98</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372,722.98</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372,722.98</w:t>
            </w:r>
          </w:p>
        </w:tc>
        <w:tc>
          <w:tcPr>
            <w:tcW w:w="88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rPr>
                <w:rFonts w:ascii="宋体" w:eastAsia="宋体" w:hAnsi="宋体" w:cs="宋体"/>
                <w:sz w:val="18"/>
                <w:szCs w:val="18"/>
              </w:rPr>
            </w:pPr>
          </w:p>
        </w:tc>
      </w:tr>
      <w:tr w:rsidR="00B13593" w:rsidTr="000F2F8A">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1456"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95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F2F8A">
        <w:rPr>
          <w:rFonts w:ascii="仿宋" w:eastAsia="仿宋" w:hAnsi="仿宋"/>
          <w:b/>
          <w:sz w:val="28"/>
          <w:szCs w:val="28"/>
        </w:rPr>
        <w:t>损失准备本期变动金额重大的账面余额变动情况</w:t>
      </w:r>
    </w:p>
    <w:p w:rsidR="00B13593" w:rsidRPr="000F2F8A" w:rsidRDefault="00B13F8C" w:rsidP="000F2F8A">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0F2F8A">
        <w:rPr>
          <w:rFonts w:ascii="仿宋" w:eastAsia="仿宋" w:hAnsi="仿宋"/>
          <w:sz w:val="28"/>
          <w:szCs w:val="28"/>
        </w:rPr>
        <w:t xml:space="preserve">□适用 </w:t>
      </w:r>
      <w:r w:rsidR="000F2F8A" w:rsidRPr="000F2F8A">
        <w:rPr>
          <w:rFonts w:ascii="仿宋" w:eastAsia="仿宋" w:hAnsi="仿宋" w:hint="eastAsia"/>
          <w:sz w:val="28"/>
          <w:szCs w:val="28"/>
        </w:rPr>
        <w:t xml:space="preserve"> </w:t>
      </w:r>
      <w:r w:rsidRPr="000F2F8A">
        <w:rPr>
          <w:rFonts w:ascii="仿宋" w:eastAsia="仿宋" w:hAnsi="仿宋"/>
          <w:sz w:val="28"/>
          <w:szCs w:val="28"/>
        </w:rPr>
        <w:sym w:font="Wingdings 2" w:char="F052"/>
      </w:r>
      <w:r w:rsidRPr="000F2F8A">
        <w:rPr>
          <w:rFonts w:ascii="仿宋" w:eastAsia="仿宋" w:hAnsi="仿宋"/>
          <w:sz w:val="28"/>
          <w:szCs w:val="28"/>
        </w:rPr>
        <w:t>不适用</w:t>
      </w:r>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6" w:name="_Toc989094"/>
      <w:r w:rsidRPr="000F2F8A">
        <w:rPr>
          <w:rFonts w:ascii="仿宋" w:eastAsia="仿宋" w:hAnsi="仿宋"/>
          <w:b/>
          <w:sz w:val="28"/>
          <w:szCs w:val="28"/>
        </w:rPr>
        <w:t>12、长期股权投资</w:t>
      </w:r>
      <w:bookmarkEnd w:id="20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3"/>
        <w:gridCol w:w="803"/>
        <w:gridCol w:w="803"/>
        <w:gridCol w:w="803"/>
        <w:gridCol w:w="803"/>
        <w:gridCol w:w="803"/>
        <w:gridCol w:w="803"/>
        <w:gridCol w:w="803"/>
        <w:gridCol w:w="803"/>
        <w:gridCol w:w="805"/>
        <w:gridCol w:w="803"/>
        <w:gridCol w:w="804"/>
      </w:tblGrid>
      <w:tr w:rsidR="00B13593" w:rsidTr="009F7711">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被投资单位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期初余额（账</w:t>
            </w:r>
            <w:r>
              <w:rPr>
                <w:rFonts w:ascii="宋体" w:eastAsia="宋体" w:hAnsi="宋体" w:cs="宋体"/>
                <w:sz w:val="18"/>
                <w:szCs w:val="18"/>
              </w:rPr>
              <w:lastRenderedPageBreak/>
              <w:t>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期末余额（账</w:t>
            </w:r>
            <w:r>
              <w:rPr>
                <w:rFonts w:ascii="宋体" w:eastAsia="宋体" w:hAnsi="宋体" w:cs="宋体"/>
                <w:sz w:val="18"/>
                <w:szCs w:val="18"/>
              </w:rPr>
              <w:lastRenderedPageBreak/>
              <w:t>面价值）</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减值准备期末</w:t>
            </w:r>
            <w:r>
              <w:rPr>
                <w:rFonts w:ascii="宋体" w:eastAsia="宋体" w:hAnsi="宋体" w:cs="宋体"/>
                <w:sz w:val="18"/>
                <w:szCs w:val="18"/>
              </w:rPr>
              <w:lastRenderedPageBreak/>
              <w:t>余额</w:t>
            </w:r>
          </w:p>
        </w:tc>
      </w:tr>
      <w:tr w:rsidR="00B13593" w:rsidTr="009F7711">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追加投</w:t>
            </w:r>
            <w:r>
              <w:rPr>
                <w:rFonts w:ascii="宋体" w:eastAsia="宋体" w:hAnsi="宋体" w:cs="宋体"/>
                <w:sz w:val="18"/>
                <w:szCs w:val="18"/>
              </w:rPr>
              <w:lastRenderedPageBreak/>
              <w:t>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减少投</w:t>
            </w:r>
            <w:r>
              <w:rPr>
                <w:rFonts w:ascii="宋体" w:eastAsia="宋体" w:hAnsi="宋体" w:cs="宋体"/>
                <w:sz w:val="18"/>
                <w:szCs w:val="18"/>
              </w:rPr>
              <w:lastRenderedPageBreak/>
              <w:t>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权益法</w:t>
            </w:r>
            <w:r>
              <w:rPr>
                <w:rFonts w:ascii="宋体" w:eastAsia="宋体" w:hAnsi="宋体" w:cs="宋体"/>
                <w:sz w:val="18"/>
                <w:szCs w:val="18"/>
              </w:rPr>
              <w:lastRenderedPageBreak/>
              <w:t>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其他综</w:t>
            </w:r>
            <w:r>
              <w:rPr>
                <w:rFonts w:ascii="宋体" w:eastAsia="宋体" w:hAnsi="宋体" w:cs="宋体"/>
                <w:sz w:val="18"/>
                <w:szCs w:val="18"/>
              </w:rPr>
              <w:lastRenderedPageBreak/>
              <w:t>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其他权</w:t>
            </w:r>
            <w:r>
              <w:rPr>
                <w:rFonts w:ascii="宋体" w:eastAsia="宋体" w:hAnsi="宋体" w:cs="宋体"/>
                <w:sz w:val="18"/>
                <w:szCs w:val="18"/>
              </w:rPr>
              <w:lastRenderedPageBreak/>
              <w:t>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宣告发</w:t>
            </w:r>
            <w:r>
              <w:rPr>
                <w:rFonts w:ascii="宋体" w:eastAsia="宋体" w:hAnsi="宋体" w:cs="宋体"/>
                <w:sz w:val="18"/>
                <w:szCs w:val="18"/>
              </w:rPr>
              <w:lastRenderedPageBreak/>
              <w:t>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计提减</w:t>
            </w:r>
            <w:r>
              <w:rPr>
                <w:rFonts w:ascii="宋体" w:eastAsia="宋体" w:hAnsi="宋体" w:cs="宋体"/>
                <w:sz w:val="18"/>
                <w:szCs w:val="18"/>
              </w:rPr>
              <w:lastRenderedPageBreak/>
              <w:t>值准备</w:t>
            </w:r>
          </w:p>
        </w:tc>
        <w:tc>
          <w:tcPr>
            <w:tcW w:w="80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c>
          <w:tcPr>
            <w:tcW w:w="8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F2F8A">
            <w:pPr>
              <w:spacing w:line="300" w:lineRule="exact"/>
            </w:pPr>
          </w:p>
        </w:tc>
      </w:tr>
      <w:tr w:rsidR="00B13593">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lastRenderedPageBreak/>
              <w:t>一、合营企业</w:t>
            </w:r>
          </w:p>
        </w:tc>
      </w:tr>
      <w:tr w:rsidR="00B13593" w:rsidTr="009F7711">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无</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r>
      <w:tr w:rsidR="00B13593">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二、联营企业</w:t>
            </w:r>
          </w:p>
        </w:tc>
      </w:tr>
      <w:tr w:rsidR="00B13593" w:rsidTr="009F7711">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144,494,018.90</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5,599,659.91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150,093,678.81</w:t>
            </w:r>
          </w:p>
        </w:tc>
        <w:tc>
          <w:tcPr>
            <w:tcW w:w="80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r>
      <w:tr w:rsidR="00B13593" w:rsidTr="009F7711">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北京惠风联合防务科技有限公司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19,945,158.30</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-1,291,466.89</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18,653,691.41</w:t>
            </w:r>
          </w:p>
        </w:tc>
        <w:tc>
          <w:tcPr>
            <w:tcW w:w="804"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r>
      <w:tr w:rsidR="009F7711" w:rsidTr="009F7711">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rPr>
                <w:rFonts w:ascii="宋体" w:eastAsia="宋体" w:hAnsi="宋体" w:cs="宋体"/>
                <w:sz w:val="18"/>
                <w:szCs w:val="18"/>
              </w:rPr>
            </w:pPr>
            <w:r>
              <w:rPr>
                <w:rFonts w:ascii="宋体" w:eastAsia="宋体" w:hAnsi="宋体" w:cs="宋体"/>
                <w:sz w:val="18"/>
                <w:szCs w:val="18"/>
              </w:rPr>
              <w:t>芜湖华沅微电子有限公司</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r>
              <w:rPr>
                <w:rFonts w:ascii="宋体" w:eastAsia="宋体" w:hAnsi="宋体" w:cs="宋体"/>
                <w:sz w:val="18"/>
                <w:szCs w:val="18"/>
              </w:rPr>
              <w:t>15,000,000.00</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r>
              <w:rPr>
                <w:rFonts w:ascii="宋体" w:eastAsia="宋体" w:hAnsi="宋体" w:cs="宋体"/>
                <w:sz w:val="18"/>
                <w:szCs w:val="18"/>
              </w:rPr>
              <w:t>-388,689.15</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r>
              <w:rPr>
                <w:rFonts w:ascii="宋体" w:eastAsia="宋体" w:hAnsi="宋体" w:cs="宋体"/>
                <w:sz w:val="18"/>
                <w:szCs w:val="18"/>
              </w:rPr>
              <w:t>14,611,310.85</w:t>
            </w:r>
          </w:p>
        </w:tc>
        <w:tc>
          <w:tcPr>
            <w:tcW w:w="804"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p>
        </w:tc>
      </w:tr>
      <w:tr w:rsidR="009F7711" w:rsidTr="009F7711">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9F7711" w:rsidRDefault="009F7711" w:rsidP="009F7711">
            <w:pPr>
              <w:spacing w:line="300" w:lineRule="exact"/>
              <w:rPr>
                <w:rFonts w:ascii="宋体" w:eastAsia="宋体" w:hAnsi="宋体" w:cs="宋体"/>
                <w:sz w:val="18"/>
                <w:szCs w:val="18"/>
              </w:rPr>
            </w:pPr>
            <w:r>
              <w:rPr>
                <w:rFonts w:ascii="宋体" w:eastAsia="宋体" w:hAnsi="宋体" w:cs="宋体" w:hint="eastAsia"/>
                <w:sz w:val="18"/>
                <w:szCs w:val="18"/>
              </w:rPr>
              <w:t>三、其他</w:t>
            </w:r>
          </w:p>
        </w:tc>
      </w:tr>
      <w:tr w:rsidR="009F7711" w:rsidTr="009F7711">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rPr>
                <w:rFonts w:ascii="宋体" w:eastAsia="宋体" w:hAnsi="宋体" w:cs="宋体"/>
                <w:sz w:val="18"/>
                <w:szCs w:val="18"/>
              </w:rPr>
            </w:pPr>
            <w:r>
              <w:rPr>
                <w:rFonts w:ascii="宋体" w:eastAsia="宋体" w:hAnsi="宋体" w:cs="宋体"/>
                <w:sz w:val="18"/>
                <w:szCs w:val="18"/>
              </w:rPr>
              <w:t>江门机械厂</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r w:rsidRPr="00980BC4">
              <w:rPr>
                <w:rFonts w:ascii="宋体" w:eastAsia="宋体" w:hAnsi="宋体" w:cs="宋体"/>
                <w:sz w:val="18"/>
                <w:szCs w:val="18"/>
              </w:rPr>
              <w:t>37,808,737.59</w:t>
            </w:r>
          </w:p>
        </w:tc>
      </w:tr>
      <w:tr w:rsidR="009F7711" w:rsidTr="009F7711">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9F7711" w:rsidRDefault="009F7711" w:rsidP="000F2F8A">
            <w:pPr>
              <w:spacing w:line="30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164,439,177.20</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15,000,000.00</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3,919,503.87</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183,358,681.07</w:t>
            </w:r>
          </w:p>
        </w:tc>
        <w:tc>
          <w:tcPr>
            <w:tcW w:w="804"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r w:rsidRPr="00980BC4">
              <w:rPr>
                <w:rFonts w:ascii="宋体" w:eastAsia="宋体" w:hAnsi="宋体" w:cs="宋体"/>
                <w:sz w:val="18"/>
                <w:szCs w:val="18"/>
              </w:rPr>
              <w:t>37,808,737.59</w:t>
            </w:r>
          </w:p>
        </w:tc>
      </w:tr>
      <w:tr w:rsidR="009F7711" w:rsidTr="009F7711">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9F7711" w:rsidRDefault="009F7711"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164,439,177.20</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15,000,000.00</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3,919,503.87</w:t>
            </w: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9F7711" w:rsidRDefault="009F7711" w:rsidP="000F2F8A">
            <w:pPr>
              <w:spacing w:line="300" w:lineRule="exact"/>
              <w:jc w:val="right"/>
              <w:rPr>
                <w:rFonts w:ascii="宋体" w:eastAsia="宋体" w:hAnsi="宋体" w:cs="宋体"/>
                <w:sz w:val="18"/>
                <w:szCs w:val="18"/>
              </w:rPr>
            </w:pPr>
            <w:r>
              <w:rPr>
                <w:rFonts w:ascii="宋体" w:eastAsia="宋体" w:hAnsi="宋体" w:cs="宋体"/>
                <w:sz w:val="18"/>
                <w:szCs w:val="18"/>
              </w:rPr>
              <w:t>183,358,681.07</w:t>
            </w:r>
          </w:p>
        </w:tc>
        <w:tc>
          <w:tcPr>
            <w:tcW w:w="804" w:type="dxa"/>
            <w:tcBorders>
              <w:top w:val="single" w:sz="2" w:space="0" w:color="auto"/>
              <w:left w:val="single" w:sz="2" w:space="0" w:color="auto"/>
              <w:bottom w:val="single" w:sz="2" w:space="0" w:color="auto"/>
              <w:right w:val="single" w:sz="2" w:space="0" w:color="auto"/>
            </w:tcBorders>
            <w:vAlign w:val="center"/>
          </w:tcPr>
          <w:p w:rsidR="009F7711" w:rsidRDefault="009F7711" w:rsidP="005C50EF">
            <w:pPr>
              <w:spacing w:line="300" w:lineRule="exact"/>
              <w:jc w:val="right"/>
              <w:rPr>
                <w:rFonts w:ascii="宋体" w:eastAsia="宋体" w:hAnsi="宋体" w:cs="宋体"/>
                <w:sz w:val="18"/>
                <w:szCs w:val="18"/>
              </w:rPr>
            </w:pPr>
            <w:r w:rsidRPr="00980BC4">
              <w:rPr>
                <w:rFonts w:ascii="宋体" w:eastAsia="宋体" w:hAnsi="宋体" w:cs="宋体"/>
                <w:sz w:val="18"/>
                <w:szCs w:val="18"/>
              </w:rPr>
              <w:t>37,808,737.59</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7" w:name="_Toc989095"/>
      <w:r w:rsidRPr="000F2F8A">
        <w:rPr>
          <w:rFonts w:ascii="仿宋" w:eastAsia="仿宋" w:hAnsi="仿宋"/>
          <w:b/>
          <w:sz w:val="28"/>
          <w:szCs w:val="28"/>
        </w:rPr>
        <w:t>13、其他权益工具投资</w:t>
      </w:r>
      <w:bookmarkEnd w:id="207"/>
    </w:p>
    <w:p w:rsidR="000F2F8A" w:rsidRDefault="000F2F8A" w:rsidP="00054B06">
      <w:pPr>
        <w:spacing w:before="40" w:after="40" w:line="240" w:lineRule="exact"/>
        <w:jc w:val="right"/>
        <w:rPr>
          <w:rFonts w:ascii="宋体" w:eastAsia="宋体" w:hAnsi="宋体" w:cs="宋体"/>
          <w:sz w:val="18"/>
          <w:szCs w:val="18"/>
        </w:rPr>
      </w:pPr>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上市权益工具投资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非上市权益工具投资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其中：深圳陆巡科技有限公司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20,000,000.00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全联众创科技发展有限公司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2,000,000.00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22,000,000.00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jc w:val="right"/>
              <w:rPr>
                <w:rFonts w:ascii="宋体" w:eastAsia="宋体" w:hAnsi="宋体" w:cs="宋体"/>
                <w:sz w:val="18"/>
                <w:szCs w:val="18"/>
              </w:rPr>
            </w:pPr>
            <w:r>
              <w:rPr>
                <w:rFonts w:ascii="宋体" w:eastAsia="宋体" w:hAnsi="宋体" w:cs="宋体"/>
                <w:sz w:val="18"/>
                <w:szCs w:val="18"/>
              </w:rPr>
              <w:t>22,000,000.00</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0F2F8A">
        <w:rPr>
          <w:rFonts w:ascii="仿宋" w:eastAsia="仿宋" w:hAnsi="仿宋"/>
          <w:b/>
          <w:sz w:val="28"/>
          <w:szCs w:val="28"/>
        </w:rPr>
        <w:t>分项披露本期非交易性权益工具投资</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项目名称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t>其他综合收益转入留存收益</w:t>
            </w:r>
            <w:r>
              <w:rPr>
                <w:rFonts w:ascii="宋体" w:eastAsia="宋体" w:hAnsi="宋体" w:cs="宋体"/>
                <w:sz w:val="18"/>
                <w:szCs w:val="18"/>
              </w:rPr>
              <w:lastRenderedPageBreak/>
              <w:t>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指定为以公允价值计量且其</w:t>
            </w:r>
            <w:r>
              <w:rPr>
                <w:rFonts w:ascii="宋体" w:eastAsia="宋体" w:hAnsi="宋体" w:cs="宋体"/>
                <w:sz w:val="18"/>
                <w:szCs w:val="18"/>
              </w:rPr>
              <w:lastRenderedPageBreak/>
              <w:t>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F2F8A">
            <w:pPr>
              <w:spacing w:line="300" w:lineRule="exact"/>
              <w:jc w:val="center"/>
              <w:rPr>
                <w:rFonts w:ascii="宋体" w:eastAsia="宋体" w:hAnsi="宋体" w:cs="宋体"/>
                <w:sz w:val="18"/>
                <w:szCs w:val="18"/>
              </w:rPr>
            </w:pPr>
            <w:r>
              <w:rPr>
                <w:rFonts w:ascii="宋体" w:eastAsia="宋体" w:hAnsi="宋体" w:cs="宋体"/>
                <w:sz w:val="18"/>
                <w:szCs w:val="18"/>
              </w:rPr>
              <w:lastRenderedPageBreak/>
              <w:t>其他综合收益转入留存收益</w:t>
            </w:r>
            <w:r>
              <w:rPr>
                <w:rFonts w:ascii="宋体" w:eastAsia="宋体" w:hAnsi="宋体" w:cs="宋体"/>
                <w:sz w:val="18"/>
                <w:szCs w:val="18"/>
              </w:rPr>
              <w:lastRenderedPageBreak/>
              <w:t>的原因</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lastRenderedPageBreak/>
              <w:t>深圳陆巡科技有限公司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不以出售为目的</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无此事项</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全联众创科技发展有限公司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0F2F8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不以出售为目的</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0F2F8A">
            <w:pPr>
              <w:spacing w:line="300" w:lineRule="exact"/>
              <w:rPr>
                <w:rFonts w:ascii="宋体" w:eastAsia="宋体" w:hAnsi="宋体" w:cs="宋体"/>
                <w:sz w:val="18"/>
                <w:szCs w:val="18"/>
              </w:rPr>
            </w:pPr>
            <w:r>
              <w:rPr>
                <w:rFonts w:ascii="宋体" w:eastAsia="宋体" w:hAnsi="宋体" w:cs="宋体"/>
                <w:sz w:val="18"/>
                <w:szCs w:val="18"/>
              </w:rPr>
              <w:t>无此事项</w:t>
            </w:r>
          </w:p>
        </w:tc>
      </w:tr>
    </w:tbl>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8" w:name="_Toc989096"/>
      <w:r w:rsidRPr="000F2F8A">
        <w:rPr>
          <w:rFonts w:ascii="仿宋" w:eastAsia="仿宋" w:hAnsi="仿宋"/>
          <w:b/>
          <w:sz w:val="28"/>
          <w:szCs w:val="28"/>
        </w:rPr>
        <w:t>14、投资性房地产</w:t>
      </w:r>
      <w:bookmarkEnd w:id="208"/>
    </w:p>
    <w:p w:rsidR="00B13593" w:rsidRPr="000F2F8A" w:rsidRDefault="00B13F8C" w:rsidP="000F2F8A">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09" w:name="_Toc989097"/>
      <w:r w:rsidRPr="000F2F8A">
        <w:rPr>
          <w:rFonts w:ascii="仿宋" w:eastAsia="仿宋" w:hAnsi="仿宋"/>
          <w:b/>
          <w:sz w:val="28"/>
          <w:szCs w:val="28"/>
        </w:rPr>
        <w:t>（1）采用成本计量模式的投资性房地产</w:t>
      </w:r>
      <w:bookmarkEnd w:id="209"/>
    </w:p>
    <w:p w:rsidR="00B13593" w:rsidRPr="000F2F8A" w:rsidRDefault="00B13F8C" w:rsidP="000F2F8A">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0F2F8A">
        <w:rPr>
          <w:rFonts w:ascii="仿宋" w:eastAsia="仿宋" w:hAnsi="仿宋"/>
          <w:sz w:val="28"/>
          <w:szCs w:val="28"/>
        </w:rPr>
        <w:sym w:font="Wingdings 2" w:char="F052"/>
      </w:r>
      <w:r w:rsidRPr="000F2F8A">
        <w:rPr>
          <w:rFonts w:ascii="仿宋" w:eastAsia="仿宋" w:hAnsi="仿宋"/>
          <w:sz w:val="28"/>
          <w:szCs w:val="28"/>
        </w:rPr>
        <w:t xml:space="preserve">适用 </w:t>
      </w:r>
      <w:r w:rsidR="000F2F8A" w:rsidRPr="000F2F8A">
        <w:rPr>
          <w:rFonts w:ascii="仿宋" w:eastAsia="仿宋" w:hAnsi="仿宋" w:hint="eastAsia"/>
          <w:sz w:val="28"/>
          <w:szCs w:val="28"/>
        </w:rPr>
        <w:t xml:space="preserve"> </w:t>
      </w:r>
      <w:r w:rsidRPr="000F2F8A">
        <w:rPr>
          <w:rFonts w:ascii="仿宋" w:eastAsia="仿宋" w:hAnsi="仿宋"/>
          <w:sz w:val="28"/>
          <w:szCs w:val="28"/>
        </w:rPr>
        <w:t>□不适用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土地使用权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一、账面原值</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36,249,902.09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1,466,526.99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37,716,429.08</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（1）外购</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（2）存货\固定资产\在建工程转入</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（3）企业合并增加</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36,249,902.09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1,466,526.99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37,716,429.08</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二、累计折旧和累计摊销</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14,374,318.03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764,549.40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15,138,867.43</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345,850.08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13,932.00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359,782.08</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（1）计提或摊销</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345,850.08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13,932.00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359,782.08</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14,720,168.11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778,481.40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15,498,649.51</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三、减值准备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四、账面价值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1.期末账面价值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21,529,733.98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688,045.59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22,217,779.57</w:t>
            </w:r>
          </w:p>
        </w:tc>
      </w:tr>
      <w:tr w:rsidR="00B13593" w:rsidTr="006620E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lastRenderedPageBreak/>
              <w:t>2.期初账面价值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21,875,584.06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701,977.59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620E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22,577,561.65</w:t>
            </w:r>
          </w:p>
        </w:tc>
      </w:tr>
    </w:tbl>
    <w:p w:rsidR="00B13593" w:rsidRPr="006620E3" w:rsidRDefault="00B13F8C" w:rsidP="006620E3">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0" w:name="_Toc989098"/>
      <w:r w:rsidRPr="006620E3">
        <w:rPr>
          <w:rFonts w:ascii="仿宋" w:eastAsia="仿宋" w:hAnsi="仿宋"/>
          <w:b/>
          <w:sz w:val="28"/>
          <w:szCs w:val="28"/>
        </w:rPr>
        <w:t>（2）采用公允价值计量模式的投资性房地产</w:t>
      </w:r>
      <w:bookmarkEnd w:id="210"/>
    </w:p>
    <w:p w:rsidR="00B13593" w:rsidRPr="006620E3" w:rsidRDefault="00B13F8C" w:rsidP="006620E3">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6620E3">
        <w:rPr>
          <w:rFonts w:ascii="仿宋" w:eastAsia="仿宋" w:hAnsi="仿宋"/>
          <w:sz w:val="28"/>
          <w:szCs w:val="28"/>
        </w:rPr>
        <w:t>□适用</w:t>
      </w:r>
      <w:r w:rsidR="006620E3" w:rsidRPr="006620E3">
        <w:rPr>
          <w:rFonts w:ascii="仿宋" w:eastAsia="仿宋" w:hAnsi="仿宋" w:hint="eastAsia"/>
          <w:sz w:val="28"/>
          <w:szCs w:val="28"/>
        </w:rPr>
        <w:t xml:space="preserve"> </w:t>
      </w:r>
      <w:r w:rsidRPr="006620E3">
        <w:rPr>
          <w:rFonts w:ascii="仿宋" w:eastAsia="仿宋" w:hAnsi="仿宋"/>
          <w:sz w:val="28"/>
          <w:szCs w:val="28"/>
        </w:rPr>
        <w:t xml:space="preserve"> </w:t>
      </w:r>
      <w:r w:rsidRPr="006620E3">
        <w:rPr>
          <w:rFonts w:ascii="仿宋" w:eastAsia="仿宋" w:hAnsi="仿宋"/>
          <w:sz w:val="28"/>
          <w:szCs w:val="28"/>
        </w:rPr>
        <w:sym w:font="Wingdings 2" w:char="F052"/>
      </w:r>
      <w:r w:rsidRPr="006620E3">
        <w:rPr>
          <w:rFonts w:ascii="仿宋" w:eastAsia="仿宋" w:hAnsi="仿宋"/>
          <w:sz w:val="28"/>
          <w:szCs w:val="28"/>
        </w:rPr>
        <w:t>不适用</w:t>
      </w:r>
    </w:p>
    <w:p w:rsidR="00B13593" w:rsidRPr="006620E3" w:rsidRDefault="00B13F8C" w:rsidP="006620E3">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1" w:name="_Toc989099"/>
      <w:r w:rsidRPr="006620E3">
        <w:rPr>
          <w:rFonts w:ascii="仿宋" w:eastAsia="仿宋" w:hAnsi="仿宋"/>
          <w:b/>
          <w:sz w:val="28"/>
          <w:szCs w:val="28"/>
        </w:rPr>
        <w:t>15、固定资产</w:t>
      </w:r>
      <w:bookmarkEnd w:id="21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64,948,871.55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55,737,683.49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2,033,138.90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620E3">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66,982,010.45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6620E3">
            <w:pPr>
              <w:spacing w:line="300" w:lineRule="exact"/>
              <w:jc w:val="right"/>
              <w:rPr>
                <w:rFonts w:ascii="宋体" w:eastAsia="宋体" w:hAnsi="宋体" w:cs="宋体"/>
                <w:sz w:val="18"/>
                <w:szCs w:val="18"/>
              </w:rPr>
            </w:pPr>
            <w:r>
              <w:rPr>
                <w:rFonts w:ascii="宋体" w:eastAsia="宋体" w:hAnsi="宋体" w:cs="宋体"/>
                <w:sz w:val="18"/>
                <w:szCs w:val="18"/>
              </w:rPr>
              <w:t>57,770,822.39</w:t>
            </w:r>
          </w:p>
        </w:tc>
      </w:tr>
    </w:tbl>
    <w:p w:rsidR="00B13593" w:rsidRPr="006620E3" w:rsidRDefault="00B13F8C" w:rsidP="006620E3">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2" w:name="_Toc989100"/>
      <w:r w:rsidRPr="006620E3">
        <w:rPr>
          <w:rFonts w:ascii="仿宋" w:eastAsia="仿宋" w:hAnsi="仿宋"/>
          <w:b/>
          <w:sz w:val="28"/>
          <w:szCs w:val="28"/>
        </w:rPr>
        <w:t>（1）固定资产情况</w:t>
      </w:r>
      <w:bookmarkEnd w:id="21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房屋及建筑物</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机器设备</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运输工具</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电子设备</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其他设备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23,382,939.12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51,468,837.62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2,901,778.27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7,051,692.39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3,959,815.57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88,765,062.97</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13,484,942.43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353,893.81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277,361.32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88,685.76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14,204,883.32</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（1）购置</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13,322,626.85</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353,893.81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277,361.32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88,685.76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14,042,567.74</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（2）在建工程转入</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162,315.58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162,315.58</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（3）企业合并增加</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174,177.71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74,370.00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1,747.57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20,444.98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270,740.26</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174,177.71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74,370.00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1,747.57</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20,444.98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270,740.26</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23,382,939.12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64,779,602.34</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3,181,302.08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7,327,306.14</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4,028,056.35</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102,699,206.03</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9,247,446.56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18,221,400.41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1,382,043.68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2,503,741.60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1,672,747.23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33,027,379.48</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225,466.68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3,466,399.12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138,072.46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817,897.29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242,270.56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4,890,106.11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（1）计提</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225,466.68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3,466,399.12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138,072.46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817,897.29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242,270.56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4,890,106.11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76,892.18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70,651.72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184.48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19,422.73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167,151.11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76,892.18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70,651.72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184.48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19,422.73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167,151.11</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9,472,913.24</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21,610,907.3</w:t>
            </w:r>
            <w:r>
              <w:rPr>
                <w:rFonts w:ascii="宋体" w:eastAsia="宋体" w:hAnsi="宋体" w:cs="宋体"/>
                <w:sz w:val="18"/>
                <w:szCs w:val="18"/>
              </w:rPr>
              <w:lastRenderedPageBreak/>
              <w:t>5</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lastRenderedPageBreak/>
              <w:t>1,449,464.42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3,321,454.41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1,895,595.06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37,750,334.4</w:t>
            </w:r>
            <w:r>
              <w:rPr>
                <w:rFonts w:ascii="宋体" w:eastAsia="宋体" w:hAnsi="宋体" w:cs="宋体"/>
                <w:sz w:val="18"/>
                <w:szCs w:val="18"/>
              </w:rPr>
              <w:lastRenderedPageBreak/>
              <w:t>8</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lastRenderedPageBreak/>
              <w:t>三、减值准备</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（1）计提</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1.期末账面价值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13,910,025.88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43,168,694.99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1,731,837.66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4,005,851.73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2,132,461.29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64,948,871.55</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2.期初账面价值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14,135,492.56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33,247,437.21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1,519,734.59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4,547,950.79</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2,287,068.34</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55,737,683.49</w:t>
            </w:r>
          </w:p>
        </w:tc>
      </w:tr>
    </w:tbl>
    <w:p w:rsidR="00B13593" w:rsidRPr="002805B4" w:rsidRDefault="00B13F8C" w:rsidP="002805B4">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3" w:name="_Toc989101"/>
      <w:r w:rsidRPr="002805B4">
        <w:rPr>
          <w:rFonts w:ascii="仿宋" w:eastAsia="仿宋" w:hAnsi="仿宋"/>
          <w:b/>
          <w:sz w:val="28"/>
          <w:szCs w:val="28"/>
        </w:rPr>
        <w:t>（2）固定资产清理</w:t>
      </w:r>
      <w:bookmarkEnd w:id="21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三旧改造固定资产清理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2,033,138.90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2,033,138.90</w:t>
            </w:r>
          </w:p>
        </w:tc>
      </w:tr>
    </w:tbl>
    <w:p w:rsidR="00B13593" w:rsidRPr="002805B4" w:rsidRDefault="002805B4" w:rsidP="002805B4">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4" w:name="_Toc989102"/>
      <w:r w:rsidRPr="002805B4">
        <w:rPr>
          <w:rFonts w:ascii="仿宋" w:eastAsia="仿宋" w:hAnsi="仿宋" w:hint="eastAsia"/>
          <w:b/>
          <w:sz w:val="28"/>
          <w:szCs w:val="28"/>
        </w:rPr>
        <w:t>1</w:t>
      </w:r>
      <w:r w:rsidR="00B13F8C" w:rsidRPr="002805B4">
        <w:rPr>
          <w:rFonts w:ascii="仿宋" w:eastAsia="仿宋" w:hAnsi="仿宋"/>
          <w:b/>
          <w:sz w:val="28"/>
          <w:szCs w:val="28"/>
        </w:rPr>
        <w:t>6、在建工程</w:t>
      </w:r>
      <w:bookmarkEnd w:id="21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273,451.33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273,451.33</w:t>
            </w:r>
          </w:p>
        </w:tc>
      </w:tr>
    </w:tbl>
    <w:p w:rsidR="00B13593" w:rsidRPr="002805B4" w:rsidRDefault="00B13F8C" w:rsidP="002805B4">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5" w:name="_Toc989103"/>
      <w:r w:rsidRPr="002805B4">
        <w:rPr>
          <w:rFonts w:ascii="仿宋" w:eastAsia="仿宋" w:hAnsi="仿宋"/>
          <w:b/>
          <w:sz w:val="28"/>
          <w:szCs w:val="28"/>
        </w:rPr>
        <w:t>在建工程情况</w:t>
      </w:r>
      <w:bookmarkEnd w:id="21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2805B4">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jc w:val="center"/>
              <w:rPr>
                <w:rFonts w:ascii="宋体" w:eastAsia="宋体" w:hAnsi="宋体" w:cs="宋体"/>
                <w:sz w:val="18"/>
                <w:szCs w:val="18"/>
              </w:rPr>
            </w:pPr>
            <w:r>
              <w:rPr>
                <w:rFonts w:ascii="宋体" w:eastAsia="宋体" w:hAnsi="宋体" w:cs="宋体"/>
                <w:sz w:val="18"/>
                <w:szCs w:val="18"/>
              </w:rPr>
              <w:t>账面价值</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设备安装</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273,451.33</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805B4">
            <w:pPr>
              <w:spacing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2805B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2805B4">
            <w:pPr>
              <w:spacing w:line="300" w:lineRule="exact"/>
              <w:jc w:val="right"/>
              <w:rPr>
                <w:rFonts w:ascii="宋体" w:eastAsia="宋体" w:hAnsi="宋体" w:cs="宋体"/>
                <w:sz w:val="18"/>
                <w:szCs w:val="18"/>
              </w:rPr>
            </w:pPr>
            <w:r>
              <w:rPr>
                <w:rFonts w:ascii="宋体" w:eastAsia="宋体" w:hAnsi="宋体" w:cs="宋体"/>
                <w:sz w:val="18"/>
                <w:szCs w:val="18"/>
              </w:rPr>
              <w:t>273,451.33</w:t>
            </w:r>
          </w:p>
        </w:tc>
      </w:tr>
    </w:tbl>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6" w:name="_Toc989104"/>
      <w:r w:rsidRPr="00966497">
        <w:rPr>
          <w:rFonts w:ascii="仿宋" w:eastAsia="仿宋" w:hAnsi="仿宋"/>
          <w:b/>
          <w:sz w:val="28"/>
          <w:szCs w:val="28"/>
        </w:rPr>
        <w:t>17、生产性生物资产</w:t>
      </w:r>
      <w:bookmarkEnd w:id="216"/>
    </w:p>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7" w:name="_Toc989105"/>
      <w:r w:rsidRPr="00966497">
        <w:rPr>
          <w:rFonts w:ascii="仿宋" w:eastAsia="仿宋" w:hAnsi="仿宋"/>
          <w:b/>
          <w:sz w:val="28"/>
          <w:szCs w:val="28"/>
        </w:rPr>
        <w:t>（1）采用成本计量模式的生产性生物资产</w:t>
      </w:r>
      <w:bookmarkEnd w:id="217"/>
    </w:p>
    <w:p w:rsidR="00B13593" w:rsidRPr="00966497" w:rsidRDefault="00B13F8C" w:rsidP="00966497">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966497">
        <w:rPr>
          <w:rFonts w:ascii="仿宋" w:eastAsia="仿宋" w:hAnsi="仿宋"/>
          <w:sz w:val="28"/>
          <w:szCs w:val="28"/>
        </w:rPr>
        <w:t xml:space="preserve">□适用 </w:t>
      </w:r>
      <w:r w:rsidR="00966497" w:rsidRPr="00966497">
        <w:rPr>
          <w:rFonts w:ascii="仿宋" w:eastAsia="仿宋" w:hAnsi="仿宋" w:hint="eastAsia"/>
          <w:sz w:val="28"/>
          <w:szCs w:val="28"/>
        </w:rPr>
        <w:t xml:space="preserve"> </w:t>
      </w:r>
      <w:r w:rsidRPr="00966497">
        <w:rPr>
          <w:rFonts w:ascii="仿宋" w:eastAsia="仿宋" w:hAnsi="仿宋"/>
          <w:sz w:val="28"/>
          <w:szCs w:val="28"/>
        </w:rPr>
        <w:sym w:font="Wingdings 2" w:char="F052"/>
      </w:r>
      <w:r w:rsidRPr="00966497">
        <w:rPr>
          <w:rFonts w:ascii="仿宋" w:eastAsia="仿宋" w:hAnsi="仿宋"/>
          <w:sz w:val="28"/>
          <w:szCs w:val="28"/>
        </w:rPr>
        <w:t>不适用</w:t>
      </w:r>
    </w:p>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8" w:name="_Toc989106"/>
      <w:r w:rsidRPr="00966497">
        <w:rPr>
          <w:rFonts w:ascii="仿宋" w:eastAsia="仿宋" w:hAnsi="仿宋"/>
          <w:b/>
          <w:sz w:val="28"/>
          <w:szCs w:val="28"/>
        </w:rPr>
        <w:t>（2）采用公允价值计量模式的生产性生物资产</w:t>
      </w:r>
      <w:bookmarkEnd w:id="218"/>
    </w:p>
    <w:p w:rsidR="00B13593" w:rsidRPr="00966497" w:rsidRDefault="00B13F8C" w:rsidP="00966497">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966497">
        <w:rPr>
          <w:rFonts w:ascii="仿宋" w:eastAsia="仿宋" w:hAnsi="仿宋"/>
          <w:sz w:val="28"/>
          <w:szCs w:val="28"/>
        </w:rPr>
        <w:t>□适用</w:t>
      </w:r>
      <w:r w:rsidR="00966497">
        <w:rPr>
          <w:rFonts w:ascii="仿宋" w:eastAsia="仿宋" w:hAnsi="仿宋" w:hint="eastAsia"/>
          <w:sz w:val="28"/>
          <w:szCs w:val="28"/>
        </w:rPr>
        <w:t xml:space="preserve"> </w:t>
      </w:r>
      <w:r w:rsidRPr="00966497">
        <w:rPr>
          <w:rFonts w:ascii="仿宋" w:eastAsia="仿宋" w:hAnsi="仿宋"/>
          <w:sz w:val="28"/>
          <w:szCs w:val="28"/>
        </w:rPr>
        <w:t xml:space="preserve"> </w:t>
      </w:r>
      <w:r w:rsidRPr="00966497">
        <w:rPr>
          <w:rFonts w:ascii="仿宋" w:eastAsia="仿宋" w:hAnsi="仿宋"/>
          <w:sz w:val="28"/>
          <w:szCs w:val="28"/>
        </w:rPr>
        <w:sym w:font="Wingdings 2" w:char="F052"/>
      </w:r>
      <w:r w:rsidRPr="00966497">
        <w:rPr>
          <w:rFonts w:ascii="仿宋" w:eastAsia="仿宋" w:hAnsi="仿宋"/>
          <w:sz w:val="28"/>
          <w:szCs w:val="28"/>
        </w:rPr>
        <w:t>不适用</w:t>
      </w:r>
    </w:p>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19" w:name="_Toc989107"/>
      <w:r w:rsidRPr="00966497">
        <w:rPr>
          <w:rFonts w:ascii="仿宋" w:eastAsia="仿宋" w:hAnsi="仿宋"/>
          <w:b/>
          <w:sz w:val="28"/>
          <w:szCs w:val="28"/>
        </w:rPr>
        <w:t>18、油气资产</w:t>
      </w:r>
      <w:bookmarkEnd w:id="219"/>
    </w:p>
    <w:p w:rsidR="00B13593" w:rsidRPr="00966497" w:rsidRDefault="00B13F8C" w:rsidP="00966497">
      <w:pPr>
        <w:pStyle w:val="a3"/>
        <w:widowControl w:val="0"/>
        <w:spacing w:before="0" w:beforeAutospacing="0" w:after="0" w:afterAutospacing="0" w:line="560" w:lineRule="exact"/>
        <w:ind w:firstLineChars="200" w:firstLine="560"/>
        <w:jc w:val="both"/>
        <w:rPr>
          <w:rFonts w:ascii="仿宋" w:eastAsia="仿宋" w:hAnsi="仿宋"/>
          <w:sz w:val="28"/>
          <w:szCs w:val="28"/>
        </w:rPr>
      </w:pPr>
      <w:r w:rsidRPr="00966497">
        <w:rPr>
          <w:rFonts w:ascii="仿宋" w:eastAsia="仿宋" w:hAnsi="仿宋"/>
          <w:sz w:val="28"/>
          <w:szCs w:val="28"/>
        </w:rPr>
        <w:lastRenderedPageBreak/>
        <w:t xml:space="preserve">□适用 </w:t>
      </w:r>
      <w:r w:rsidR="00966497">
        <w:rPr>
          <w:rFonts w:ascii="仿宋" w:eastAsia="仿宋" w:hAnsi="仿宋" w:hint="eastAsia"/>
          <w:sz w:val="28"/>
          <w:szCs w:val="28"/>
        </w:rPr>
        <w:t xml:space="preserve"> </w:t>
      </w:r>
      <w:r w:rsidRPr="00966497">
        <w:rPr>
          <w:rFonts w:ascii="仿宋" w:eastAsia="仿宋" w:hAnsi="仿宋"/>
          <w:sz w:val="28"/>
          <w:szCs w:val="28"/>
        </w:rPr>
        <w:sym w:font="Wingdings 2" w:char="F052"/>
      </w:r>
      <w:r w:rsidRPr="00966497">
        <w:rPr>
          <w:rFonts w:ascii="仿宋" w:eastAsia="仿宋" w:hAnsi="仿宋"/>
          <w:sz w:val="28"/>
          <w:szCs w:val="28"/>
        </w:rPr>
        <w:t>不适用</w:t>
      </w:r>
    </w:p>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20" w:name="_Toc989108"/>
      <w:r w:rsidRPr="00966497">
        <w:rPr>
          <w:rFonts w:ascii="仿宋" w:eastAsia="仿宋" w:hAnsi="仿宋"/>
          <w:b/>
          <w:sz w:val="28"/>
          <w:szCs w:val="28"/>
        </w:rPr>
        <w:t>19、使用权资产</w:t>
      </w:r>
      <w:bookmarkEnd w:id="22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运输工具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63,926,946.15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172,978.22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64,099,924.37</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63,926,946.15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172,978.22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64,099,924.37</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6,316,877.97</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122,526.25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6,439,404.22</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2,072,768.26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43,244.58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2,116,012.84</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2,072,768.26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43,244.58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2,116,012.84</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8,389,646.23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165,770.83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8,555,417.06</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55,537,299.92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7,207.39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55,544,507.31</w:t>
            </w:r>
          </w:p>
        </w:tc>
      </w:tr>
      <w:tr w:rsidR="00B13593" w:rsidTr="00966497">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57,610,068.18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50,451.97</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57,660,520.15</w:t>
            </w:r>
          </w:p>
        </w:tc>
      </w:tr>
    </w:tbl>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21" w:name="_Toc989109"/>
      <w:r w:rsidRPr="00966497">
        <w:rPr>
          <w:rFonts w:ascii="仿宋" w:eastAsia="仿宋" w:hAnsi="仿宋"/>
          <w:b/>
          <w:sz w:val="28"/>
          <w:szCs w:val="28"/>
        </w:rPr>
        <w:t>20、无形资产</w:t>
      </w:r>
      <w:bookmarkEnd w:id="221"/>
    </w:p>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22" w:name="_Toc989110"/>
      <w:r w:rsidRPr="00966497">
        <w:rPr>
          <w:rFonts w:ascii="仿宋" w:eastAsia="仿宋" w:hAnsi="仿宋"/>
          <w:b/>
          <w:sz w:val="28"/>
          <w:szCs w:val="28"/>
        </w:rPr>
        <w:t>无形资产情况</w:t>
      </w:r>
      <w:bookmarkEnd w:id="22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809"/>
        <w:gridCol w:w="1403"/>
        <w:gridCol w:w="1606"/>
        <w:gridCol w:w="1607"/>
        <w:gridCol w:w="1607"/>
        <w:gridCol w:w="1607"/>
      </w:tblGrid>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4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专利权</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非专利技术</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软件</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一、账面原值</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2,500,980.42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35,003,030.73</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2,091,024.01</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39,595,035.16</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1,772,441.65</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1,772,441.65</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（1）购置</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（2）内部研发</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（3）企业合并增加</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1,772,441.65</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1,772,441.65</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（1）处置</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2,500,980.42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36,775,472.38</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2,091,024.01</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41,367,476.81</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二、累计摊销</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1,331,805.96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26,470,715.37</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840,565.15</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28,643,086.48</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25,009.80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1,224,809.69</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96,986.76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1,346,806.25</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lastRenderedPageBreak/>
              <w:t>（1）计提</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25,009.80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686,457.17</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96,986.76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808,453.73</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（2）企业合并增加</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538,352.52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538,352.52</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（1）处置</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1,356,815.76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27,695,525.06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937,551.91</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29,989,892.73</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三、减值准备</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1.期初余额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2.本期增加金额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（1）计提</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3.本期减少金额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（1）处置</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4.期末余额</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四、账面价值</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1.期末账面价值</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1,144,164.66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9,079,947.32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1,153,472.10</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11,377,584.08</w:t>
            </w:r>
          </w:p>
        </w:tc>
      </w:tr>
      <w:tr w:rsidR="00B13593" w:rsidTr="00966497">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2.期初账面价值</w:t>
            </w:r>
          </w:p>
        </w:tc>
        <w:tc>
          <w:tcPr>
            <w:tcW w:w="140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1,169,174.46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8,532,315.36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1,250,458.86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10,951,948.68</w:t>
            </w:r>
          </w:p>
        </w:tc>
      </w:tr>
    </w:tbl>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23" w:name="_Toc989111"/>
      <w:r w:rsidRPr="00966497">
        <w:rPr>
          <w:rFonts w:ascii="仿宋" w:eastAsia="仿宋" w:hAnsi="仿宋"/>
          <w:b/>
          <w:sz w:val="28"/>
          <w:szCs w:val="28"/>
        </w:rPr>
        <w:t>21、商誉</w:t>
      </w:r>
      <w:bookmarkEnd w:id="223"/>
    </w:p>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24" w:name="_Toc989112"/>
      <w:r w:rsidRPr="00966497">
        <w:rPr>
          <w:rFonts w:ascii="仿宋" w:eastAsia="仿宋" w:hAnsi="仿宋"/>
          <w:b/>
          <w:sz w:val="28"/>
          <w:szCs w:val="28"/>
        </w:rPr>
        <w:t>（1）商誉账面原值</w:t>
      </w:r>
      <w:bookmarkEnd w:id="22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566"/>
        <w:gridCol w:w="1188"/>
        <w:gridCol w:w="1377"/>
        <w:gridCol w:w="1377"/>
        <w:gridCol w:w="1161"/>
        <w:gridCol w:w="1593"/>
      </w:tblGrid>
      <w:tr w:rsidR="00B13593" w:rsidTr="0096649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256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253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rsidTr="0096649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966497">
            <w:pPr>
              <w:spacing w:line="30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966497">
            <w:pPr>
              <w:spacing w:line="300" w:lineRule="exact"/>
            </w:pP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处置</w:t>
            </w: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center"/>
              <w:rPr>
                <w:rFonts w:ascii="宋体" w:eastAsia="宋体" w:hAnsi="宋体" w:cs="宋体"/>
                <w:sz w:val="18"/>
                <w:szCs w:val="18"/>
              </w:rPr>
            </w:pP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966497">
            <w:pPr>
              <w:spacing w:line="300" w:lineRule="exact"/>
            </w:pPr>
          </w:p>
        </w:tc>
      </w:tr>
      <w:tr w:rsidR="00B13593" w:rsidTr="0096649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升华电源</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545,192,684.72</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545,192,684.72</w:t>
            </w:r>
          </w:p>
        </w:tc>
      </w:tr>
      <w:tr w:rsidR="00B13593" w:rsidTr="0096649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沈阳含能</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162,739,328.07</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162,739,328.07</w:t>
            </w:r>
          </w:p>
        </w:tc>
      </w:tr>
      <w:tr w:rsidR="00B13593" w:rsidTr="0096649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沈阳非晶</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68,361,708.64</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68,361,708.64</w:t>
            </w:r>
          </w:p>
        </w:tc>
      </w:tr>
      <w:tr w:rsidR="00B13593" w:rsidTr="0096649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rPr>
                <w:rFonts w:ascii="宋体" w:eastAsia="宋体" w:hAnsi="宋体" w:cs="宋体"/>
                <w:sz w:val="18"/>
                <w:szCs w:val="18"/>
              </w:rPr>
            </w:pPr>
            <w:r>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776,293,721.43</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966497">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966497">
            <w:pPr>
              <w:spacing w:line="300" w:lineRule="exact"/>
              <w:jc w:val="right"/>
              <w:rPr>
                <w:rFonts w:ascii="宋体" w:eastAsia="宋体" w:hAnsi="宋体" w:cs="宋体"/>
                <w:sz w:val="18"/>
                <w:szCs w:val="18"/>
              </w:rPr>
            </w:pPr>
            <w:r>
              <w:rPr>
                <w:rFonts w:ascii="宋体" w:eastAsia="宋体" w:hAnsi="宋体" w:cs="宋体"/>
                <w:sz w:val="18"/>
                <w:szCs w:val="18"/>
              </w:rPr>
              <w:t>776,293,721.43</w:t>
            </w:r>
          </w:p>
        </w:tc>
      </w:tr>
    </w:tbl>
    <w:p w:rsidR="00B13593" w:rsidRP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225" w:name="_Toc989113"/>
      <w:r w:rsidRPr="00966497">
        <w:rPr>
          <w:rFonts w:ascii="仿宋" w:eastAsia="仿宋" w:hAnsi="仿宋"/>
          <w:b/>
          <w:sz w:val="28"/>
          <w:szCs w:val="28"/>
        </w:rPr>
        <w:t>（2）商誉减值准备</w:t>
      </w:r>
      <w:bookmarkEnd w:id="22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566"/>
        <w:gridCol w:w="2565"/>
        <w:gridCol w:w="2538"/>
        <w:gridCol w:w="1593"/>
      </w:tblGrid>
      <w:tr w:rsidR="00B13593" w:rsidTr="0096649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256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253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966497">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966497" w:rsidTr="00DE1FC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966497" w:rsidRDefault="00966497" w:rsidP="00966497">
            <w:pPr>
              <w:spacing w:line="30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966497" w:rsidRDefault="00966497" w:rsidP="00966497">
            <w:pPr>
              <w:spacing w:line="300" w:lineRule="exact"/>
            </w:pPr>
          </w:p>
        </w:tc>
        <w:tc>
          <w:tcPr>
            <w:tcW w:w="2565" w:type="dxa"/>
            <w:tcBorders>
              <w:top w:val="single" w:sz="2" w:space="0" w:color="auto"/>
              <w:left w:val="single" w:sz="2" w:space="0" w:color="auto"/>
              <w:bottom w:val="single" w:sz="2" w:space="0" w:color="auto"/>
              <w:right w:val="single" w:sz="2" w:space="0" w:color="auto"/>
            </w:tcBorders>
            <w:shd w:val="clear" w:color="auto" w:fill="D3D3D3"/>
            <w:vAlign w:val="center"/>
          </w:tcPr>
          <w:p w:rsidR="00966497" w:rsidRDefault="00966497" w:rsidP="00966497">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2538" w:type="dxa"/>
            <w:tcBorders>
              <w:top w:val="single" w:sz="2" w:space="0" w:color="auto"/>
              <w:left w:val="single" w:sz="2" w:space="0" w:color="auto"/>
              <w:bottom w:val="single" w:sz="2" w:space="0" w:color="auto"/>
              <w:right w:val="single" w:sz="2" w:space="0" w:color="auto"/>
            </w:tcBorders>
            <w:shd w:val="clear" w:color="auto" w:fill="D3D3D3"/>
            <w:vAlign w:val="center"/>
          </w:tcPr>
          <w:p w:rsidR="00966497" w:rsidRDefault="00966497" w:rsidP="00966497">
            <w:pPr>
              <w:spacing w:line="300" w:lineRule="exact"/>
              <w:jc w:val="center"/>
              <w:rPr>
                <w:rFonts w:ascii="宋体" w:eastAsia="宋体" w:hAnsi="宋体" w:cs="宋体"/>
                <w:sz w:val="18"/>
                <w:szCs w:val="18"/>
              </w:rPr>
            </w:pPr>
            <w:r>
              <w:rPr>
                <w:rFonts w:ascii="宋体" w:eastAsia="宋体" w:hAnsi="宋体" w:cs="宋体"/>
                <w:sz w:val="18"/>
                <w:szCs w:val="18"/>
              </w:rPr>
              <w:t>处置</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966497" w:rsidRDefault="00966497" w:rsidP="00966497">
            <w:pPr>
              <w:spacing w:line="300" w:lineRule="exact"/>
            </w:pPr>
          </w:p>
        </w:tc>
      </w:tr>
      <w:tr w:rsidR="00966497" w:rsidTr="00DE1FC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rPr>
                <w:rFonts w:ascii="宋体" w:eastAsia="宋体" w:hAnsi="宋体" w:cs="宋体"/>
                <w:sz w:val="18"/>
                <w:szCs w:val="18"/>
              </w:rPr>
            </w:pPr>
            <w:r>
              <w:rPr>
                <w:rFonts w:ascii="宋体" w:eastAsia="宋体" w:hAnsi="宋体" w:cs="宋体"/>
                <w:sz w:val="18"/>
                <w:szCs w:val="18"/>
              </w:rPr>
              <w:t>沈阳含能</w:t>
            </w:r>
          </w:p>
        </w:tc>
        <w:tc>
          <w:tcPr>
            <w:tcW w:w="1566"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r>
              <w:rPr>
                <w:rFonts w:ascii="宋体" w:eastAsia="宋体" w:hAnsi="宋体" w:cs="宋体"/>
                <w:sz w:val="18"/>
                <w:szCs w:val="18"/>
              </w:rPr>
              <w:t>57,668,942.23</w:t>
            </w:r>
          </w:p>
        </w:tc>
        <w:tc>
          <w:tcPr>
            <w:tcW w:w="2565"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p>
        </w:tc>
        <w:tc>
          <w:tcPr>
            <w:tcW w:w="2538"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r>
              <w:rPr>
                <w:rFonts w:ascii="宋体" w:eastAsia="宋体" w:hAnsi="宋体" w:cs="宋体"/>
                <w:sz w:val="18"/>
                <w:szCs w:val="18"/>
              </w:rPr>
              <w:t>57,668,942.23</w:t>
            </w:r>
          </w:p>
        </w:tc>
      </w:tr>
      <w:tr w:rsidR="00966497" w:rsidTr="00DE1FC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966497" w:rsidRDefault="00966497" w:rsidP="00966497">
            <w:pPr>
              <w:spacing w:line="300" w:lineRule="exact"/>
              <w:rPr>
                <w:rFonts w:ascii="宋体" w:eastAsia="宋体" w:hAnsi="宋体" w:cs="宋体"/>
                <w:sz w:val="18"/>
                <w:szCs w:val="18"/>
              </w:rPr>
            </w:pPr>
            <w:r>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r>
              <w:rPr>
                <w:rFonts w:ascii="宋体" w:eastAsia="宋体" w:hAnsi="宋体" w:cs="宋体"/>
                <w:sz w:val="18"/>
                <w:szCs w:val="18"/>
              </w:rPr>
              <w:t>57,668,942.23</w:t>
            </w:r>
          </w:p>
        </w:tc>
        <w:tc>
          <w:tcPr>
            <w:tcW w:w="2565"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p>
        </w:tc>
        <w:tc>
          <w:tcPr>
            <w:tcW w:w="2538"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966497" w:rsidRDefault="00966497" w:rsidP="00966497">
            <w:pPr>
              <w:spacing w:line="300" w:lineRule="exact"/>
              <w:jc w:val="right"/>
              <w:rPr>
                <w:rFonts w:ascii="宋体" w:eastAsia="宋体" w:hAnsi="宋体" w:cs="宋体"/>
                <w:sz w:val="18"/>
                <w:szCs w:val="18"/>
              </w:rPr>
            </w:pPr>
            <w:r>
              <w:rPr>
                <w:rFonts w:ascii="宋体" w:eastAsia="宋体" w:hAnsi="宋体" w:cs="宋体"/>
                <w:sz w:val="18"/>
                <w:szCs w:val="18"/>
              </w:rPr>
              <w:t>57,668,942.23</w:t>
            </w:r>
          </w:p>
        </w:tc>
      </w:tr>
    </w:tbl>
    <w:p w:rsid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966497">
        <w:rPr>
          <w:rFonts w:ascii="仿宋" w:eastAsia="仿宋" w:hAnsi="仿宋"/>
          <w:b/>
          <w:sz w:val="28"/>
          <w:szCs w:val="28"/>
        </w:rPr>
        <w:t>商誉所在资产组或资产组组合的相关信息</w:t>
      </w:r>
    </w:p>
    <w:p w:rsidR="00B13593" w:rsidRPr="00966497" w:rsidRDefault="00B13593"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r>
        <w:rPr>
          <w:rStyle w:val="a4"/>
          <w:rFonts w:ascii="仿宋" w:eastAsia="仿宋" w:hAnsi="仿宋" w:hint="eastAsia"/>
          <w:sz w:val="28"/>
          <w:szCs w:val="28"/>
        </w:rPr>
        <w:t>上述公司商誉减值测试的资产组或资产组组合的构成情况如下：</w:t>
      </w:r>
    </w:p>
    <w:tbl>
      <w:tblPr>
        <w:tblW w:w="9003" w:type="dxa"/>
        <w:tblCellMar>
          <w:left w:w="0" w:type="dxa"/>
          <w:right w:w="0" w:type="dxa"/>
        </w:tblCellMar>
        <w:tblLook w:val="04A0"/>
      </w:tblPr>
      <w:tblGrid>
        <w:gridCol w:w="1143"/>
        <w:gridCol w:w="7860"/>
      </w:tblGrid>
      <w:tr w:rsidR="00B13593">
        <w:trPr>
          <w:divId w:val="1654749062"/>
          <w:trHeight w:val="369"/>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center"/>
            </w:pPr>
            <w:r>
              <w:rPr>
                <w:rStyle w:val="a4"/>
                <w:rFonts w:hint="eastAsia"/>
                <w:sz w:val="21"/>
                <w:szCs w:val="21"/>
              </w:rPr>
              <w:t>项目</w:t>
            </w:r>
          </w:p>
        </w:tc>
        <w:tc>
          <w:tcPr>
            <w:tcW w:w="7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center"/>
            </w:pPr>
            <w:r>
              <w:rPr>
                <w:rStyle w:val="a4"/>
                <w:rFonts w:hint="eastAsia"/>
                <w:sz w:val="21"/>
                <w:szCs w:val="21"/>
              </w:rPr>
              <w:t>构成</w:t>
            </w:r>
          </w:p>
        </w:tc>
      </w:tr>
      <w:tr w:rsidR="00B13593">
        <w:trPr>
          <w:divId w:val="1654749062"/>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both"/>
            </w:pPr>
            <w:r>
              <w:rPr>
                <w:rFonts w:hint="eastAsia"/>
                <w:sz w:val="21"/>
                <w:szCs w:val="21"/>
              </w:rPr>
              <w:t>升华电源</w:t>
            </w:r>
          </w:p>
        </w:tc>
        <w:tc>
          <w:tcPr>
            <w:tcW w:w="7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both"/>
            </w:pPr>
            <w:r>
              <w:rPr>
                <w:rFonts w:hint="eastAsia"/>
                <w:sz w:val="21"/>
                <w:szCs w:val="21"/>
              </w:rPr>
              <w:t>升华电源形成商誉的资产组涉及的资产，该资产组与购买日所确定的资产组一致。</w:t>
            </w:r>
          </w:p>
        </w:tc>
      </w:tr>
      <w:tr w:rsidR="00B13593">
        <w:trPr>
          <w:divId w:val="1654749062"/>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both"/>
            </w:pPr>
            <w:r>
              <w:rPr>
                <w:rFonts w:hint="eastAsia"/>
                <w:sz w:val="21"/>
                <w:szCs w:val="21"/>
              </w:rPr>
              <w:t>沈阳含能</w:t>
            </w:r>
          </w:p>
        </w:tc>
        <w:tc>
          <w:tcPr>
            <w:tcW w:w="7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both"/>
            </w:pPr>
            <w:r>
              <w:rPr>
                <w:rFonts w:hint="eastAsia"/>
                <w:sz w:val="21"/>
                <w:szCs w:val="21"/>
              </w:rPr>
              <w:t>沈阳含能形成商誉的资产组涉及的资产，该资产组与购买日所确定的资产组一致。</w:t>
            </w:r>
          </w:p>
        </w:tc>
      </w:tr>
      <w:tr w:rsidR="00B13593">
        <w:trPr>
          <w:divId w:val="1654749062"/>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both"/>
            </w:pPr>
            <w:r>
              <w:rPr>
                <w:rFonts w:hint="eastAsia"/>
                <w:sz w:val="21"/>
                <w:szCs w:val="21"/>
              </w:rPr>
              <w:t>沈阳非晶</w:t>
            </w:r>
          </w:p>
        </w:tc>
        <w:tc>
          <w:tcPr>
            <w:tcW w:w="7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966497">
            <w:pPr>
              <w:pStyle w:val="a3"/>
              <w:widowControl w:val="0"/>
              <w:spacing w:before="0" w:beforeAutospacing="0" w:after="0" w:afterAutospacing="0" w:line="360" w:lineRule="exact"/>
              <w:jc w:val="both"/>
            </w:pPr>
            <w:r>
              <w:rPr>
                <w:rFonts w:hint="eastAsia"/>
                <w:sz w:val="21"/>
                <w:szCs w:val="21"/>
              </w:rPr>
              <w:t>沈阳非晶形成商誉的资产组涉及的资产，该资产组与购买日所确定的资产组一致。</w:t>
            </w:r>
          </w:p>
        </w:tc>
      </w:tr>
    </w:tbl>
    <w:p w:rsidR="00966497" w:rsidRDefault="00B13F8C"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r w:rsidRPr="00966497">
        <w:rPr>
          <w:rFonts w:ascii="仿宋" w:eastAsia="仿宋" w:hAnsi="仿宋"/>
          <w:b/>
          <w:sz w:val="28"/>
          <w:szCs w:val="28"/>
        </w:rPr>
        <w:t>说明商誉减值测试过程、关键参数（如预计未来现金流量现值时的预测</w:t>
      </w:r>
      <w:r w:rsidRPr="00966497">
        <w:rPr>
          <w:rFonts w:ascii="仿宋" w:eastAsia="仿宋" w:hAnsi="仿宋"/>
          <w:b/>
          <w:sz w:val="28"/>
          <w:szCs w:val="28"/>
        </w:rPr>
        <w:lastRenderedPageBreak/>
        <w:t>期增长率、稳定期增长率、利润率、折现率、预测期等）及商誉减值损失的确认方法：</w:t>
      </w:r>
    </w:p>
    <w:p w:rsidR="00B13593" w:rsidRPr="00966497" w:rsidRDefault="00B13593" w:rsidP="00966497">
      <w:pPr>
        <w:pStyle w:val="a3"/>
        <w:widowControl w:val="0"/>
        <w:spacing w:before="0" w:beforeAutospacing="0" w:after="0" w:afterAutospacing="0" w:line="560" w:lineRule="exact"/>
        <w:ind w:firstLineChars="200" w:firstLine="562"/>
        <w:jc w:val="both"/>
        <w:rPr>
          <w:rFonts w:ascii="仿宋" w:eastAsia="仿宋" w:hAnsi="仿宋"/>
          <w:b/>
          <w:sz w:val="28"/>
          <w:szCs w:val="28"/>
        </w:rPr>
      </w:pPr>
      <w:r>
        <w:rPr>
          <w:rStyle w:val="a4"/>
          <w:rFonts w:ascii="仿宋" w:eastAsia="仿宋" w:hAnsi="仿宋" w:hint="eastAsia"/>
          <w:sz w:val="28"/>
          <w:szCs w:val="28"/>
        </w:rPr>
        <w:t>1）可收回金额的确定方法</w:t>
      </w:r>
    </w:p>
    <w:tbl>
      <w:tblPr>
        <w:tblW w:w="8931" w:type="dxa"/>
        <w:tblCellMar>
          <w:left w:w="0" w:type="dxa"/>
          <w:right w:w="0" w:type="dxa"/>
        </w:tblCellMar>
        <w:tblLook w:val="04A0"/>
      </w:tblPr>
      <w:tblGrid>
        <w:gridCol w:w="1843"/>
        <w:gridCol w:w="7088"/>
      </w:tblGrid>
      <w:tr w:rsidR="00B13593">
        <w:trPr>
          <w:divId w:val="1587689361"/>
          <w:trHeight w:val="369"/>
          <w:tblHeader/>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Style w:val="a4"/>
                <w:rFonts w:hint="eastAsia"/>
                <w:sz w:val="21"/>
                <w:szCs w:val="21"/>
              </w:rPr>
              <w:t>项目</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Style w:val="a4"/>
                <w:rFonts w:hint="eastAsia"/>
                <w:sz w:val="21"/>
                <w:szCs w:val="21"/>
              </w:rPr>
              <w:t>可收回金额的确定方法</w:t>
            </w:r>
          </w:p>
        </w:tc>
      </w:tr>
      <w:tr w:rsidR="00B13593">
        <w:trPr>
          <w:divId w:val="1587689361"/>
          <w:trHeight w:val="36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both"/>
            </w:pPr>
            <w:r>
              <w:rPr>
                <w:rFonts w:hint="eastAsia"/>
                <w:sz w:val="21"/>
                <w:szCs w:val="21"/>
              </w:rPr>
              <w:t>升华电源</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资产组预计未来现金流量的现值</w:t>
            </w:r>
          </w:p>
        </w:tc>
      </w:tr>
      <w:tr w:rsidR="00B13593">
        <w:trPr>
          <w:divId w:val="1587689361"/>
          <w:trHeight w:val="36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both"/>
            </w:pPr>
            <w:r>
              <w:rPr>
                <w:rFonts w:hint="eastAsia"/>
                <w:sz w:val="21"/>
                <w:szCs w:val="21"/>
              </w:rPr>
              <w:t>沈阳含能</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资产组预计未来现金流量的现值</w:t>
            </w:r>
          </w:p>
        </w:tc>
      </w:tr>
      <w:tr w:rsidR="00B13593">
        <w:trPr>
          <w:divId w:val="1587689361"/>
          <w:trHeight w:val="36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both"/>
            </w:pPr>
            <w:r>
              <w:rPr>
                <w:rFonts w:hint="eastAsia"/>
                <w:sz w:val="21"/>
                <w:szCs w:val="21"/>
              </w:rPr>
              <w:t>沈阳非晶</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资产组预计未来现金流量的现值</w:t>
            </w:r>
          </w:p>
        </w:tc>
      </w:tr>
    </w:tbl>
    <w:p w:rsidR="00B13593" w:rsidRPr="00966497" w:rsidRDefault="00B13593" w:rsidP="00966497">
      <w:pPr>
        <w:pStyle w:val="a3"/>
        <w:widowControl w:val="0"/>
        <w:spacing w:before="0" w:beforeAutospacing="0" w:after="0" w:afterAutospacing="0" w:line="560" w:lineRule="exact"/>
        <w:ind w:firstLineChars="200" w:firstLine="562"/>
        <w:jc w:val="both"/>
        <w:divId w:val="1587689361"/>
        <w:rPr>
          <w:rStyle w:val="a4"/>
          <w:rFonts w:ascii="仿宋" w:eastAsia="仿宋" w:hAnsi="仿宋"/>
          <w:sz w:val="28"/>
          <w:szCs w:val="28"/>
        </w:rPr>
      </w:pPr>
      <w:r>
        <w:rPr>
          <w:rStyle w:val="a4"/>
          <w:rFonts w:ascii="仿宋" w:eastAsia="仿宋" w:hAnsi="仿宋" w:hint="eastAsia"/>
          <w:sz w:val="28"/>
          <w:szCs w:val="28"/>
        </w:rPr>
        <w:t>2）重要假设及依据</w:t>
      </w:r>
    </w:p>
    <w:p w:rsidR="00B13593" w:rsidRPr="00966497" w:rsidRDefault="00B13593" w:rsidP="00966497">
      <w:pPr>
        <w:pStyle w:val="a3"/>
        <w:widowControl w:val="0"/>
        <w:spacing w:before="0" w:beforeAutospacing="0" w:after="0" w:afterAutospacing="0" w:line="560" w:lineRule="exact"/>
        <w:ind w:firstLineChars="200" w:firstLine="560"/>
        <w:jc w:val="both"/>
        <w:divId w:val="1587689361"/>
        <w:rPr>
          <w:rStyle w:val="a4"/>
          <w:rFonts w:ascii="仿宋" w:eastAsia="仿宋" w:hAnsi="仿宋"/>
          <w:b w:val="0"/>
          <w:sz w:val="28"/>
          <w:szCs w:val="28"/>
        </w:rPr>
      </w:pPr>
      <w:r w:rsidRPr="00966497">
        <w:rPr>
          <w:rStyle w:val="a4"/>
          <w:rFonts w:ascii="仿宋" w:eastAsia="仿宋" w:hAnsi="仿宋" w:hint="eastAsia"/>
          <w:b w:val="0"/>
          <w:sz w:val="28"/>
          <w:szCs w:val="28"/>
        </w:rPr>
        <w:t>资产组的可收回金额均采用资产组的预计未来现金流量的现值；采用未来现金流量折现方法的重要假设及依据为：根据管理层批准的5年期的财务预算基础上的现金流量预测来确定。</w:t>
      </w:r>
    </w:p>
    <w:p w:rsidR="00B13593" w:rsidRPr="00966497" w:rsidRDefault="00B13593" w:rsidP="00966497">
      <w:pPr>
        <w:pStyle w:val="a3"/>
        <w:widowControl w:val="0"/>
        <w:spacing w:before="0" w:beforeAutospacing="0" w:after="0" w:afterAutospacing="0" w:line="560" w:lineRule="exact"/>
        <w:ind w:firstLineChars="200" w:firstLine="562"/>
        <w:jc w:val="both"/>
        <w:divId w:val="1587689361"/>
        <w:rPr>
          <w:rStyle w:val="a4"/>
          <w:rFonts w:ascii="仿宋" w:eastAsia="仿宋" w:hAnsi="仿宋"/>
          <w:sz w:val="28"/>
          <w:szCs w:val="28"/>
        </w:rPr>
      </w:pPr>
      <w:r>
        <w:rPr>
          <w:rStyle w:val="a4"/>
          <w:rFonts w:ascii="仿宋" w:eastAsia="仿宋" w:hAnsi="仿宋" w:hint="eastAsia"/>
          <w:sz w:val="28"/>
          <w:szCs w:val="28"/>
        </w:rPr>
        <w:t>3）关键参数</w:t>
      </w:r>
    </w:p>
    <w:tbl>
      <w:tblPr>
        <w:tblW w:w="8685" w:type="dxa"/>
        <w:tblCellMar>
          <w:left w:w="0" w:type="dxa"/>
          <w:right w:w="0" w:type="dxa"/>
        </w:tblCellMar>
        <w:tblLook w:val="04A0"/>
      </w:tblPr>
      <w:tblGrid>
        <w:gridCol w:w="1134"/>
        <w:gridCol w:w="1510"/>
        <w:gridCol w:w="1510"/>
        <w:gridCol w:w="1510"/>
        <w:gridCol w:w="1707"/>
        <w:gridCol w:w="1314"/>
      </w:tblGrid>
      <w:tr w:rsidR="00B13593">
        <w:trPr>
          <w:divId w:val="1587689361"/>
          <w:trHeight w:val="369"/>
          <w:tblHead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both"/>
            </w:pPr>
            <w:r>
              <w:rPr>
                <w:rFonts w:hint="eastAsia"/>
                <w:sz w:val="21"/>
                <w:szCs w:val="21"/>
              </w:rPr>
              <w:t>项目</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napToGrid w:val="0"/>
                <w:sz w:val="21"/>
                <w:szCs w:val="21"/>
              </w:rPr>
              <w:t>预测期</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预测期增长率</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稳定期增长率</w:t>
            </w:r>
          </w:p>
        </w:tc>
        <w:tc>
          <w:tcPr>
            <w:tcW w:w="17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利润率</w:t>
            </w:r>
          </w:p>
        </w:tc>
        <w:tc>
          <w:tcPr>
            <w:tcW w:w="13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折现率</w:t>
            </w:r>
          </w:p>
        </w:tc>
      </w:tr>
      <w:tr w:rsidR="00B13593">
        <w:trPr>
          <w:divId w:val="1587689361"/>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both"/>
            </w:pPr>
            <w:r>
              <w:rPr>
                <w:rFonts w:hint="eastAsia"/>
                <w:sz w:val="21"/>
                <w:szCs w:val="21"/>
              </w:rPr>
              <w:t>升华电源</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ascii="Times New Roman" w:hAnsi="Times New Roman" w:cs="Times New Roman"/>
                <w:sz w:val="21"/>
                <w:szCs w:val="21"/>
              </w:rPr>
              <w:t>2023-2027</w:t>
            </w:r>
            <w:r>
              <w:rPr>
                <w:rFonts w:hint="eastAsia"/>
                <w:sz w:val="21"/>
                <w:szCs w:val="21"/>
              </w:rPr>
              <w:t>年</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注</w:t>
            </w:r>
            <w:r>
              <w:rPr>
                <w:rFonts w:ascii="Times New Roman" w:hAnsi="Times New Roman" w:cs="Times New Roman"/>
                <w:sz w:val="21"/>
                <w:szCs w:val="21"/>
              </w:rPr>
              <w:t>1</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ascii="Times New Roman" w:hAnsi="Times New Roman" w:cs="Times New Roman"/>
                <w:sz w:val="21"/>
                <w:szCs w:val="21"/>
              </w:rPr>
              <w:t>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line="360" w:lineRule="atLeast"/>
              <w:jc w:val="right"/>
            </w:pPr>
            <w:r>
              <w:rPr>
                <w:rFonts w:ascii="Times New Roman" w:hAnsi="Times New Roman" w:cs="Times New Roman"/>
                <w:sz w:val="21"/>
                <w:szCs w:val="21"/>
              </w:rPr>
              <w:t>34.99%-36.22%</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line="360" w:lineRule="atLeast"/>
              <w:jc w:val="right"/>
            </w:pPr>
            <w:r>
              <w:rPr>
                <w:rFonts w:ascii="Times New Roman" w:hAnsi="Times New Roman" w:cs="Times New Roman"/>
                <w:sz w:val="21"/>
                <w:szCs w:val="21"/>
              </w:rPr>
              <w:t>12.11%</w:t>
            </w:r>
          </w:p>
        </w:tc>
      </w:tr>
      <w:tr w:rsidR="00B13593">
        <w:trPr>
          <w:divId w:val="1587689361"/>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both"/>
            </w:pPr>
            <w:r>
              <w:rPr>
                <w:rFonts w:hint="eastAsia"/>
                <w:sz w:val="21"/>
                <w:szCs w:val="21"/>
              </w:rPr>
              <w:t>沈阳含能</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ascii="Times New Roman" w:hAnsi="Times New Roman" w:cs="Times New Roman"/>
                <w:sz w:val="21"/>
                <w:szCs w:val="21"/>
              </w:rPr>
              <w:t>2023-2027</w:t>
            </w:r>
            <w:r>
              <w:rPr>
                <w:rFonts w:hint="eastAsia"/>
                <w:sz w:val="21"/>
                <w:szCs w:val="21"/>
              </w:rPr>
              <w:t>年</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注</w:t>
            </w:r>
            <w:r>
              <w:rPr>
                <w:rFonts w:ascii="Times New Roman" w:hAnsi="Times New Roman" w:cs="Times New Roman"/>
                <w:sz w:val="21"/>
                <w:szCs w:val="21"/>
              </w:rPr>
              <w:t>2</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ascii="Times New Roman" w:hAnsi="Times New Roman" w:cs="Times New Roman"/>
                <w:sz w:val="21"/>
                <w:szCs w:val="21"/>
              </w:rPr>
              <w:t>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line="360" w:lineRule="atLeast"/>
              <w:jc w:val="right"/>
            </w:pPr>
            <w:r>
              <w:rPr>
                <w:rFonts w:ascii="Times New Roman" w:hAnsi="Times New Roman" w:cs="Times New Roman"/>
                <w:sz w:val="21"/>
                <w:szCs w:val="21"/>
              </w:rPr>
              <w:t>24.26%-30.36%</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line="360" w:lineRule="atLeast"/>
              <w:jc w:val="right"/>
            </w:pPr>
            <w:r>
              <w:rPr>
                <w:rFonts w:ascii="Times New Roman" w:hAnsi="Times New Roman" w:cs="Times New Roman"/>
                <w:sz w:val="21"/>
                <w:szCs w:val="21"/>
              </w:rPr>
              <w:t>12.02%</w:t>
            </w:r>
          </w:p>
        </w:tc>
      </w:tr>
      <w:tr w:rsidR="00B13593">
        <w:trPr>
          <w:divId w:val="1587689361"/>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both"/>
            </w:pPr>
            <w:r>
              <w:rPr>
                <w:rFonts w:hint="eastAsia"/>
                <w:sz w:val="21"/>
                <w:szCs w:val="21"/>
              </w:rPr>
              <w:t>沈阳非晶</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ascii="Times New Roman" w:hAnsi="Times New Roman" w:cs="Times New Roman"/>
                <w:sz w:val="21"/>
                <w:szCs w:val="21"/>
              </w:rPr>
              <w:t>2023-2027</w:t>
            </w:r>
            <w:r>
              <w:rPr>
                <w:rFonts w:hint="eastAsia"/>
                <w:sz w:val="21"/>
                <w:szCs w:val="21"/>
              </w:rPr>
              <w:t>年</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hint="eastAsia"/>
                <w:sz w:val="21"/>
                <w:szCs w:val="21"/>
              </w:rPr>
              <w:t>注</w:t>
            </w:r>
            <w:r>
              <w:rPr>
                <w:rFonts w:ascii="Times New Roman" w:hAnsi="Times New Roman" w:cs="Times New Roman"/>
                <w:sz w:val="21"/>
                <w:szCs w:val="21"/>
              </w:rPr>
              <w:t>3</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jc w:val="center"/>
            </w:pPr>
            <w:r>
              <w:rPr>
                <w:rFonts w:ascii="Times New Roman" w:hAnsi="Times New Roman" w:cs="Times New Roman"/>
                <w:sz w:val="21"/>
                <w:szCs w:val="21"/>
              </w:rPr>
              <w:t>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line="360" w:lineRule="atLeast"/>
              <w:jc w:val="right"/>
            </w:pPr>
            <w:r>
              <w:rPr>
                <w:rFonts w:ascii="Times New Roman" w:hAnsi="Times New Roman" w:cs="Times New Roman"/>
                <w:sz w:val="21"/>
                <w:szCs w:val="21"/>
              </w:rPr>
              <w:t>-11.28%-14.76%</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593" w:rsidRDefault="00B13593" w:rsidP="00054B06">
            <w:pPr>
              <w:pStyle w:val="a3"/>
              <w:widowControl w:val="0"/>
              <w:spacing w:before="0" w:beforeAutospacing="0" w:after="0" w:afterAutospacing="0" w:line="360" w:lineRule="atLeast"/>
              <w:jc w:val="right"/>
            </w:pPr>
            <w:r>
              <w:rPr>
                <w:rFonts w:ascii="Times New Roman" w:hAnsi="Times New Roman" w:cs="Times New Roman"/>
                <w:sz w:val="21"/>
                <w:szCs w:val="21"/>
              </w:rPr>
              <w:t>11.98%</w:t>
            </w:r>
          </w:p>
        </w:tc>
      </w:tr>
    </w:tbl>
    <w:p w:rsidR="00B13593" w:rsidRDefault="00B13593" w:rsidP="00966497">
      <w:pPr>
        <w:pStyle w:val="a3"/>
        <w:widowControl w:val="0"/>
        <w:spacing w:before="0" w:beforeAutospacing="0" w:after="0" w:afterAutospacing="0" w:line="500" w:lineRule="exact"/>
        <w:ind w:firstLine="561"/>
        <w:jc w:val="both"/>
        <w:divId w:val="1587689361"/>
      </w:pPr>
      <w:r>
        <w:rPr>
          <w:rFonts w:ascii="仿宋" w:eastAsia="仿宋" w:hAnsi="仿宋" w:hint="eastAsia"/>
        </w:rPr>
        <w:t>注1：升华电源主要产品为电源及相关产品，基于主要经营管理团队对未来发展趋势的判断及经营规划，升华电源预测2023至2027年，销售收入增长率分别为：3%、2%、1%、1%、1%。</w:t>
      </w:r>
    </w:p>
    <w:p w:rsidR="00B13593" w:rsidRDefault="00B13593" w:rsidP="00966497">
      <w:pPr>
        <w:pStyle w:val="a3"/>
        <w:widowControl w:val="0"/>
        <w:spacing w:before="0" w:beforeAutospacing="0" w:after="0" w:afterAutospacing="0" w:line="500" w:lineRule="exact"/>
        <w:ind w:firstLine="561"/>
        <w:jc w:val="both"/>
        <w:divId w:val="1587689361"/>
      </w:pPr>
      <w:r>
        <w:rPr>
          <w:rFonts w:ascii="仿宋" w:eastAsia="仿宋" w:hAnsi="仿宋" w:hint="eastAsia"/>
        </w:rPr>
        <w:t>注2：沈阳含能主要产品为高性能特种合金材料制品，基于主要经营管理团队对未来发展趋势的判断及经营规划，沈阳含能预测2023至2027年，销售收入增长率分别为2.71%、5.00%、5.00%、5.00%、5.00%。</w:t>
      </w:r>
    </w:p>
    <w:p w:rsidR="00B13593" w:rsidRDefault="00B13593" w:rsidP="00966497">
      <w:pPr>
        <w:pStyle w:val="a3"/>
        <w:widowControl w:val="0"/>
        <w:spacing w:before="0" w:beforeAutospacing="0" w:after="0" w:afterAutospacing="0" w:line="500" w:lineRule="exact"/>
        <w:ind w:firstLine="561"/>
        <w:jc w:val="both"/>
        <w:divId w:val="1587689361"/>
      </w:pPr>
      <w:r>
        <w:rPr>
          <w:rFonts w:ascii="仿宋" w:eastAsia="仿宋" w:hAnsi="仿宋" w:hint="eastAsia"/>
        </w:rPr>
        <w:t>注3：沈阳非晶主要产品为高性能特种合金材料制品，基于主要经营管理团队对未来发展趋势的判断及经营规划，沈阳非晶预测2023至2027年，销售收入增长率分别为83.47%、98.88%、97.10%、17.43%、0.00%。</w:t>
      </w:r>
    </w:p>
    <w:p w:rsidR="00B13593" w:rsidRDefault="00B13593" w:rsidP="00966497">
      <w:pPr>
        <w:pStyle w:val="a3"/>
        <w:widowControl w:val="0"/>
        <w:spacing w:before="0" w:beforeAutospacing="0" w:after="0" w:afterAutospacing="0" w:line="560" w:lineRule="exact"/>
        <w:ind w:firstLine="561"/>
        <w:jc w:val="both"/>
        <w:divId w:val="1587689361"/>
      </w:pPr>
      <w:r>
        <w:rPr>
          <w:rFonts w:ascii="仿宋" w:eastAsia="仿宋" w:hAnsi="仿宋" w:hint="eastAsia"/>
          <w:sz w:val="28"/>
          <w:szCs w:val="28"/>
        </w:rPr>
        <w:t>上述信息与形成商誉时或以前年度商誉减值测试时的信息、公司历史经验或外部信息无明显不一致。</w:t>
      </w:r>
    </w:p>
    <w:p w:rsidR="00B13593" w:rsidRPr="00966497" w:rsidRDefault="00B13F8C" w:rsidP="00966497">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26" w:name="_Toc989114"/>
      <w:r w:rsidRPr="00966497">
        <w:rPr>
          <w:rStyle w:val="a4"/>
          <w:rFonts w:ascii="仿宋" w:eastAsia="仿宋" w:hAnsi="仿宋"/>
          <w:bCs w:val="0"/>
          <w:sz w:val="28"/>
          <w:szCs w:val="28"/>
        </w:rPr>
        <w:t>22、长期待摊费用</w:t>
      </w:r>
      <w:bookmarkEnd w:id="22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厂房装修费</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14,366,851.59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8,153,069.99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2,608,931.16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19,910,990.42</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14,366,851.59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8,153,069.99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2,608,931.16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19,910,990.42</w:t>
            </w:r>
          </w:p>
        </w:tc>
      </w:tr>
    </w:tbl>
    <w:p w:rsidR="00B13593" w:rsidRPr="00966497" w:rsidRDefault="00B13F8C" w:rsidP="00966497">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27" w:name="_Toc989115"/>
      <w:r w:rsidRPr="00966497">
        <w:rPr>
          <w:rStyle w:val="a4"/>
          <w:rFonts w:ascii="仿宋" w:eastAsia="仿宋" w:hAnsi="仿宋"/>
          <w:sz w:val="28"/>
          <w:szCs w:val="28"/>
        </w:rPr>
        <w:t>23、递延所得税资产/递延所得税负债</w:t>
      </w:r>
      <w:bookmarkEnd w:id="227"/>
    </w:p>
    <w:p w:rsidR="00B13593" w:rsidRPr="00966497" w:rsidRDefault="00B13F8C" w:rsidP="00966497">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28" w:name="_Toc989116"/>
      <w:r w:rsidRPr="00966497">
        <w:rPr>
          <w:rStyle w:val="a4"/>
          <w:rFonts w:ascii="仿宋" w:eastAsia="仿宋" w:hAnsi="仿宋"/>
          <w:sz w:val="28"/>
          <w:szCs w:val="28"/>
        </w:rPr>
        <w:t>（1）未经抵销的递延所得税资产</w:t>
      </w:r>
      <w:bookmarkEnd w:id="22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F04695">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7,584,105.71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1,137,615.86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4,187,718.17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628,157.73</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53,174,794.78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13,293,698.70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45,441,215.10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11,360,303.78</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26,215,227.46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4,692,978.43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22,171,565.39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4,089,131.94</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使用权资产折旧与租赁负债利息摊销</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2,092,210.16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317,007.15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1,812,769.76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275,091.09</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股权激励</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7,672,988.06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1,348,098.77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14,557,932.70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2,675,494.27</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96,739,326.17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20,789,398.91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88,171,201.12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19,028,178.81</w:t>
            </w:r>
          </w:p>
        </w:tc>
      </w:tr>
    </w:tbl>
    <w:p w:rsidR="00B13593" w:rsidRPr="00F04695" w:rsidRDefault="00B13F8C" w:rsidP="00F04695">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29" w:name="_Toc989117"/>
      <w:r w:rsidRPr="00F04695">
        <w:rPr>
          <w:rStyle w:val="a4"/>
          <w:rFonts w:ascii="仿宋" w:eastAsia="仿宋" w:hAnsi="仿宋"/>
          <w:bCs w:val="0"/>
          <w:sz w:val="28"/>
          <w:szCs w:val="28"/>
        </w:rPr>
        <w:t>（2）未经抵销的递延所得税负债</w:t>
      </w:r>
      <w:bookmarkEnd w:id="22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F04695">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非同一控制企业合并资产评估增值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1,285,395.38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192,809.33</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810,112.92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134,789.60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3,763,833.92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745,421.72</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固定资产加速折旧</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4,771,405.46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715,710.82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5,214,227.59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782,134.14</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5,581,518.38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850,500.42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10,263,456.89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1,720,365.19</w:t>
            </w:r>
          </w:p>
        </w:tc>
      </w:tr>
    </w:tbl>
    <w:p w:rsidR="00B13593" w:rsidRPr="00F04695" w:rsidRDefault="00B13F8C" w:rsidP="00F04695">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30" w:name="_Toc989118"/>
      <w:r w:rsidRPr="00F04695">
        <w:rPr>
          <w:rStyle w:val="a4"/>
          <w:rFonts w:ascii="仿宋" w:eastAsia="仿宋" w:hAnsi="仿宋"/>
          <w:sz w:val="28"/>
          <w:szCs w:val="28"/>
        </w:rPr>
        <w:t>（3）以抵销后净额列示的递延所得税资产或负债</w:t>
      </w:r>
      <w:bookmarkEnd w:id="23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抵销后递延所得税资产或负债期初余额</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20,789,398.91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19,028,178.81</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850,500.42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1,720,365.19</w:t>
            </w:r>
          </w:p>
        </w:tc>
      </w:tr>
    </w:tbl>
    <w:p w:rsidR="00B13593" w:rsidRPr="00F04695" w:rsidRDefault="00B13F8C" w:rsidP="00F04695">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31" w:name="_Toc989119"/>
      <w:r w:rsidRPr="00F04695">
        <w:rPr>
          <w:rStyle w:val="a4"/>
          <w:rFonts w:ascii="仿宋" w:eastAsia="仿宋" w:hAnsi="仿宋"/>
          <w:bCs w:val="0"/>
          <w:sz w:val="28"/>
          <w:szCs w:val="28"/>
        </w:rPr>
        <w:t>（4）未确认递延所得税资产明细</w:t>
      </w:r>
      <w:bookmarkEnd w:id="23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61,298,692.98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61,298,692.98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85,619,691.43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80,628,669.72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146,918,384.41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141,927,362.70</w:t>
            </w:r>
          </w:p>
        </w:tc>
      </w:tr>
    </w:tbl>
    <w:p w:rsidR="00B13593" w:rsidRPr="00F04695" w:rsidRDefault="00B13F8C" w:rsidP="00F04695">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32" w:name="_Toc989120"/>
      <w:r w:rsidRPr="00F04695">
        <w:rPr>
          <w:rStyle w:val="a4"/>
          <w:rFonts w:ascii="仿宋" w:eastAsia="仿宋" w:hAnsi="仿宋"/>
          <w:sz w:val="28"/>
          <w:szCs w:val="28"/>
        </w:rPr>
        <w:t>（5）未确认递延所得税资产的可抵扣亏损将于以下年度到期</w:t>
      </w:r>
      <w:bookmarkEnd w:id="23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lastRenderedPageBreak/>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期初金额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备注</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2023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577,407.44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582,382.38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2024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1,897,886.27</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1,897,886.27</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2025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5,830,590.96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5,830,590.96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2026</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6,249,703.73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6,249,703.73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2027</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10,820,733.75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10,820,733.75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2028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14,069,455.41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7,873,193.99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2029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7,928,565.62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7,928,565.62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2030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6,550,482.65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6,550,482.65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2031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4,060,822.69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4,060,822.69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2032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28,834,307.68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28,834,307.68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2033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7,310,591.71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rPr>
                <w:rFonts w:ascii="宋体" w:eastAsia="宋体" w:hAnsi="宋体" w:cs="宋体"/>
                <w:sz w:val="18"/>
                <w:szCs w:val="18"/>
              </w:rPr>
            </w:pP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94,130,547.91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80,628,669.72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F04695">
            <w:pPr>
              <w:spacing w:line="300" w:lineRule="exact"/>
            </w:pPr>
          </w:p>
        </w:tc>
      </w:tr>
    </w:tbl>
    <w:p w:rsidR="00B13593" w:rsidRPr="00F04695" w:rsidRDefault="00B13F8C" w:rsidP="00F04695">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33" w:name="_Toc989121"/>
      <w:r w:rsidRPr="00F04695">
        <w:rPr>
          <w:rStyle w:val="a4"/>
          <w:rFonts w:ascii="仿宋" w:eastAsia="仿宋" w:hAnsi="仿宋"/>
          <w:bCs w:val="0"/>
          <w:sz w:val="28"/>
          <w:szCs w:val="28"/>
        </w:rPr>
        <w:t>24、其他非流动资产</w:t>
      </w:r>
      <w:bookmarkEnd w:id="23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26"/>
        <w:gridCol w:w="1417"/>
        <w:gridCol w:w="1188"/>
        <w:gridCol w:w="1377"/>
        <w:gridCol w:w="1377"/>
        <w:gridCol w:w="1377"/>
        <w:gridCol w:w="1377"/>
      </w:tblGrid>
      <w:tr w:rsidR="00B13593" w:rsidTr="00F04695">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98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rsidTr="00D47A35">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F04695">
            <w:pPr>
              <w:spacing w:line="300" w:lineRule="exact"/>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jc w:val="center"/>
              <w:rPr>
                <w:rFonts w:ascii="宋体" w:eastAsia="宋体" w:hAnsi="宋体" w:cs="宋体"/>
                <w:sz w:val="18"/>
                <w:szCs w:val="18"/>
              </w:rPr>
            </w:pPr>
            <w:r>
              <w:rPr>
                <w:rFonts w:ascii="宋体" w:eastAsia="宋体" w:hAnsi="宋体" w:cs="宋体"/>
                <w:sz w:val="18"/>
                <w:szCs w:val="18"/>
              </w:rPr>
              <w:t>账面价值</w:t>
            </w:r>
          </w:p>
        </w:tc>
      </w:tr>
      <w:tr w:rsidR="00B13593" w:rsidTr="00D47A35">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预付长期资产购置款</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804,510.00</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804,510.00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383,014.00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383,014.00</w:t>
            </w:r>
          </w:p>
        </w:tc>
      </w:tr>
      <w:tr w:rsidR="00B13593" w:rsidTr="00D47A35">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预付市场服务费</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1,743,678.16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1,743,678.16</w:t>
            </w:r>
          </w:p>
        </w:tc>
      </w:tr>
      <w:tr w:rsidR="00B13593" w:rsidTr="00D47A35">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04695">
            <w:pPr>
              <w:spacing w:line="300" w:lineRule="exact"/>
              <w:rPr>
                <w:rFonts w:ascii="宋体" w:eastAsia="宋体" w:hAnsi="宋体" w:cs="宋体"/>
                <w:sz w:val="18"/>
                <w:szCs w:val="18"/>
              </w:rPr>
            </w:pPr>
            <w:r>
              <w:rPr>
                <w:rFonts w:ascii="宋体" w:eastAsia="宋体" w:hAnsi="宋体" w:cs="宋体"/>
                <w:sz w:val="18"/>
                <w:szCs w:val="18"/>
              </w:rPr>
              <w:t>合计</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804,510.00</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804,510.00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2,126,692.16</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F04695">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F04695">
            <w:pPr>
              <w:spacing w:line="300" w:lineRule="exact"/>
              <w:jc w:val="right"/>
              <w:rPr>
                <w:rFonts w:ascii="宋体" w:eastAsia="宋体" w:hAnsi="宋体" w:cs="宋体"/>
                <w:sz w:val="18"/>
                <w:szCs w:val="18"/>
              </w:rPr>
            </w:pPr>
            <w:r>
              <w:rPr>
                <w:rFonts w:ascii="宋体" w:eastAsia="宋体" w:hAnsi="宋体" w:cs="宋体"/>
                <w:sz w:val="18"/>
                <w:szCs w:val="18"/>
              </w:rPr>
              <w:t>2,126,692.16</w:t>
            </w:r>
          </w:p>
        </w:tc>
      </w:tr>
    </w:tbl>
    <w:p w:rsidR="00B13593" w:rsidRPr="00D47A35" w:rsidRDefault="00B13F8C" w:rsidP="00D47A35">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34" w:name="_Toc989122"/>
      <w:r w:rsidRPr="00D47A35">
        <w:rPr>
          <w:rStyle w:val="a4"/>
          <w:rFonts w:ascii="仿宋" w:eastAsia="仿宋" w:hAnsi="仿宋"/>
          <w:sz w:val="28"/>
          <w:szCs w:val="28"/>
        </w:rPr>
        <w:t>25、应付票据</w:t>
      </w:r>
      <w:bookmarkEnd w:id="23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47A35">
            <w:pPr>
              <w:spacing w:line="30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47A35">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47A35">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47A35">
            <w:pPr>
              <w:spacing w:line="300" w:lineRule="exact"/>
              <w:rPr>
                <w:rFonts w:ascii="宋体" w:eastAsia="宋体" w:hAnsi="宋体" w:cs="宋体"/>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47A35">
            <w:pPr>
              <w:spacing w:line="300" w:lineRule="exact"/>
              <w:jc w:val="right"/>
              <w:rPr>
                <w:rFonts w:ascii="宋体" w:eastAsia="宋体" w:hAnsi="宋体" w:cs="宋体"/>
                <w:sz w:val="18"/>
                <w:szCs w:val="18"/>
              </w:rPr>
            </w:pPr>
            <w:r>
              <w:rPr>
                <w:rFonts w:ascii="宋体" w:eastAsia="宋体" w:hAnsi="宋体" w:cs="宋体"/>
                <w:sz w:val="18"/>
                <w:szCs w:val="18"/>
              </w:rPr>
              <w:t>7,163,823.73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47A35">
            <w:pPr>
              <w:spacing w:line="300" w:lineRule="exact"/>
              <w:jc w:val="right"/>
              <w:rPr>
                <w:rFonts w:ascii="宋体" w:eastAsia="宋体" w:hAnsi="宋体" w:cs="宋体"/>
                <w:sz w:val="18"/>
                <w:szCs w:val="18"/>
              </w:rPr>
            </w:pPr>
            <w:r>
              <w:rPr>
                <w:rFonts w:ascii="宋体" w:eastAsia="宋体" w:hAnsi="宋体" w:cs="宋体"/>
                <w:sz w:val="18"/>
                <w:szCs w:val="18"/>
              </w:rPr>
              <w:t>14,588,730.32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47A35">
            <w:pPr>
              <w:spacing w:line="30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47A35">
            <w:pPr>
              <w:spacing w:line="300" w:lineRule="exact"/>
              <w:jc w:val="right"/>
              <w:rPr>
                <w:rFonts w:ascii="宋体" w:eastAsia="宋体" w:hAnsi="宋体" w:cs="宋体"/>
                <w:sz w:val="18"/>
                <w:szCs w:val="18"/>
              </w:rPr>
            </w:pPr>
            <w:r>
              <w:rPr>
                <w:rFonts w:ascii="宋体" w:eastAsia="宋体" w:hAnsi="宋体" w:cs="宋体"/>
                <w:sz w:val="18"/>
                <w:szCs w:val="18"/>
              </w:rPr>
              <w:t>7,982,160.97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47A35">
            <w:pPr>
              <w:spacing w:line="300" w:lineRule="exact"/>
              <w:jc w:val="right"/>
              <w:rPr>
                <w:rFonts w:ascii="宋体" w:eastAsia="宋体" w:hAnsi="宋体" w:cs="宋体"/>
                <w:sz w:val="18"/>
                <w:szCs w:val="18"/>
              </w:rPr>
            </w:pPr>
            <w:r>
              <w:rPr>
                <w:rFonts w:ascii="宋体" w:eastAsia="宋体" w:hAnsi="宋体" w:cs="宋体"/>
                <w:sz w:val="18"/>
                <w:szCs w:val="18"/>
              </w:rPr>
              <w:t>9,503,062.80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47A35">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47A35">
            <w:pPr>
              <w:spacing w:line="300" w:lineRule="exact"/>
              <w:jc w:val="right"/>
              <w:rPr>
                <w:rFonts w:ascii="宋体" w:eastAsia="宋体" w:hAnsi="宋体" w:cs="宋体"/>
                <w:sz w:val="18"/>
                <w:szCs w:val="18"/>
              </w:rPr>
            </w:pPr>
            <w:r>
              <w:rPr>
                <w:rFonts w:ascii="宋体" w:eastAsia="宋体" w:hAnsi="宋体" w:cs="宋体"/>
                <w:sz w:val="18"/>
                <w:szCs w:val="18"/>
              </w:rPr>
              <w:t>15,145,984.70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47A35">
            <w:pPr>
              <w:spacing w:line="300" w:lineRule="exact"/>
              <w:jc w:val="right"/>
              <w:rPr>
                <w:rFonts w:ascii="宋体" w:eastAsia="宋体" w:hAnsi="宋体" w:cs="宋体"/>
                <w:sz w:val="18"/>
                <w:szCs w:val="18"/>
              </w:rPr>
            </w:pPr>
            <w:r>
              <w:rPr>
                <w:rFonts w:ascii="宋体" w:eastAsia="宋体" w:hAnsi="宋体" w:cs="宋体"/>
                <w:sz w:val="18"/>
                <w:szCs w:val="18"/>
              </w:rPr>
              <w:t>24,091,793.12</w:t>
            </w:r>
          </w:p>
        </w:tc>
      </w:tr>
    </w:tbl>
    <w:p w:rsidR="00B13593" w:rsidRPr="00D47A35" w:rsidRDefault="00B13F8C" w:rsidP="00D47A35">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35" w:name="_Toc989123"/>
      <w:r w:rsidRPr="00D47A35">
        <w:rPr>
          <w:rStyle w:val="a4"/>
          <w:rFonts w:ascii="仿宋" w:eastAsia="仿宋" w:hAnsi="仿宋"/>
          <w:bCs w:val="0"/>
          <w:sz w:val="28"/>
          <w:szCs w:val="28"/>
        </w:rPr>
        <w:t>26、应付账款</w:t>
      </w:r>
      <w:bookmarkEnd w:id="235"/>
    </w:p>
    <w:p w:rsidR="00B13593" w:rsidRPr="00D47A35" w:rsidRDefault="00B13F8C" w:rsidP="00D47A35">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36" w:name="_Toc989124"/>
      <w:r w:rsidRPr="00D47A35">
        <w:rPr>
          <w:rStyle w:val="a4"/>
          <w:rFonts w:ascii="仿宋" w:eastAsia="仿宋" w:hAnsi="仿宋"/>
          <w:bCs w:val="0"/>
          <w:sz w:val="28"/>
          <w:szCs w:val="28"/>
        </w:rPr>
        <w:t>应付账款列示</w:t>
      </w:r>
      <w:bookmarkEnd w:id="236"/>
    </w:p>
    <w:p w:rsidR="008D136D" w:rsidRDefault="008D136D" w:rsidP="00054B06">
      <w:pPr>
        <w:spacing w:before="40" w:after="40" w:line="240" w:lineRule="exact"/>
        <w:jc w:val="right"/>
        <w:rPr>
          <w:rFonts w:ascii="宋体" w:eastAsia="宋体" w:hAnsi="宋体" w:cs="宋体"/>
          <w:sz w:val="18"/>
          <w:szCs w:val="18"/>
        </w:rPr>
      </w:pPr>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37,742,397.80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29,606,789.55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应付设备款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11,257,878.89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67,030.50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应付工程款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102,260.00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873,181.35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49,102,536.69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30,547,001.40</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37" w:name="_Toc989125"/>
      <w:r w:rsidRPr="008D136D">
        <w:rPr>
          <w:rStyle w:val="a4"/>
          <w:rFonts w:ascii="仿宋" w:eastAsia="仿宋" w:hAnsi="仿宋"/>
          <w:sz w:val="28"/>
          <w:szCs w:val="28"/>
        </w:rPr>
        <w:t>27、合同负债</w:t>
      </w:r>
      <w:bookmarkEnd w:id="23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2,759,559.19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5,520,477.18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2,759,559.19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5,520,477.18</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38" w:name="_Toc989126"/>
      <w:r w:rsidRPr="008D136D">
        <w:rPr>
          <w:rStyle w:val="a4"/>
          <w:rFonts w:ascii="仿宋" w:eastAsia="仿宋" w:hAnsi="仿宋"/>
          <w:bCs w:val="0"/>
          <w:sz w:val="28"/>
          <w:szCs w:val="28"/>
        </w:rPr>
        <w:lastRenderedPageBreak/>
        <w:t>28、应付职工薪酬</w:t>
      </w:r>
      <w:bookmarkEnd w:id="238"/>
    </w:p>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39" w:name="_Toc989127"/>
      <w:r w:rsidRPr="008D136D">
        <w:rPr>
          <w:rStyle w:val="a4"/>
          <w:rFonts w:ascii="仿宋" w:eastAsia="仿宋" w:hAnsi="仿宋"/>
          <w:bCs w:val="0"/>
          <w:sz w:val="28"/>
          <w:szCs w:val="28"/>
        </w:rPr>
        <w:t>（1）应付职工薪酬列示</w:t>
      </w:r>
      <w:bookmarkEnd w:id="23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39,993,890.79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33,183,353.08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59,118,657.24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14,058,586.63</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52,551.62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1,289,028.22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1,288,239.95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53,339.89</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40,046,442.41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34,472,381.30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60,406,897.19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14,111,926.52</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40" w:name="_Toc989128"/>
      <w:r w:rsidRPr="008D136D">
        <w:rPr>
          <w:rStyle w:val="a4"/>
          <w:rFonts w:ascii="仿宋" w:eastAsia="仿宋" w:hAnsi="仿宋"/>
          <w:sz w:val="28"/>
          <w:szCs w:val="28"/>
        </w:rPr>
        <w:t>（2）短期薪酬列示</w:t>
      </w:r>
      <w:bookmarkEnd w:id="24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093"/>
        <w:gridCol w:w="1762"/>
        <w:gridCol w:w="1928"/>
        <w:gridCol w:w="1928"/>
        <w:gridCol w:w="1928"/>
      </w:tblGrid>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7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1、工资、奖金、津贴和补贴</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36,049,476.48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29,295,935.37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55,389,670.74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9,955,741.11</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2、职工福利费</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1,431,725.35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1,272,309.93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159,415.42</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3、社会保险费</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33,212.20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1,173,805.53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1,173,675.14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33,342.59</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31,642.13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1,095,164.14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1,095,035.30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31,770.97</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1,570.07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65,530.57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65,529.02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1,571.62</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13,110.82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13,110.82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4、住房公积金</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610.00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1,050,522.36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934,905.36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116,227.00</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3,910,592.11</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231,364.47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348,096.07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3,793,860.51</w:t>
            </w:r>
          </w:p>
        </w:tc>
      </w:tr>
      <w:tr w:rsidR="00B13593" w:rsidTr="008D136D">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76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39,993,890.79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33,183,353.08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59,118,657.24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14,058,586.63</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41" w:name="_Toc989129"/>
      <w:r w:rsidRPr="008D136D">
        <w:rPr>
          <w:rStyle w:val="a4"/>
          <w:rFonts w:ascii="仿宋" w:eastAsia="仿宋" w:hAnsi="仿宋"/>
          <w:bCs w:val="0"/>
          <w:sz w:val="28"/>
          <w:szCs w:val="28"/>
        </w:rPr>
        <w:t>（3）设定提存计划列示</w:t>
      </w:r>
      <w:bookmarkEnd w:id="24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48,552.13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1,115,601.80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1,115,503.99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48,649.94</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3,999.49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39,451.42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38,760.96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4,689.95</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133,975.00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133,975.00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52,551.62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1,289,028.22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1,288,239.95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53,339.89</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42" w:name="_Toc989130"/>
      <w:r w:rsidRPr="008D136D">
        <w:rPr>
          <w:rStyle w:val="a4"/>
          <w:rFonts w:ascii="仿宋" w:eastAsia="仿宋" w:hAnsi="仿宋"/>
          <w:sz w:val="28"/>
          <w:szCs w:val="28"/>
        </w:rPr>
        <w:t>29、应交税费</w:t>
      </w:r>
      <w:bookmarkEnd w:id="24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1,910,933.45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10,898,790.62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477,729.63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7,615,501.93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8D136D">
            <w:pPr>
              <w:spacing w:line="300" w:lineRule="exact"/>
              <w:jc w:val="right"/>
              <w:rPr>
                <w:rFonts w:ascii="宋体" w:eastAsia="宋体" w:hAnsi="宋体" w:cs="宋体"/>
                <w:sz w:val="18"/>
                <w:szCs w:val="18"/>
              </w:rPr>
            </w:pPr>
            <w:r w:rsidRPr="00E152AF">
              <w:rPr>
                <w:rFonts w:ascii="宋体" w:eastAsia="宋体" w:hAnsi="宋体" w:cs="宋体"/>
                <w:sz w:val="18"/>
                <w:szCs w:val="18"/>
              </w:rPr>
              <w:t>1,089,215.59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1,181,682.48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155,687.64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537,757.23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66,910.95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283,826.68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14,461.10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158,376.26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39,241.20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137,348.87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34,615.15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16,765.08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21,870.09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8D136D">
            <w:pPr>
              <w:spacing w:line="300" w:lineRule="exact"/>
              <w:jc w:val="right"/>
              <w:rPr>
                <w:rFonts w:ascii="宋体" w:eastAsia="宋体" w:hAnsi="宋体" w:cs="宋体"/>
                <w:sz w:val="18"/>
                <w:szCs w:val="18"/>
              </w:rPr>
            </w:pPr>
            <w:r w:rsidRPr="00E152AF">
              <w:rPr>
                <w:rFonts w:ascii="宋体" w:eastAsia="宋体" w:hAnsi="宋体" w:cs="宋体"/>
                <w:sz w:val="18"/>
                <w:szCs w:val="18"/>
              </w:rPr>
              <w:t>3,908,293.51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20,732,485.44</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43" w:name="_Toc989131"/>
      <w:r w:rsidRPr="008D136D">
        <w:rPr>
          <w:rStyle w:val="a4"/>
          <w:rFonts w:ascii="仿宋" w:eastAsia="仿宋" w:hAnsi="仿宋"/>
          <w:bCs w:val="0"/>
          <w:sz w:val="28"/>
          <w:szCs w:val="28"/>
        </w:rPr>
        <w:t>30、其他应付款</w:t>
      </w:r>
      <w:bookmarkEnd w:id="24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923,915.18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8D136D">
            <w:pPr>
              <w:spacing w:line="300" w:lineRule="exact"/>
              <w:jc w:val="right"/>
              <w:rPr>
                <w:rFonts w:ascii="宋体" w:eastAsia="宋体" w:hAnsi="宋体" w:cs="宋体"/>
                <w:sz w:val="18"/>
                <w:szCs w:val="18"/>
              </w:rPr>
            </w:pPr>
            <w:r w:rsidRPr="00E152AF">
              <w:rPr>
                <w:rFonts w:ascii="宋体" w:eastAsia="宋体" w:hAnsi="宋体" w:cs="宋体"/>
                <w:sz w:val="18"/>
                <w:szCs w:val="18"/>
              </w:rPr>
              <w:t>36,356,235.67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27,182,957.86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8D136D">
            <w:pPr>
              <w:spacing w:line="300" w:lineRule="exact"/>
              <w:jc w:val="right"/>
              <w:rPr>
                <w:rFonts w:ascii="宋体" w:eastAsia="宋体" w:hAnsi="宋体" w:cs="宋体"/>
                <w:sz w:val="18"/>
                <w:szCs w:val="18"/>
              </w:rPr>
            </w:pPr>
            <w:r w:rsidRPr="00E152AF">
              <w:rPr>
                <w:rFonts w:ascii="宋体" w:eastAsia="宋体" w:hAnsi="宋体" w:cs="宋体"/>
                <w:sz w:val="18"/>
                <w:szCs w:val="18"/>
              </w:rPr>
              <w:t>37,073,506.37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28,106,873.04</w:t>
            </w:r>
          </w:p>
        </w:tc>
      </w:tr>
    </w:tbl>
    <w:p w:rsidR="00B13593" w:rsidRPr="008D136D" w:rsidRDefault="008D136D"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44" w:name="_Toc989133"/>
      <w:r w:rsidRPr="008D136D">
        <w:rPr>
          <w:rStyle w:val="a4"/>
          <w:rFonts w:ascii="仿宋" w:eastAsia="仿宋" w:hAnsi="仿宋" w:hint="eastAsia"/>
          <w:sz w:val="28"/>
          <w:szCs w:val="28"/>
        </w:rPr>
        <w:t>（1）</w:t>
      </w:r>
      <w:r w:rsidR="00B13F8C" w:rsidRPr="008D136D">
        <w:rPr>
          <w:rStyle w:val="a4"/>
          <w:rFonts w:ascii="仿宋" w:eastAsia="仿宋" w:hAnsi="仿宋"/>
          <w:sz w:val="28"/>
          <w:szCs w:val="28"/>
        </w:rPr>
        <w:t>应付股利</w:t>
      </w:r>
      <w:bookmarkEnd w:id="24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923,915.18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923,915.18</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45" w:name="_Toc989134"/>
      <w:r w:rsidRPr="008D136D">
        <w:rPr>
          <w:rStyle w:val="a4"/>
          <w:rFonts w:ascii="仿宋" w:eastAsia="仿宋" w:hAnsi="仿宋"/>
          <w:bCs w:val="0"/>
          <w:sz w:val="28"/>
          <w:szCs w:val="28"/>
        </w:rPr>
        <w:t>（</w:t>
      </w:r>
      <w:r w:rsidR="008D136D" w:rsidRPr="008D136D">
        <w:rPr>
          <w:rStyle w:val="a4"/>
          <w:rFonts w:ascii="仿宋" w:eastAsia="仿宋" w:hAnsi="仿宋" w:hint="eastAsia"/>
          <w:bCs w:val="0"/>
          <w:sz w:val="28"/>
          <w:szCs w:val="28"/>
        </w:rPr>
        <w:t>2</w:t>
      </w:r>
      <w:r w:rsidRPr="008D136D">
        <w:rPr>
          <w:rStyle w:val="a4"/>
          <w:rFonts w:ascii="仿宋" w:eastAsia="仿宋" w:hAnsi="仿宋"/>
          <w:bCs w:val="0"/>
          <w:sz w:val="28"/>
          <w:szCs w:val="28"/>
        </w:rPr>
        <w:t>）其他应付款</w:t>
      </w:r>
      <w:bookmarkEnd w:id="245"/>
    </w:p>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46" w:name="_Toc989135"/>
      <w:r w:rsidRPr="008D136D">
        <w:rPr>
          <w:rStyle w:val="a4"/>
          <w:rFonts w:ascii="仿宋" w:eastAsia="仿宋" w:hAnsi="仿宋"/>
          <w:bCs w:val="0"/>
          <w:sz w:val="28"/>
          <w:szCs w:val="28"/>
        </w:rPr>
        <w:t>1）按款项性质列示其他应付款</w:t>
      </w:r>
      <w:bookmarkEnd w:id="24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1,353,626.65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1,399,674.65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单位往来</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8D136D">
            <w:pPr>
              <w:spacing w:line="300" w:lineRule="exact"/>
              <w:jc w:val="right"/>
              <w:rPr>
                <w:rFonts w:ascii="宋体" w:eastAsia="宋体" w:hAnsi="宋体" w:cs="宋体"/>
                <w:sz w:val="18"/>
                <w:szCs w:val="18"/>
              </w:rPr>
            </w:pPr>
            <w:r w:rsidRPr="00E152AF">
              <w:rPr>
                <w:rFonts w:ascii="宋体" w:eastAsia="宋体" w:hAnsi="宋体" w:cs="宋体"/>
                <w:sz w:val="18"/>
                <w:szCs w:val="18"/>
              </w:rPr>
              <w:t>25,387,415.56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8,271,001.62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员工往来</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43,757.50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13,500.00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历史遗留款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5C50EF" w:rsidP="008D136D">
            <w:pPr>
              <w:spacing w:line="300" w:lineRule="exact"/>
              <w:jc w:val="right"/>
              <w:rPr>
                <w:rFonts w:ascii="宋体" w:eastAsia="宋体" w:hAnsi="宋体" w:cs="宋体"/>
                <w:sz w:val="18"/>
                <w:szCs w:val="18"/>
              </w:rPr>
            </w:pPr>
            <w:r w:rsidRPr="00387FCA">
              <w:rPr>
                <w:rFonts w:ascii="宋体" w:eastAsia="宋体" w:hAnsi="宋体" w:cs="宋体"/>
                <w:sz w:val="18"/>
                <w:szCs w:val="18"/>
              </w:rPr>
              <w:t>79,200.00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79,200.00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股权激励回购款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9,357,443.74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17,280,032.59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134,792.22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139,549.00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E152AF" w:rsidP="008D136D">
            <w:pPr>
              <w:spacing w:line="300" w:lineRule="exact"/>
              <w:jc w:val="right"/>
              <w:rPr>
                <w:rFonts w:ascii="宋体" w:eastAsia="宋体" w:hAnsi="宋体" w:cs="宋体"/>
                <w:sz w:val="18"/>
                <w:szCs w:val="18"/>
              </w:rPr>
            </w:pPr>
            <w:r w:rsidRPr="00E152AF">
              <w:rPr>
                <w:rFonts w:ascii="宋体" w:eastAsia="宋体" w:hAnsi="宋体" w:cs="宋体"/>
                <w:sz w:val="18"/>
                <w:szCs w:val="18"/>
              </w:rPr>
              <w:t>36,356,235.67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27,182,957.86</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47" w:name="_Toc989136"/>
      <w:r w:rsidRPr="008D136D">
        <w:rPr>
          <w:rStyle w:val="a4"/>
          <w:rFonts w:ascii="仿宋" w:eastAsia="仿宋" w:hAnsi="仿宋"/>
          <w:sz w:val="28"/>
          <w:szCs w:val="28"/>
        </w:rPr>
        <w:t>2）账龄超过1年的重要其他应付款</w:t>
      </w:r>
      <w:bookmarkEnd w:id="24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未偿还或结转的原因</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广州南沙兴华造船有限公司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7,082,000.00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相关电力指标款未达收款条件</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7,082,000.00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r>
    </w:tbl>
    <w:p w:rsidR="00B13593" w:rsidRDefault="00B13593" w:rsidP="00054B06">
      <w:pPr>
        <w:divId w:val="656105338"/>
        <w:rPr>
          <w:sz w:val="18"/>
          <w:szCs w:val="18"/>
        </w:rPr>
      </w:pPr>
    </w:p>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48" w:name="_Toc989137"/>
      <w:r w:rsidRPr="008D136D">
        <w:rPr>
          <w:rStyle w:val="a4"/>
          <w:rFonts w:ascii="仿宋" w:eastAsia="仿宋" w:hAnsi="仿宋"/>
          <w:bCs w:val="0"/>
          <w:sz w:val="28"/>
          <w:szCs w:val="28"/>
        </w:rPr>
        <w:t>31、一年内到期的非流动负债</w:t>
      </w:r>
      <w:bookmarkEnd w:id="24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2,352,991.52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2,693,991.27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2,352,991.52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2,693,991.27</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49" w:name="_Toc989138"/>
      <w:r w:rsidRPr="008D136D">
        <w:rPr>
          <w:rStyle w:val="a4"/>
          <w:rFonts w:ascii="仿宋" w:eastAsia="仿宋" w:hAnsi="仿宋"/>
          <w:sz w:val="28"/>
          <w:szCs w:val="28"/>
        </w:rPr>
        <w:t>32、其他流动负债</w:t>
      </w:r>
      <w:bookmarkEnd w:id="24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197,272.20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718,789.14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197,272.20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718,789.14</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50" w:name="_Toc989139"/>
      <w:r w:rsidRPr="008D136D">
        <w:rPr>
          <w:rStyle w:val="a4"/>
          <w:rFonts w:ascii="仿宋" w:eastAsia="仿宋" w:hAnsi="仿宋"/>
          <w:bCs w:val="0"/>
          <w:sz w:val="28"/>
          <w:szCs w:val="28"/>
        </w:rPr>
        <w:lastRenderedPageBreak/>
        <w:t>33、租赁负债</w:t>
      </w:r>
      <w:bookmarkEnd w:id="25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租赁付款额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58,939,430.29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60,071,068.19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58,939,430.29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60,071,068.19</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51" w:name="_Toc989140"/>
      <w:r w:rsidRPr="008D136D">
        <w:rPr>
          <w:rStyle w:val="a4"/>
          <w:rFonts w:ascii="仿宋" w:eastAsia="仿宋" w:hAnsi="仿宋"/>
          <w:sz w:val="28"/>
          <w:szCs w:val="28"/>
        </w:rPr>
        <w:t>34、递延收益</w:t>
      </w:r>
      <w:bookmarkEnd w:id="25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形成原因</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32,993.52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4,569,397.39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653,741.63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3,948,649.28</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项目补助</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32,993.52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4,569,397.39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653,741.63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3,948,649.28</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8D136D">
        <w:rPr>
          <w:rStyle w:val="a4"/>
          <w:rFonts w:ascii="仿宋" w:eastAsia="仿宋" w:hAnsi="仿宋"/>
          <w:sz w:val="28"/>
          <w:szCs w:val="28"/>
        </w:rPr>
        <w:t>涉及政府补助的项目：</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2"/>
        <w:gridCol w:w="1134"/>
        <w:gridCol w:w="993"/>
        <w:gridCol w:w="992"/>
        <w:gridCol w:w="1134"/>
        <w:gridCol w:w="992"/>
        <w:gridCol w:w="1010"/>
        <w:gridCol w:w="1116"/>
        <w:gridCol w:w="1026"/>
      </w:tblGrid>
      <w:tr w:rsidR="00B13593" w:rsidTr="008D136D">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负债项目</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本期新增补助金额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本期计入营业外收入金额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本期计入其他收益金额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本期冲减成本费用金额</w:t>
            </w:r>
          </w:p>
        </w:tc>
        <w:tc>
          <w:tcPr>
            <w:tcW w:w="10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其他变动</w:t>
            </w:r>
          </w:p>
        </w:tc>
        <w:tc>
          <w:tcPr>
            <w:tcW w:w="111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与资产相关/与收益相关</w:t>
            </w:r>
          </w:p>
        </w:tc>
      </w:tr>
      <w:tr w:rsidR="00B13593" w:rsidTr="008D13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市战略新兴产品项目、省成果转化项目-资产部分</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32,993.52</w:t>
            </w: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11,716.77</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010"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21,276.75</w:t>
            </w:r>
          </w:p>
        </w:tc>
        <w:tc>
          <w:tcPr>
            <w:tcW w:w="102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与资产相关</w:t>
            </w:r>
          </w:p>
        </w:tc>
      </w:tr>
      <w:tr w:rsidR="00B13593" w:rsidTr="008D13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2022年辽宁省揭榜挂帅科技项目</w:t>
            </w: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642,024.86</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010"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4,569,397.39</w:t>
            </w:r>
          </w:p>
        </w:tc>
        <w:tc>
          <w:tcPr>
            <w:tcW w:w="111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3,927,372.53</w:t>
            </w:r>
          </w:p>
        </w:tc>
        <w:tc>
          <w:tcPr>
            <w:tcW w:w="102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与收益相关</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52" w:name="_Toc989141"/>
      <w:r w:rsidRPr="008D136D">
        <w:rPr>
          <w:rStyle w:val="a4"/>
          <w:rFonts w:ascii="仿宋" w:eastAsia="仿宋" w:hAnsi="仿宋"/>
          <w:bCs w:val="0"/>
          <w:sz w:val="28"/>
          <w:szCs w:val="28"/>
        </w:rPr>
        <w:t>35、其他非流动负债</w:t>
      </w:r>
      <w:bookmarkEnd w:id="25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合伙企业其他投资人份额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3,255,762.74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3,423,779.10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3,255,762.74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3,423,779.10</w:t>
            </w:r>
          </w:p>
        </w:tc>
      </w:tr>
    </w:tbl>
    <w:p w:rsidR="00B13593" w:rsidRDefault="00B13593" w:rsidP="00054B06">
      <w:pPr>
        <w:divId w:val="815269255"/>
        <w:rPr>
          <w:sz w:val="18"/>
          <w:szCs w:val="18"/>
        </w:rPr>
      </w:pPr>
    </w:p>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53" w:name="_Toc989142"/>
      <w:r w:rsidRPr="008D136D">
        <w:rPr>
          <w:rStyle w:val="a4"/>
          <w:rFonts w:ascii="仿宋" w:eastAsia="仿宋" w:hAnsi="仿宋"/>
          <w:sz w:val="28"/>
          <w:szCs w:val="28"/>
        </w:rPr>
        <w:t>36、股本</w:t>
      </w:r>
      <w:bookmarkEnd w:id="25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04"/>
        <w:gridCol w:w="1598"/>
        <w:gridCol w:w="992"/>
        <w:gridCol w:w="709"/>
        <w:gridCol w:w="1134"/>
        <w:gridCol w:w="1275"/>
        <w:gridCol w:w="1276"/>
        <w:gridCol w:w="1559"/>
      </w:tblGrid>
      <w:tr w:rsidR="00B13593" w:rsidTr="008D136D">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5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5386"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本次变动增减（+、-）</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rsidTr="008D136D">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5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发行新股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送股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公积金转股</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小计</w:t>
            </w: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r>
      <w:tr w:rsidR="00B13593" w:rsidTr="008D136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股份总数</w:t>
            </w:r>
          </w:p>
        </w:tc>
        <w:tc>
          <w:tcPr>
            <w:tcW w:w="159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992"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442,631,734.00</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8D136D">
        <w:rPr>
          <w:rStyle w:val="a4"/>
          <w:rFonts w:ascii="仿宋" w:eastAsia="仿宋" w:hAnsi="仿宋"/>
          <w:sz w:val="28"/>
          <w:szCs w:val="28"/>
        </w:rPr>
        <w:t>其他说明：</w:t>
      </w:r>
    </w:p>
    <w:p w:rsidR="00B13593" w:rsidRPr="008D136D" w:rsidRDefault="00B13593" w:rsidP="008D136D">
      <w:pPr>
        <w:pStyle w:val="a3"/>
        <w:widowControl w:val="0"/>
        <w:spacing w:before="0" w:beforeAutospacing="0" w:after="0" w:afterAutospacing="0" w:line="560" w:lineRule="exact"/>
        <w:ind w:firstLineChars="200" w:firstLine="562"/>
        <w:jc w:val="both"/>
        <w:divId w:val="2078477184"/>
        <w:rPr>
          <w:rStyle w:val="a4"/>
          <w:rFonts w:ascii="仿宋" w:eastAsia="仿宋" w:hAnsi="仿宋"/>
          <w:b w:val="0"/>
          <w:sz w:val="28"/>
          <w:szCs w:val="28"/>
        </w:rPr>
      </w:pPr>
      <w:r w:rsidRPr="008D136D">
        <w:rPr>
          <w:rStyle w:val="a4"/>
          <w:rFonts w:ascii="仿宋" w:eastAsia="仿宋" w:hAnsi="仿宋" w:hint="eastAsia"/>
          <w:sz w:val="28"/>
          <w:szCs w:val="28"/>
        </w:rPr>
        <w:t>股份总数变动：</w:t>
      </w:r>
      <w:r w:rsidRPr="008D136D">
        <w:rPr>
          <w:rStyle w:val="a4"/>
          <w:rFonts w:ascii="仿宋" w:eastAsia="仿宋" w:hAnsi="仿宋" w:hint="eastAsia"/>
          <w:b w:val="0"/>
          <w:sz w:val="28"/>
          <w:szCs w:val="28"/>
        </w:rPr>
        <w:t>主要系本期完成回购注销限制性股票229,590股所致。</w:t>
      </w:r>
    </w:p>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54" w:name="_Toc989143"/>
      <w:r w:rsidRPr="008D136D">
        <w:rPr>
          <w:rStyle w:val="a4"/>
          <w:rFonts w:ascii="仿宋" w:eastAsia="仿宋" w:hAnsi="仿宋"/>
          <w:bCs w:val="0"/>
          <w:sz w:val="28"/>
          <w:szCs w:val="28"/>
        </w:rPr>
        <w:t>37、资本公积</w:t>
      </w:r>
      <w:bookmarkEnd w:id="25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235"/>
        <w:gridCol w:w="1842"/>
        <w:gridCol w:w="1706"/>
        <w:gridCol w:w="1928"/>
        <w:gridCol w:w="1928"/>
      </w:tblGrid>
      <w:tr w:rsidR="00B13593" w:rsidTr="008D136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7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rsidTr="008D136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资本溢价（股本溢价）</w:t>
            </w:r>
          </w:p>
        </w:tc>
        <w:tc>
          <w:tcPr>
            <w:tcW w:w="184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650,404,136.68</w:t>
            </w:r>
          </w:p>
        </w:tc>
        <w:tc>
          <w:tcPr>
            <w:tcW w:w="17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650,404,136.68</w:t>
            </w:r>
          </w:p>
        </w:tc>
      </w:tr>
      <w:tr w:rsidR="00B13593" w:rsidTr="008D136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其他资本公积</w:t>
            </w:r>
          </w:p>
        </w:tc>
        <w:tc>
          <w:tcPr>
            <w:tcW w:w="184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58,289,532.37</w:t>
            </w:r>
          </w:p>
        </w:tc>
        <w:tc>
          <w:tcPr>
            <w:tcW w:w="17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2,476,778.43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971,165.70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59,795,145.10</w:t>
            </w:r>
          </w:p>
        </w:tc>
      </w:tr>
      <w:tr w:rsidR="00B13593" w:rsidTr="008D136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842"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708,693,669.05</w:t>
            </w:r>
          </w:p>
        </w:tc>
        <w:tc>
          <w:tcPr>
            <w:tcW w:w="17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2,476,778.43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971,165.70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710,199,281.78</w:t>
            </w:r>
          </w:p>
        </w:tc>
      </w:tr>
    </w:tbl>
    <w:p w:rsidR="008D136D" w:rsidRDefault="00B13F8C" w:rsidP="00705C45">
      <w:pPr>
        <w:pStyle w:val="a3"/>
        <w:widowControl w:val="0"/>
        <w:spacing w:before="0" w:beforeAutospacing="0" w:after="0" w:afterAutospacing="0" w:line="540" w:lineRule="exact"/>
        <w:ind w:firstLineChars="200" w:firstLine="562"/>
        <w:jc w:val="both"/>
        <w:rPr>
          <w:rStyle w:val="a4"/>
          <w:rFonts w:ascii="仿宋" w:eastAsia="仿宋" w:hAnsi="仿宋"/>
          <w:sz w:val="28"/>
          <w:szCs w:val="28"/>
        </w:rPr>
      </w:pPr>
      <w:r w:rsidRPr="008D136D">
        <w:rPr>
          <w:rStyle w:val="a4"/>
          <w:rFonts w:ascii="仿宋" w:eastAsia="仿宋" w:hAnsi="仿宋"/>
          <w:sz w:val="28"/>
          <w:szCs w:val="28"/>
        </w:rPr>
        <w:t>其他说明，包括本期增减变动情况、变动原因说明：</w:t>
      </w:r>
    </w:p>
    <w:p w:rsidR="00B13593" w:rsidRPr="008D136D" w:rsidRDefault="00B13593" w:rsidP="00705C45">
      <w:pPr>
        <w:pStyle w:val="a3"/>
        <w:widowControl w:val="0"/>
        <w:spacing w:before="0" w:beforeAutospacing="0" w:after="0" w:afterAutospacing="0" w:line="540" w:lineRule="exact"/>
        <w:ind w:firstLineChars="200" w:firstLine="560"/>
        <w:jc w:val="both"/>
        <w:rPr>
          <w:rStyle w:val="a4"/>
          <w:rFonts w:ascii="仿宋" w:eastAsia="仿宋" w:hAnsi="仿宋"/>
          <w:sz w:val="28"/>
          <w:szCs w:val="28"/>
        </w:rPr>
      </w:pPr>
      <w:r w:rsidRPr="008D136D">
        <w:rPr>
          <w:rStyle w:val="a4"/>
          <w:rFonts w:ascii="仿宋" w:eastAsia="仿宋" w:hAnsi="仿宋" w:hint="eastAsia"/>
          <w:b w:val="0"/>
          <w:sz w:val="28"/>
          <w:szCs w:val="28"/>
        </w:rPr>
        <w:t>其他资本公积变动：本期增加系摊销首次股份支付计划及预留部分股份支付计划费用2,476,778.43元。本期减少系完成回购注销限制性股票减少资本公积971,165.70元。</w:t>
      </w:r>
    </w:p>
    <w:p w:rsidR="00B13593" w:rsidRPr="008D136D" w:rsidRDefault="00B13F8C" w:rsidP="00705C45">
      <w:pPr>
        <w:pStyle w:val="a3"/>
        <w:widowControl w:val="0"/>
        <w:spacing w:before="0" w:beforeAutospacing="0" w:after="0" w:afterAutospacing="0" w:line="540" w:lineRule="exact"/>
        <w:ind w:firstLineChars="200" w:firstLine="562"/>
        <w:jc w:val="both"/>
        <w:rPr>
          <w:rStyle w:val="a4"/>
          <w:rFonts w:ascii="仿宋" w:eastAsia="仿宋" w:hAnsi="仿宋"/>
          <w:sz w:val="28"/>
          <w:szCs w:val="28"/>
        </w:rPr>
      </w:pPr>
      <w:bookmarkStart w:id="255" w:name="_Toc989144"/>
      <w:r w:rsidRPr="008D136D">
        <w:rPr>
          <w:rStyle w:val="a4"/>
          <w:rFonts w:ascii="仿宋" w:eastAsia="仿宋" w:hAnsi="仿宋"/>
          <w:sz w:val="28"/>
          <w:szCs w:val="28"/>
        </w:rPr>
        <w:t>38、库存股</w:t>
      </w:r>
      <w:bookmarkEnd w:id="25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7,965,520.85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57,361,020.92</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7,965,520.85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57,361,020.92</w:t>
            </w:r>
          </w:p>
        </w:tc>
      </w:tr>
    </w:tbl>
    <w:p w:rsidR="00B13593" w:rsidRPr="008D136D" w:rsidRDefault="00B13F8C" w:rsidP="00705C45">
      <w:pPr>
        <w:pStyle w:val="a3"/>
        <w:widowControl w:val="0"/>
        <w:spacing w:before="0" w:beforeAutospacing="0" w:after="0" w:afterAutospacing="0" w:line="540" w:lineRule="exact"/>
        <w:ind w:firstLineChars="200" w:firstLine="562"/>
        <w:jc w:val="both"/>
        <w:rPr>
          <w:rStyle w:val="a4"/>
          <w:rFonts w:ascii="仿宋" w:eastAsia="仿宋" w:hAnsi="仿宋"/>
          <w:sz w:val="28"/>
          <w:szCs w:val="28"/>
        </w:rPr>
      </w:pPr>
      <w:r w:rsidRPr="008D136D">
        <w:rPr>
          <w:rStyle w:val="a4"/>
          <w:rFonts w:ascii="仿宋" w:eastAsia="仿宋" w:hAnsi="仿宋"/>
          <w:sz w:val="28"/>
          <w:szCs w:val="28"/>
        </w:rPr>
        <w:t>其他说明，包括本期增减变动情况、变动原因说明：</w:t>
      </w:r>
    </w:p>
    <w:p w:rsidR="00B13593" w:rsidRPr="008D136D" w:rsidRDefault="00B13593" w:rsidP="00705C45">
      <w:pPr>
        <w:pStyle w:val="a3"/>
        <w:widowControl w:val="0"/>
        <w:spacing w:before="0" w:beforeAutospacing="0" w:after="0" w:afterAutospacing="0" w:line="540" w:lineRule="exact"/>
        <w:ind w:firstLineChars="200" w:firstLine="560"/>
        <w:jc w:val="both"/>
        <w:divId w:val="516969584"/>
        <w:rPr>
          <w:rStyle w:val="a4"/>
          <w:rFonts w:ascii="仿宋" w:eastAsia="仿宋" w:hAnsi="仿宋"/>
          <w:b w:val="0"/>
          <w:sz w:val="28"/>
          <w:szCs w:val="28"/>
        </w:rPr>
      </w:pPr>
      <w:r w:rsidRPr="008D136D">
        <w:rPr>
          <w:rStyle w:val="a4"/>
          <w:rFonts w:ascii="仿宋" w:eastAsia="仿宋" w:hAnsi="仿宋" w:hint="eastAsia"/>
          <w:b w:val="0"/>
          <w:sz w:val="28"/>
          <w:szCs w:val="28"/>
        </w:rPr>
        <w:t>库存股本期减少为核销首次股份支付计划第二批解禁股数的回购义务5,661,198.54元、核销预留股份支付计划第一批解禁股数的回购义务1,103,566.61元。注销已离职人员所获的限制性股票1,200,755.70元。</w:t>
      </w:r>
    </w:p>
    <w:p w:rsidR="00B13593" w:rsidRPr="008D136D" w:rsidRDefault="00B13F8C" w:rsidP="00705C45">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256" w:name="_Toc989145"/>
      <w:r w:rsidRPr="008D136D">
        <w:rPr>
          <w:rStyle w:val="a4"/>
          <w:rFonts w:ascii="仿宋" w:eastAsia="仿宋" w:hAnsi="仿宋"/>
          <w:bCs w:val="0"/>
          <w:sz w:val="28"/>
          <w:szCs w:val="28"/>
        </w:rPr>
        <w:t>39、专项储备</w:t>
      </w:r>
      <w:bookmarkEnd w:id="25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5,317,066.43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902,065.95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74,009.34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6,145,123.04</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5,317,066.43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902,065.95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74,009.34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6,145,123.04</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57" w:name="_Toc989146"/>
      <w:r w:rsidRPr="008D136D">
        <w:rPr>
          <w:rStyle w:val="a4"/>
          <w:rFonts w:ascii="仿宋" w:eastAsia="仿宋" w:hAnsi="仿宋"/>
          <w:sz w:val="28"/>
          <w:szCs w:val="28"/>
        </w:rPr>
        <w:t>40、盈余公积</w:t>
      </w:r>
      <w:bookmarkEnd w:id="25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90,928,947.53</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90,928,947.53</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58" w:name="_Toc989147"/>
      <w:r w:rsidRPr="008D136D">
        <w:rPr>
          <w:rStyle w:val="a4"/>
          <w:rFonts w:ascii="仿宋" w:eastAsia="仿宋" w:hAnsi="仿宋"/>
          <w:bCs w:val="0"/>
          <w:sz w:val="28"/>
          <w:szCs w:val="28"/>
        </w:rPr>
        <w:t>41、未分配利润</w:t>
      </w:r>
      <w:bookmarkEnd w:id="25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上期</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572,279,282.75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458,070,573.76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572,279,282.75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458,070,573.76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119,408,179.51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5,199,470.52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608,781,643.58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572,279,282.75</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59" w:name="_Toc989148"/>
      <w:r w:rsidRPr="008D136D">
        <w:rPr>
          <w:rStyle w:val="a4"/>
          <w:rFonts w:ascii="仿宋" w:eastAsia="仿宋" w:hAnsi="仿宋"/>
          <w:sz w:val="28"/>
          <w:szCs w:val="28"/>
        </w:rPr>
        <w:lastRenderedPageBreak/>
        <w:t>42、营业收入和营业成本</w:t>
      </w:r>
      <w:bookmarkEnd w:id="25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成本</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198,744,351.82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77,282,995.27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175,637,224.90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79,128,669.30</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3,156,861.84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1,322,011.37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4,749,470.50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2,384,164.79</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201,901,213.66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78,605,006.64</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180,386,695.40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81,512,834.09</w:t>
            </w:r>
          </w:p>
        </w:tc>
      </w:tr>
    </w:tbl>
    <w:p w:rsidR="00B13593" w:rsidRPr="008D136D" w:rsidRDefault="00B13F8C" w:rsidP="008D136D">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8D136D">
        <w:rPr>
          <w:rStyle w:val="a4"/>
          <w:rFonts w:ascii="仿宋" w:eastAsia="仿宋" w:hAnsi="仿宋"/>
          <w:sz w:val="28"/>
          <w:szCs w:val="28"/>
        </w:rPr>
        <w:t>收入相关信息：</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合同分类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分部1</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分部2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分部3</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分部4</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商品类型</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2,344,391.25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136,727,277.96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50,318,181.63</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12,511,362.82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201,901,213.66</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其中：</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电源及相关产品</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136,727,277.96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136,727,277.96</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高性能特种合金材料制品</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49,505,711.04</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12,511,362.82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62,017,073.86</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2,344,391.25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812,470.59</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3,156,861.84</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按经营地区分类</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2,344,391.25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136,727,277.96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50,318,181.63</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12,511,362.82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201,901,213.66</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 xml:space="preserve">　其中：</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D136D">
            <w:pPr>
              <w:spacing w:line="300" w:lineRule="exact"/>
            </w:pP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广东</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2,344,391.25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2,344,391.25</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四川</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136,727,277.96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136,727,277.96</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辽宁</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8D136D">
            <w:pPr>
              <w:spacing w:line="30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50,318,181.63</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12,511,362.82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62,829,544.45</w:t>
            </w:r>
          </w:p>
        </w:tc>
      </w:tr>
      <w:tr w:rsidR="00B13593" w:rsidTr="008D136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D136D">
            <w:pPr>
              <w:spacing w:line="30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2,344,391.25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136,727,277.96</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50,318,181.63</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9937C0" w:rsidP="008D136D">
            <w:pPr>
              <w:spacing w:line="300" w:lineRule="exact"/>
              <w:jc w:val="right"/>
              <w:rPr>
                <w:rFonts w:ascii="宋体" w:eastAsia="宋体" w:hAnsi="宋体" w:cs="宋体"/>
                <w:sz w:val="18"/>
                <w:szCs w:val="18"/>
              </w:rPr>
            </w:pPr>
            <w:r w:rsidRPr="009937C0">
              <w:rPr>
                <w:rFonts w:ascii="宋体" w:eastAsia="宋体" w:hAnsi="宋体" w:cs="宋体"/>
                <w:sz w:val="18"/>
                <w:szCs w:val="18"/>
              </w:rPr>
              <w:t>12,511,362.82</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8D136D">
            <w:pPr>
              <w:spacing w:line="300" w:lineRule="exact"/>
              <w:jc w:val="right"/>
              <w:rPr>
                <w:rFonts w:ascii="宋体" w:eastAsia="宋体" w:hAnsi="宋体" w:cs="宋体"/>
                <w:sz w:val="18"/>
                <w:szCs w:val="18"/>
              </w:rPr>
            </w:pPr>
            <w:r>
              <w:rPr>
                <w:rFonts w:ascii="宋体" w:eastAsia="宋体" w:hAnsi="宋体" w:cs="宋体"/>
                <w:sz w:val="18"/>
                <w:szCs w:val="18"/>
              </w:rPr>
              <w:t>201,901,213.66</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60" w:name="_Toc989149"/>
      <w:r w:rsidRPr="0088784C">
        <w:rPr>
          <w:rStyle w:val="a4"/>
          <w:rFonts w:ascii="仿宋" w:eastAsia="仿宋" w:hAnsi="仿宋"/>
          <w:bCs w:val="0"/>
          <w:sz w:val="28"/>
          <w:szCs w:val="28"/>
        </w:rPr>
        <w:t>43、税金及附加</w:t>
      </w:r>
      <w:bookmarkEnd w:id="26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903,612.68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229,373.40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387,262.56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98,262.27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317,567.77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315,194.56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80,301.20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39,631.20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80,250.61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54,628.62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258,157.87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65,508.21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2,027,552.69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803,398.26</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61" w:name="_Toc989150"/>
      <w:r w:rsidRPr="0088784C">
        <w:rPr>
          <w:rStyle w:val="a4"/>
          <w:rFonts w:ascii="仿宋" w:eastAsia="仿宋" w:hAnsi="仿宋"/>
          <w:sz w:val="28"/>
          <w:szCs w:val="28"/>
        </w:rPr>
        <w:t>44、销售费用</w:t>
      </w:r>
      <w:bookmarkEnd w:id="26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2,232,489.34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2,205,969.74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284,721.99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215,649.10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271,874.29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23,181.74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交通差旅费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704,103.74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255,660.67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CE36A1" w:rsidP="0088784C">
            <w:pPr>
              <w:spacing w:line="300" w:lineRule="exact"/>
              <w:jc w:val="right"/>
              <w:rPr>
                <w:rFonts w:ascii="宋体" w:eastAsia="宋体" w:hAnsi="宋体" w:cs="宋体"/>
                <w:sz w:val="18"/>
                <w:szCs w:val="18"/>
              </w:rPr>
            </w:pPr>
            <w:r w:rsidRPr="00CE36A1">
              <w:rPr>
                <w:rFonts w:ascii="宋体" w:eastAsia="宋体" w:hAnsi="宋体" w:cs="宋体" w:hint="eastAsia"/>
                <w:sz w:val="18"/>
                <w:szCs w:val="18"/>
              </w:rPr>
              <w:t>2,227,344.84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1,002,249.42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lastRenderedPageBreak/>
              <w:t>业务推广费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CE36A1" w:rsidP="0088784C">
            <w:pPr>
              <w:spacing w:line="300" w:lineRule="exact"/>
              <w:jc w:val="right"/>
              <w:rPr>
                <w:rFonts w:ascii="宋体" w:eastAsia="宋体" w:hAnsi="宋体" w:cs="宋体"/>
                <w:sz w:val="18"/>
                <w:szCs w:val="18"/>
              </w:rPr>
            </w:pPr>
            <w:r w:rsidRPr="00CE36A1">
              <w:rPr>
                <w:rFonts w:ascii="宋体" w:eastAsia="宋体" w:hAnsi="宋体" w:cs="宋体" w:hint="eastAsia"/>
                <w:sz w:val="18"/>
                <w:szCs w:val="18"/>
              </w:rPr>
              <w:t>10,196,079.64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18,683,018.16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46,041.57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166,214.96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15,962,655.41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22,551,943.79</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62" w:name="_Toc989151"/>
      <w:r w:rsidRPr="0088784C">
        <w:rPr>
          <w:rStyle w:val="a4"/>
          <w:rFonts w:ascii="仿宋" w:eastAsia="仿宋" w:hAnsi="仿宋"/>
          <w:bCs w:val="0"/>
          <w:sz w:val="28"/>
          <w:szCs w:val="28"/>
        </w:rPr>
        <w:t>45、管理费用</w:t>
      </w:r>
      <w:bookmarkEnd w:id="26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11,840,502.37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10,783,591.33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3,583,763.52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3,427,079.39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办公业务费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2,332,965.22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2,649,112.94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中介咨询费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2,464,208.79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1,678,145.10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890,019.83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247,867.57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324,264.47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351,872.15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证券费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9,633.95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44,620.78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股权激励费用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2,518,616.21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5,501,544.74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1,420,145.12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1,475,359.84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25,384,119.48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26,159,193.84</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63" w:name="_Toc989152"/>
      <w:r w:rsidRPr="0088784C">
        <w:rPr>
          <w:rStyle w:val="a4"/>
          <w:rFonts w:ascii="仿宋" w:eastAsia="仿宋" w:hAnsi="仿宋"/>
          <w:sz w:val="28"/>
          <w:szCs w:val="28"/>
        </w:rPr>
        <w:t>46、研发费用</w:t>
      </w:r>
      <w:bookmarkEnd w:id="26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人员人工</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16,232,515.68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11,379,106.00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12,511,477.17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6,337,417.63</w:t>
            </w:r>
          </w:p>
        </w:tc>
      </w:tr>
      <w:tr w:rsidR="00EB146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EB1463" w:rsidRDefault="00EB1463" w:rsidP="008B420D">
            <w:pPr>
              <w:spacing w:line="300" w:lineRule="exact"/>
              <w:rPr>
                <w:rFonts w:ascii="宋体" w:eastAsia="宋体" w:hAnsi="宋体" w:cs="宋体"/>
                <w:sz w:val="18"/>
                <w:szCs w:val="18"/>
              </w:rPr>
            </w:pPr>
            <w:r>
              <w:rPr>
                <w:rFonts w:ascii="宋体" w:eastAsia="宋体" w:hAnsi="宋体" w:cs="宋体"/>
                <w:sz w:val="18"/>
                <w:szCs w:val="18"/>
              </w:rPr>
              <w:t>咨询</w:t>
            </w:r>
            <w:r>
              <w:rPr>
                <w:rFonts w:ascii="宋体" w:eastAsia="宋体" w:hAnsi="宋体" w:cs="宋体" w:hint="eastAsia"/>
                <w:sz w:val="18"/>
                <w:szCs w:val="18"/>
              </w:rPr>
              <w:t>服务</w:t>
            </w:r>
            <w:r>
              <w:rPr>
                <w:rFonts w:ascii="宋体" w:eastAsia="宋体" w:hAnsi="宋体" w:cs="宋体"/>
                <w:sz w:val="18"/>
                <w:szCs w:val="18"/>
              </w:rPr>
              <w:t>费</w:t>
            </w:r>
          </w:p>
        </w:tc>
        <w:tc>
          <w:tcPr>
            <w:tcW w:w="3213" w:type="dxa"/>
            <w:tcBorders>
              <w:top w:val="single" w:sz="2" w:space="0" w:color="auto"/>
              <w:left w:val="single" w:sz="2" w:space="0" w:color="auto"/>
              <w:bottom w:val="single" w:sz="2" w:space="0" w:color="auto"/>
              <w:right w:val="single" w:sz="2" w:space="0" w:color="auto"/>
            </w:tcBorders>
            <w:vAlign w:val="center"/>
          </w:tcPr>
          <w:p w:rsidR="00EB1463" w:rsidRDefault="00EB1463" w:rsidP="008B420D">
            <w:pPr>
              <w:spacing w:line="300" w:lineRule="exact"/>
              <w:jc w:val="right"/>
              <w:rPr>
                <w:rFonts w:ascii="宋体" w:eastAsia="宋体" w:hAnsi="宋体" w:cs="宋体"/>
                <w:sz w:val="18"/>
                <w:szCs w:val="18"/>
              </w:rPr>
            </w:pPr>
            <w:r>
              <w:rPr>
                <w:rFonts w:ascii="宋体" w:eastAsia="宋体" w:hAnsi="宋体" w:cs="宋体"/>
                <w:sz w:val="18"/>
                <w:szCs w:val="18"/>
              </w:rPr>
              <w:t>9,358,848.26</w:t>
            </w:r>
          </w:p>
        </w:tc>
        <w:tc>
          <w:tcPr>
            <w:tcW w:w="3213" w:type="dxa"/>
            <w:tcBorders>
              <w:top w:val="single" w:sz="2" w:space="0" w:color="auto"/>
              <w:left w:val="single" w:sz="2" w:space="0" w:color="auto"/>
              <w:bottom w:val="single" w:sz="2" w:space="0" w:color="auto"/>
              <w:right w:val="single" w:sz="2" w:space="0" w:color="auto"/>
            </w:tcBorders>
            <w:vAlign w:val="center"/>
          </w:tcPr>
          <w:p w:rsidR="00EB1463" w:rsidRDefault="00EB1463" w:rsidP="0088784C">
            <w:pPr>
              <w:spacing w:line="300" w:lineRule="exact"/>
              <w:jc w:val="right"/>
              <w:rPr>
                <w:rFonts w:ascii="宋体" w:eastAsia="宋体" w:hAnsi="宋体" w:cs="宋体"/>
                <w:sz w:val="18"/>
                <w:szCs w:val="18"/>
              </w:rPr>
            </w:pPr>
          </w:p>
        </w:tc>
      </w:tr>
      <w:tr w:rsidR="00EB146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EB1463" w:rsidRDefault="00EB1463" w:rsidP="008B420D">
            <w:pPr>
              <w:spacing w:line="300" w:lineRule="exact"/>
              <w:rPr>
                <w:rFonts w:ascii="宋体" w:eastAsia="宋体" w:hAnsi="宋体" w:cs="宋体"/>
                <w:sz w:val="18"/>
                <w:szCs w:val="18"/>
              </w:rPr>
            </w:pPr>
            <w:r>
              <w:rPr>
                <w:rFonts w:ascii="宋体" w:eastAsia="宋体" w:hAnsi="宋体" w:cs="宋体"/>
                <w:sz w:val="18"/>
                <w:szCs w:val="18"/>
              </w:rPr>
              <w:t>折旧</w:t>
            </w:r>
            <w:r>
              <w:rPr>
                <w:rFonts w:ascii="宋体" w:eastAsia="宋体" w:hAnsi="宋体" w:cs="宋体" w:hint="eastAsia"/>
                <w:sz w:val="18"/>
                <w:szCs w:val="18"/>
              </w:rPr>
              <w:t>摊销</w:t>
            </w:r>
          </w:p>
        </w:tc>
        <w:tc>
          <w:tcPr>
            <w:tcW w:w="3213" w:type="dxa"/>
            <w:tcBorders>
              <w:top w:val="single" w:sz="2" w:space="0" w:color="auto"/>
              <w:left w:val="single" w:sz="2" w:space="0" w:color="auto"/>
              <w:bottom w:val="single" w:sz="2" w:space="0" w:color="auto"/>
              <w:right w:val="single" w:sz="2" w:space="0" w:color="auto"/>
            </w:tcBorders>
            <w:vAlign w:val="center"/>
          </w:tcPr>
          <w:p w:rsidR="00EB1463" w:rsidRDefault="00EB1463" w:rsidP="008B420D">
            <w:pPr>
              <w:spacing w:line="300" w:lineRule="exact"/>
              <w:jc w:val="right"/>
              <w:rPr>
                <w:rFonts w:ascii="宋体" w:eastAsia="宋体" w:hAnsi="宋体" w:cs="宋体"/>
                <w:sz w:val="18"/>
                <w:szCs w:val="18"/>
              </w:rPr>
            </w:pPr>
            <w:r w:rsidRPr="001E77E1">
              <w:rPr>
                <w:rFonts w:ascii="宋体" w:eastAsia="宋体" w:hAnsi="宋体" w:cs="宋体"/>
                <w:sz w:val="18"/>
                <w:szCs w:val="18"/>
              </w:rPr>
              <w:t>3,006,964.39</w:t>
            </w:r>
          </w:p>
        </w:tc>
        <w:tc>
          <w:tcPr>
            <w:tcW w:w="3213" w:type="dxa"/>
            <w:tcBorders>
              <w:top w:val="single" w:sz="2" w:space="0" w:color="auto"/>
              <w:left w:val="single" w:sz="2" w:space="0" w:color="auto"/>
              <w:bottom w:val="single" w:sz="2" w:space="0" w:color="auto"/>
              <w:right w:val="single" w:sz="2" w:space="0" w:color="auto"/>
            </w:tcBorders>
            <w:vAlign w:val="center"/>
          </w:tcPr>
          <w:p w:rsidR="00EB1463" w:rsidRDefault="00EB1463" w:rsidP="0088784C">
            <w:pPr>
              <w:spacing w:line="300" w:lineRule="exact"/>
              <w:jc w:val="right"/>
              <w:rPr>
                <w:rFonts w:ascii="宋体" w:eastAsia="宋体" w:hAnsi="宋体" w:cs="宋体"/>
                <w:sz w:val="18"/>
                <w:szCs w:val="18"/>
              </w:rPr>
            </w:pPr>
            <w:r>
              <w:rPr>
                <w:rFonts w:ascii="宋体" w:eastAsia="宋体" w:hAnsi="宋体" w:cs="宋体"/>
                <w:sz w:val="18"/>
                <w:szCs w:val="18"/>
              </w:rPr>
              <w:t>1,321,681.85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委托开发费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190,000.00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1,486,000.00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2,085,685.84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781,559.07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43,385,491.34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21,305,764.55</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64" w:name="_Toc989153"/>
      <w:r w:rsidRPr="0088784C">
        <w:rPr>
          <w:rStyle w:val="a4"/>
          <w:rFonts w:ascii="仿宋" w:eastAsia="仿宋" w:hAnsi="仿宋"/>
          <w:bCs w:val="0"/>
          <w:sz w:val="28"/>
          <w:szCs w:val="28"/>
        </w:rPr>
        <w:t>47、财务费用</w:t>
      </w:r>
      <w:bookmarkEnd w:id="264"/>
    </w:p>
    <w:p w:rsidR="0088784C" w:rsidRDefault="0088784C" w:rsidP="00054B06">
      <w:pPr>
        <w:spacing w:before="40" w:after="40" w:line="240" w:lineRule="exact"/>
        <w:jc w:val="right"/>
        <w:rPr>
          <w:rFonts w:ascii="宋体" w:eastAsia="宋体" w:hAnsi="宋体" w:cs="宋体"/>
          <w:sz w:val="18"/>
          <w:szCs w:val="18"/>
        </w:rPr>
      </w:pPr>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9032E8" w:rsidP="009032E8">
            <w:pPr>
              <w:spacing w:line="300" w:lineRule="exact"/>
              <w:jc w:val="right"/>
              <w:rPr>
                <w:rFonts w:ascii="宋体" w:eastAsia="宋体" w:hAnsi="宋体" w:cs="宋体"/>
                <w:sz w:val="18"/>
                <w:szCs w:val="18"/>
              </w:rPr>
            </w:pPr>
            <w:r>
              <w:rPr>
                <w:rFonts w:ascii="宋体" w:eastAsia="宋体" w:hAnsi="宋体" w:cs="宋体"/>
                <w:sz w:val="18"/>
                <w:szCs w:val="18"/>
              </w:rPr>
              <w:t>1,439,090.8</w:t>
            </w:r>
            <w:r>
              <w:rPr>
                <w:rFonts w:ascii="宋体" w:eastAsia="宋体" w:hAnsi="宋体" w:cs="宋体" w:hint="eastAsia"/>
                <w:sz w:val="18"/>
                <w:szCs w:val="18"/>
              </w:rPr>
              <w:t>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1,495,293.44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9032E8" w:rsidP="0088784C">
            <w:pPr>
              <w:spacing w:line="300" w:lineRule="exact"/>
              <w:jc w:val="right"/>
              <w:rPr>
                <w:rFonts w:ascii="宋体" w:eastAsia="宋体" w:hAnsi="宋体" w:cs="宋体"/>
                <w:sz w:val="18"/>
                <w:szCs w:val="18"/>
              </w:rPr>
            </w:pPr>
            <w:r>
              <w:rPr>
                <w:rFonts w:ascii="宋体" w:eastAsia="宋体" w:hAnsi="宋体" w:cs="宋体"/>
                <w:sz w:val="18"/>
                <w:szCs w:val="18"/>
              </w:rPr>
              <w:t>-1,305,659.23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-1,010,326.64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手续费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13,004.87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11,266.32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-7,521.70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-13,365.20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合伙企业其他方净资产变动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-168,016.36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-113,093.42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-29,101.59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369,774.50</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65" w:name="_Toc989154"/>
      <w:r w:rsidRPr="0088784C">
        <w:rPr>
          <w:rStyle w:val="a4"/>
          <w:rFonts w:ascii="仿宋" w:eastAsia="仿宋" w:hAnsi="仿宋"/>
          <w:sz w:val="28"/>
          <w:szCs w:val="28"/>
        </w:rPr>
        <w:t>48、其他收益</w:t>
      </w:r>
      <w:bookmarkEnd w:id="26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一、计入其他收益的政府补助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DC03A4" w:rsidP="0088784C">
            <w:pPr>
              <w:spacing w:line="300" w:lineRule="exact"/>
              <w:jc w:val="right"/>
              <w:rPr>
                <w:rFonts w:ascii="宋体" w:eastAsia="宋体" w:hAnsi="宋体" w:cs="宋体"/>
                <w:sz w:val="18"/>
                <w:szCs w:val="18"/>
              </w:rPr>
            </w:pPr>
            <w:r w:rsidRPr="00DC03A4">
              <w:rPr>
                <w:rFonts w:ascii="宋体" w:eastAsia="宋体" w:hAnsi="宋体" w:cs="宋体"/>
                <w:sz w:val="18"/>
                <w:szCs w:val="18"/>
              </w:rPr>
              <w:t>1,401,048.07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6,180,224.26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其中：与递延收益相关的政府补助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653,741.63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36,805.80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直接计入当期损益的政府补助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DC03A4" w:rsidP="0088784C">
            <w:pPr>
              <w:spacing w:line="300" w:lineRule="exact"/>
              <w:jc w:val="right"/>
              <w:rPr>
                <w:rFonts w:ascii="宋体" w:eastAsia="宋体" w:hAnsi="宋体" w:cs="宋体"/>
                <w:sz w:val="18"/>
                <w:szCs w:val="18"/>
              </w:rPr>
            </w:pPr>
            <w:r w:rsidRPr="00DC03A4">
              <w:rPr>
                <w:rFonts w:ascii="宋体" w:eastAsia="宋体" w:hAnsi="宋体" w:cs="宋体"/>
                <w:sz w:val="18"/>
                <w:szCs w:val="18"/>
              </w:rPr>
              <w:t>747,306.44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6,143,418.46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lastRenderedPageBreak/>
              <w:t>二、其他与日常活动相关且计入其他收益的项目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DC03A4" w:rsidP="0088784C">
            <w:pPr>
              <w:spacing w:line="300" w:lineRule="exact"/>
              <w:jc w:val="right"/>
              <w:rPr>
                <w:rFonts w:ascii="宋体" w:eastAsia="宋体" w:hAnsi="宋体" w:cs="宋体"/>
                <w:sz w:val="18"/>
                <w:szCs w:val="18"/>
              </w:rPr>
            </w:pPr>
            <w:r w:rsidRPr="00DC03A4">
              <w:rPr>
                <w:rFonts w:ascii="宋体" w:eastAsia="宋体" w:hAnsi="宋体" w:cs="宋体"/>
                <w:sz w:val="18"/>
                <w:szCs w:val="18"/>
              </w:rPr>
              <w:t>262,458.18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583,936.77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其中：个税扣缴税款手续费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DC03A4" w:rsidP="0088784C">
            <w:pPr>
              <w:spacing w:line="300" w:lineRule="exact"/>
              <w:jc w:val="right"/>
              <w:rPr>
                <w:rFonts w:ascii="宋体" w:eastAsia="宋体" w:hAnsi="宋体" w:cs="宋体"/>
                <w:sz w:val="18"/>
                <w:szCs w:val="18"/>
              </w:rPr>
            </w:pPr>
            <w:r w:rsidRPr="00DC03A4">
              <w:rPr>
                <w:rFonts w:ascii="宋体" w:eastAsia="宋体" w:hAnsi="宋体" w:cs="宋体"/>
                <w:sz w:val="18"/>
                <w:szCs w:val="18"/>
              </w:rPr>
              <w:t>262,458.18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583,936.77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1,663,506.25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6,764,161.03</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66" w:name="_Toc989155"/>
      <w:r w:rsidRPr="0088784C">
        <w:rPr>
          <w:rStyle w:val="a4"/>
          <w:rFonts w:ascii="仿宋" w:eastAsia="仿宋" w:hAnsi="仿宋"/>
          <w:bCs w:val="0"/>
          <w:sz w:val="28"/>
          <w:szCs w:val="28"/>
        </w:rPr>
        <w:t>49、投资收益</w:t>
      </w:r>
      <w:bookmarkEnd w:id="26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369"/>
        <w:gridCol w:w="3057"/>
        <w:gridCol w:w="3213"/>
      </w:tblGrid>
      <w:tr w:rsidR="00B13593" w:rsidTr="000C1BED">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05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rsidTr="000C1BED">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057"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3,919,503.87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5,906,530.78</w:t>
            </w:r>
          </w:p>
        </w:tc>
      </w:tr>
      <w:tr w:rsidR="00B13593" w:rsidTr="000C1BED">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057"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4,020,861.15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4,827,116.52</w:t>
            </w:r>
          </w:p>
        </w:tc>
      </w:tr>
      <w:tr w:rsidR="00B13593" w:rsidTr="00451EE5">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auto"/>
            <w:vAlign w:val="center"/>
          </w:tcPr>
          <w:p w:rsidR="00B13593" w:rsidRDefault="009032E8" w:rsidP="0088784C">
            <w:pPr>
              <w:spacing w:line="300" w:lineRule="exact"/>
              <w:rPr>
                <w:rFonts w:ascii="宋体" w:eastAsia="宋体" w:hAnsi="宋体" w:cs="宋体"/>
                <w:sz w:val="18"/>
                <w:szCs w:val="18"/>
              </w:rPr>
            </w:pPr>
            <w:r>
              <w:rPr>
                <w:rFonts w:ascii="宋体" w:eastAsia="宋体" w:hAnsi="宋体" w:cs="宋体" w:hint="eastAsia"/>
                <w:sz w:val="18"/>
                <w:szCs w:val="18"/>
              </w:rPr>
              <w:t>处置交易性金融资产取得的投资收益</w:t>
            </w:r>
          </w:p>
        </w:tc>
        <w:tc>
          <w:tcPr>
            <w:tcW w:w="3057"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-744,108.42</w:t>
            </w:r>
          </w:p>
        </w:tc>
      </w:tr>
      <w:tr w:rsidR="00B13593" w:rsidTr="00451EE5">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auto"/>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其他</w:t>
            </w:r>
          </w:p>
        </w:tc>
        <w:tc>
          <w:tcPr>
            <w:tcW w:w="3057"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5,181.63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-26,991.12</w:t>
            </w:r>
          </w:p>
        </w:tc>
      </w:tr>
      <w:tr w:rsidR="00B13593" w:rsidTr="00451EE5">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auto"/>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057"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7,945,546.65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9,962,547.76</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67" w:name="_Toc989156"/>
      <w:r w:rsidRPr="0088784C">
        <w:rPr>
          <w:rStyle w:val="a4"/>
          <w:rFonts w:ascii="仿宋" w:eastAsia="仿宋" w:hAnsi="仿宋"/>
          <w:sz w:val="28"/>
          <w:szCs w:val="28"/>
        </w:rPr>
        <w:t>50、公允价值变动收益</w:t>
      </w:r>
      <w:bookmarkEnd w:id="26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-997,719.19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-3,298,910.84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-997,719.19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-3,298,910.84</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68" w:name="_Toc989157"/>
      <w:r w:rsidRPr="0088784C">
        <w:rPr>
          <w:rStyle w:val="a4"/>
          <w:rFonts w:ascii="仿宋" w:eastAsia="仿宋" w:hAnsi="仿宋"/>
          <w:bCs w:val="0"/>
          <w:sz w:val="28"/>
          <w:szCs w:val="28"/>
        </w:rPr>
        <w:t>51、信用减值损失</w:t>
      </w:r>
      <w:bookmarkEnd w:id="26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-59,703.81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280,389.72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-1,254,337.10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1,443,217.58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-2,905,030.75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-4,354,041.42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-4,219,071.66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-2,630,434.12</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69" w:name="_Toc989158"/>
      <w:r w:rsidRPr="0088784C">
        <w:rPr>
          <w:rStyle w:val="a4"/>
          <w:rFonts w:ascii="仿宋" w:eastAsia="仿宋" w:hAnsi="仿宋"/>
          <w:sz w:val="28"/>
          <w:szCs w:val="28"/>
        </w:rPr>
        <w:t>52、资产减值损失</w:t>
      </w:r>
      <w:bookmarkEnd w:id="26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二、存货跌价损失及合同履约成本减值损失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-3,396,387.54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-3,396,387.54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70" w:name="_Toc989159"/>
      <w:r w:rsidRPr="0088784C">
        <w:rPr>
          <w:rStyle w:val="a4"/>
          <w:rFonts w:ascii="仿宋" w:eastAsia="仿宋" w:hAnsi="仿宋"/>
          <w:bCs w:val="0"/>
          <w:sz w:val="28"/>
          <w:szCs w:val="28"/>
        </w:rPr>
        <w:t>53、资产处置收益</w:t>
      </w:r>
      <w:bookmarkEnd w:id="27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固定资产处置利得</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-4,793.19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17,649.58</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71" w:name="_Toc989160"/>
      <w:r w:rsidRPr="0088784C">
        <w:rPr>
          <w:rStyle w:val="a4"/>
          <w:rFonts w:ascii="仿宋" w:eastAsia="仿宋" w:hAnsi="仿宋"/>
          <w:sz w:val="28"/>
          <w:szCs w:val="28"/>
        </w:rPr>
        <w:t>54、营业外收入</w:t>
      </w:r>
      <w:bookmarkEnd w:id="27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rsidTr="00DF4EB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B13593" w:rsidTr="00DF4EBA">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债权转让利得</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383,146.00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DF4EBA" w:rsidTr="00DF4EBA">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sidRPr="00DF4EBA">
              <w:rPr>
                <w:rFonts w:ascii="宋体" w:eastAsia="宋体" w:hAnsi="宋体" w:cs="宋体"/>
                <w:sz w:val="18"/>
                <w:szCs w:val="18"/>
              </w:rPr>
              <w:t>29,470.56</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9,170.00</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sidRPr="00DF4EBA">
              <w:rPr>
                <w:rFonts w:ascii="宋体" w:eastAsia="宋体" w:hAnsi="宋体" w:cs="宋体"/>
                <w:sz w:val="18"/>
                <w:szCs w:val="18"/>
              </w:rPr>
              <w:t>29,470.56</w:t>
            </w:r>
          </w:p>
        </w:tc>
      </w:tr>
      <w:tr w:rsidR="00DF4EBA" w:rsidTr="00DF4EB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DF4EBA" w:rsidRDefault="00DF4EBA" w:rsidP="00DF4EBA">
            <w:pPr>
              <w:spacing w:line="300" w:lineRule="exact"/>
              <w:rPr>
                <w:rFonts w:ascii="宋体" w:eastAsia="宋体" w:hAnsi="宋体" w:cs="宋体"/>
                <w:sz w:val="18"/>
                <w:szCs w:val="18"/>
              </w:rPr>
            </w:pPr>
            <w:r>
              <w:rPr>
                <w:rFonts w:ascii="宋体" w:eastAsia="宋体" w:hAnsi="宋体" w:cs="宋体"/>
                <w:sz w:val="18"/>
                <w:szCs w:val="18"/>
              </w:rPr>
              <w:lastRenderedPageBreak/>
              <w:t>合计</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29,470.56</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392,316.00</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29,470.56</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72" w:name="_Toc989161"/>
      <w:r w:rsidRPr="0088784C">
        <w:rPr>
          <w:rStyle w:val="a4"/>
          <w:rFonts w:ascii="仿宋" w:eastAsia="仿宋" w:hAnsi="仿宋"/>
          <w:sz w:val="28"/>
          <w:szCs w:val="28"/>
        </w:rPr>
        <w:t>55、营业外支出</w:t>
      </w:r>
      <w:bookmarkEnd w:id="27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rsidTr="00DF4EB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DF4EBA" w:rsidTr="00DF4EB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DF4EBA" w:rsidRDefault="00DF4EBA" w:rsidP="00DF4EBA">
            <w:pPr>
              <w:spacing w:line="30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29,972.00</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117,400.00</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29,972.00</w:t>
            </w:r>
          </w:p>
        </w:tc>
      </w:tr>
      <w:tr w:rsidR="00DF4EBA" w:rsidTr="00DF4EBA">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1,442.03</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33.79</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1,442.03</w:t>
            </w:r>
          </w:p>
        </w:tc>
      </w:tr>
      <w:tr w:rsidR="00DF4EBA" w:rsidTr="00DF4EB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DF4EBA" w:rsidRDefault="00DF4EBA" w:rsidP="00DF4EBA">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31,414.03</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117,433.79</w:t>
            </w:r>
          </w:p>
        </w:tc>
        <w:tc>
          <w:tcPr>
            <w:tcW w:w="2410" w:type="dxa"/>
            <w:tcBorders>
              <w:top w:val="single" w:sz="2" w:space="0" w:color="auto"/>
              <w:left w:val="single" w:sz="2" w:space="0" w:color="auto"/>
              <w:bottom w:val="single" w:sz="2" w:space="0" w:color="auto"/>
              <w:right w:val="single" w:sz="2" w:space="0" w:color="auto"/>
            </w:tcBorders>
            <w:vAlign w:val="center"/>
          </w:tcPr>
          <w:p w:rsidR="00DF4EBA" w:rsidRDefault="00DF4EBA" w:rsidP="00DF4EBA">
            <w:pPr>
              <w:spacing w:line="300" w:lineRule="exact"/>
              <w:jc w:val="right"/>
              <w:rPr>
                <w:rFonts w:ascii="宋体" w:eastAsia="宋体" w:hAnsi="宋体" w:cs="宋体"/>
                <w:sz w:val="18"/>
                <w:szCs w:val="18"/>
              </w:rPr>
            </w:pPr>
            <w:r>
              <w:rPr>
                <w:rFonts w:ascii="宋体" w:eastAsia="宋体" w:hAnsi="宋体" w:cs="宋体"/>
                <w:sz w:val="18"/>
                <w:szCs w:val="18"/>
              </w:rPr>
              <w:t>31,414.03</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73" w:name="_Toc989162"/>
      <w:r w:rsidRPr="0088784C">
        <w:rPr>
          <w:rStyle w:val="a4"/>
          <w:rFonts w:ascii="仿宋" w:eastAsia="仿宋" w:hAnsi="仿宋"/>
          <w:bCs w:val="0"/>
          <w:sz w:val="28"/>
          <w:szCs w:val="28"/>
        </w:rPr>
        <w:t>56、所得税费用</w:t>
      </w:r>
      <w:bookmarkEnd w:id="273"/>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74" w:name="_Toc989163"/>
      <w:r w:rsidRPr="0088784C">
        <w:rPr>
          <w:rStyle w:val="a4"/>
          <w:rFonts w:ascii="仿宋" w:eastAsia="仿宋" w:hAnsi="仿宋"/>
          <w:bCs w:val="0"/>
          <w:sz w:val="28"/>
          <w:szCs w:val="28"/>
        </w:rPr>
        <w:t>（1）所得税费用表</w:t>
      </w:r>
      <w:bookmarkEnd w:id="27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54771" w:rsidP="0088784C">
            <w:pPr>
              <w:spacing w:line="300" w:lineRule="exact"/>
              <w:jc w:val="right"/>
              <w:rPr>
                <w:rFonts w:ascii="宋体" w:eastAsia="宋体" w:hAnsi="宋体" w:cs="宋体"/>
                <w:sz w:val="18"/>
                <w:szCs w:val="18"/>
              </w:rPr>
            </w:pPr>
            <w:r w:rsidRPr="00B54771">
              <w:rPr>
                <w:rFonts w:ascii="宋体" w:eastAsia="宋体" w:hAnsi="宋体" w:cs="宋体"/>
                <w:sz w:val="18"/>
                <w:szCs w:val="18"/>
              </w:rPr>
              <w:t>4,228,188.33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6,673,387.94</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54771" w:rsidP="0088784C">
            <w:pPr>
              <w:spacing w:line="300" w:lineRule="exact"/>
              <w:jc w:val="right"/>
              <w:rPr>
                <w:rFonts w:ascii="宋体" w:eastAsia="宋体" w:hAnsi="宋体" w:cs="宋体"/>
                <w:sz w:val="18"/>
                <w:szCs w:val="18"/>
              </w:rPr>
            </w:pPr>
            <w:r>
              <w:rPr>
                <w:rFonts w:ascii="宋体" w:eastAsia="宋体" w:hAnsi="宋体" w:cs="宋体" w:hint="eastAsia"/>
                <w:sz w:val="18"/>
                <w:szCs w:val="18"/>
              </w:rPr>
              <w:t>-</w:t>
            </w:r>
            <w:r w:rsidRPr="00B54771">
              <w:rPr>
                <w:rFonts w:ascii="宋体" w:eastAsia="宋体" w:hAnsi="宋体" w:cs="宋体"/>
                <w:sz w:val="18"/>
                <w:szCs w:val="18"/>
              </w:rPr>
              <w:t>2,631,084.87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-2,006,065.67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1,597,103.46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4,667,322.27</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75" w:name="_Toc989164"/>
      <w:r w:rsidRPr="0088784C">
        <w:rPr>
          <w:rStyle w:val="a4"/>
          <w:rFonts w:ascii="仿宋" w:eastAsia="仿宋" w:hAnsi="仿宋"/>
          <w:sz w:val="28"/>
          <w:szCs w:val="28"/>
        </w:rPr>
        <w:t>（2）会计利润与所得税费用调整过程</w:t>
      </w:r>
      <w:bookmarkEnd w:id="27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37,554,627.54</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9,388,656.89</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-4,338,828.93</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89,773.03</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-1,399,914.98</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279,521.07</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-4,974.94</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1,868,117.01</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加计扣除费用的影响</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-4,285,245.69</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1,597,103.46</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76" w:name="_Toc989165"/>
      <w:r w:rsidRPr="0088784C">
        <w:rPr>
          <w:rStyle w:val="a4"/>
          <w:rFonts w:ascii="仿宋" w:eastAsia="仿宋" w:hAnsi="仿宋"/>
          <w:bCs w:val="0"/>
          <w:sz w:val="28"/>
          <w:szCs w:val="28"/>
        </w:rPr>
        <w:t>57、现金流量表项目</w:t>
      </w:r>
      <w:bookmarkEnd w:id="276"/>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77" w:name="_Toc989166"/>
      <w:r w:rsidRPr="0088784C">
        <w:rPr>
          <w:rStyle w:val="a4"/>
          <w:rFonts w:ascii="仿宋" w:eastAsia="仿宋" w:hAnsi="仿宋"/>
          <w:sz w:val="28"/>
          <w:szCs w:val="28"/>
        </w:rPr>
        <w:t>（1）收到的其他与经营活动有关的现金</w:t>
      </w:r>
      <w:bookmarkEnd w:id="27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936,591.62</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1,012,561.29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27,882.22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D10696" w:rsidP="0088784C">
            <w:pPr>
              <w:spacing w:line="300" w:lineRule="exact"/>
              <w:jc w:val="right"/>
              <w:rPr>
                <w:rFonts w:ascii="宋体" w:eastAsia="宋体" w:hAnsi="宋体" w:cs="宋体"/>
                <w:sz w:val="18"/>
                <w:szCs w:val="18"/>
              </w:rPr>
            </w:pPr>
            <w:r w:rsidRPr="00D10696">
              <w:rPr>
                <w:rFonts w:ascii="宋体" w:eastAsia="宋体" w:hAnsi="宋体" w:cs="宋体"/>
                <w:sz w:val="18"/>
                <w:szCs w:val="18"/>
              </w:rPr>
              <w:t>584,538.18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1,075,583.16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其他收入</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D10696" w:rsidP="0088784C">
            <w:pPr>
              <w:spacing w:line="300" w:lineRule="exact"/>
              <w:jc w:val="right"/>
              <w:rPr>
                <w:rFonts w:ascii="宋体" w:eastAsia="宋体" w:hAnsi="宋体" w:cs="宋体"/>
                <w:sz w:val="18"/>
                <w:szCs w:val="18"/>
              </w:rPr>
            </w:pPr>
            <w:r w:rsidRPr="00D10696">
              <w:rPr>
                <w:rFonts w:ascii="宋体" w:eastAsia="宋体" w:hAnsi="宋体" w:cs="宋体"/>
                <w:sz w:val="18"/>
                <w:szCs w:val="18"/>
              </w:rPr>
              <w:t xml:space="preserve">551,363.50 </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637,629.56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DC03A4" w:rsidP="0088784C">
            <w:pPr>
              <w:spacing w:line="300" w:lineRule="exact"/>
              <w:jc w:val="right"/>
              <w:rPr>
                <w:rFonts w:ascii="宋体" w:eastAsia="宋体" w:hAnsi="宋体" w:cs="宋体"/>
                <w:sz w:val="18"/>
                <w:szCs w:val="18"/>
              </w:rPr>
            </w:pPr>
            <w:r w:rsidRPr="00DC03A4">
              <w:rPr>
                <w:rFonts w:ascii="宋体" w:eastAsia="宋体" w:hAnsi="宋体" w:cs="宋体"/>
                <w:sz w:val="18"/>
                <w:szCs w:val="18"/>
              </w:rPr>
              <w:t>747,306.44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963,290.71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押金与保证金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213,000.00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1,146,337.88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3,072,799.74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4,863,284.82</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78" w:name="_Toc989167"/>
      <w:r w:rsidRPr="0088784C">
        <w:rPr>
          <w:rStyle w:val="a4"/>
          <w:rFonts w:ascii="仿宋" w:eastAsia="仿宋" w:hAnsi="仿宋"/>
          <w:bCs w:val="0"/>
          <w:sz w:val="28"/>
          <w:szCs w:val="28"/>
        </w:rPr>
        <w:lastRenderedPageBreak/>
        <w:t>（2）支付的其他与经营活动有关的现金</w:t>
      </w:r>
      <w:bookmarkEnd w:id="27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费用及备用金支出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13,454,481.36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18,197,370.49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1,091,810.00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60,000.00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774,537.15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1,023,630.25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15,320,828.51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19,281,000.74</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79" w:name="_Toc989168"/>
      <w:r w:rsidRPr="0088784C">
        <w:rPr>
          <w:rStyle w:val="a4"/>
          <w:rFonts w:ascii="仿宋" w:eastAsia="仿宋" w:hAnsi="仿宋"/>
          <w:sz w:val="28"/>
          <w:szCs w:val="28"/>
        </w:rPr>
        <w:t>（3）收到的其他与投资活动有关的现金</w:t>
      </w:r>
      <w:bookmarkEnd w:id="27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取得子公司收到的现金净额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167,596.77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167,596.77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80" w:name="_Toc989169"/>
      <w:r w:rsidRPr="0088784C">
        <w:rPr>
          <w:rStyle w:val="a4"/>
          <w:rFonts w:ascii="仿宋" w:eastAsia="仿宋" w:hAnsi="仿宋"/>
          <w:bCs w:val="0"/>
          <w:sz w:val="28"/>
          <w:szCs w:val="28"/>
        </w:rPr>
        <w:t>（4）收到的其他与筹资活动有关的现金</w:t>
      </w:r>
      <w:bookmarkEnd w:id="28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限制性股票认缴款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2,400,637.99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2,400,637.99</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81" w:name="_Toc989170"/>
      <w:r w:rsidRPr="0088784C">
        <w:rPr>
          <w:rStyle w:val="a4"/>
          <w:rFonts w:ascii="仿宋" w:eastAsia="仿宋" w:hAnsi="仿宋"/>
          <w:sz w:val="28"/>
          <w:szCs w:val="28"/>
        </w:rPr>
        <w:t>（5）支付的其他与筹资活动有关的现金</w:t>
      </w:r>
      <w:bookmarkEnd w:id="28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支付租赁负债的本金和利息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2,400,000.00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2,461,500.00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E86241" w:rsidP="0088784C">
            <w:pPr>
              <w:spacing w:line="300" w:lineRule="exact"/>
              <w:rPr>
                <w:rFonts w:ascii="宋体" w:eastAsia="宋体" w:hAnsi="宋体" w:cs="宋体"/>
                <w:sz w:val="18"/>
                <w:szCs w:val="18"/>
              </w:rPr>
            </w:pPr>
            <w:r>
              <w:rPr>
                <w:rFonts w:ascii="宋体" w:eastAsia="宋体" w:hAnsi="宋体" w:cs="宋体" w:hint="eastAsia"/>
                <w:sz w:val="18"/>
                <w:szCs w:val="18"/>
              </w:rPr>
              <w:t>返还已离职人员股权激励认缴款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1,157,823.70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3,557,823.70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2,461,500.00</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82" w:name="_Toc989171"/>
      <w:r w:rsidRPr="0088784C">
        <w:rPr>
          <w:rStyle w:val="a4"/>
          <w:rFonts w:ascii="仿宋" w:eastAsia="仿宋" w:hAnsi="仿宋"/>
          <w:bCs w:val="0"/>
          <w:sz w:val="28"/>
          <w:szCs w:val="28"/>
        </w:rPr>
        <w:t>58、现金流量表补充资料</w:t>
      </w:r>
      <w:bookmarkEnd w:id="282"/>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83" w:name="_Toc989172"/>
      <w:r w:rsidRPr="0088784C">
        <w:rPr>
          <w:rStyle w:val="a4"/>
          <w:rFonts w:ascii="仿宋" w:eastAsia="仿宋" w:hAnsi="仿宋"/>
          <w:bCs w:val="0"/>
          <w:sz w:val="28"/>
          <w:szCs w:val="28"/>
        </w:rPr>
        <w:t>（1）现金流量表补充资料</w:t>
      </w:r>
      <w:bookmarkEnd w:id="283"/>
    </w:p>
    <w:p w:rsidR="0088784C" w:rsidRDefault="0088784C" w:rsidP="00054B06">
      <w:pPr>
        <w:spacing w:before="40" w:after="40" w:line="240" w:lineRule="exact"/>
        <w:jc w:val="right"/>
        <w:rPr>
          <w:rFonts w:ascii="宋体" w:eastAsia="宋体" w:hAnsi="宋体" w:cs="宋体"/>
          <w:sz w:val="18"/>
          <w:szCs w:val="18"/>
        </w:rPr>
      </w:pPr>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786"/>
        <w:gridCol w:w="2552"/>
        <w:gridCol w:w="2301"/>
      </w:tblGrid>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补充资料</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本期金额</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上期金额</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8784C">
            <w:pPr>
              <w:spacing w:line="300" w:lineRule="exact"/>
            </w:pP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8784C">
            <w:pPr>
              <w:spacing w:line="300" w:lineRule="exact"/>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35,957,524.08</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34,106,359.72</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7,615,459.20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2,630,434.12</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4,890,106.11</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3,362,313.70</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2,116,012.84</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808,453.73</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312,747.94</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2,608,931.16</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259,571.35</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-4,793.19</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-17,649.58</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997,719.19</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3,298,910.84</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lastRenderedPageBreak/>
              <w:t>财务费用（收益以“－”号填列）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-29,101.59</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369,774.50</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-7,945,546.65</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-9,962,547.76</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-1,761,220.10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-1,585,818.35</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-869,864.77</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-420,247.32</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4,808,268.17</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-38,736,097.89</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-97,922,126.32</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-50,544,812.31</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-11,146,899.40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20,990,067.25</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-59,877,077.54</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-35,936,993.79</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8784C">
            <w:pPr>
              <w:spacing w:line="300" w:lineRule="exact"/>
            </w:pP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8784C">
            <w:pPr>
              <w:spacing w:line="300" w:lineRule="exact"/>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一年内到期的可转换公司债券</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8784C">
            <w:pPr>
              <w:spacing w:line="300" w:lineRule="exact"/>
            </w:pP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8784C">
            <w:pPr>
              <w:spacing w:line="300" w:lineRule="exact"/>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162,097,390.50</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141,307,100.18</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94,345,379.71</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69,505,499.46</w:t>
            </w: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593" w:rsidP="0088784C">
            <w:pPr>
              <w:spacing w:line="300" w:lineRule="exact"/>
              <w:jc w:val="right"/>
              <w:rPr>
                <w:rFonts w:ascii="宋体" w:eastAsia="宋体" w:hAnsi="宋体" w:cs="宋体"/>
                <w:sz w:val="18"/>
                <w:szCs w:val="18"/>
              </w:rPr>
            </w:pPr>
          </w:p>
        </w:tc>
      </w:tr>
      <w:tr w:rsidR="00B13593" w:rsidTr="0088784C">
        <w:trPr>
          <w:trHeight w:val="240"/>
        </w:trPr>
        <w:tc>
          <w:tcPr>
            <w:tcW w:w="478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67,752,010.79</w:t>
            </w:r>
          </w:p>
        </w:tc>
        <w:tc>
          <w:tcPr>
            <w:tcW w:w="2301"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71,801,600.72</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84" w:name="_Toc989173"/>
      <w:r w:rsidRPr="0088784C">
        <w:rPr>
          <w:rStyle w:val="a4"/>
          <w:rFonts w:ascii="仿宋" w:eastAsia="仿宋" w:hAnsi="仿宋"/>
          <w:sz w:val="28"/>
          <w:szCs w:val="28"/>
        </w:rPr>
        <w:t>（2）现金和现金等价物的构成</w:t>
      </w:r>
      <w:bookmarkEnd w:id="28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652"/>
        <w:gridCol w:w="3119"/>
        <w:gridCol w:w="2868"/>
      </w:tblGrid>
      <w:tr w:rsidR="00B13593" w:rsidTr="0088784C">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13593" w:rsidTr="0088784C">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11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162,097,390.50</w:t>
            </w:r>
          </w:p>
        </w:tc>
        <w:tc>
          <w:tcPr>
            <w:tcW w:w="286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94,345,379.71</w:t>
            </w:r>
          </w:p>
        </w:tc>
      </w:tr>
      <w:tr w:rsidR="00B13593" w:rsidTr="0088784C">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11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142,634.97</w:t>
            </w:r>
          </w:p>
        </w:tc>
        <w:tc>
          <w:tcPr>
            <w:tcW w:w="286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155,756.04</w:t>
            </w:r>
          </w:p>
        </w:tc>
      </w:tr>
      <w:tr w:rsidR="00B13593" w:rsidTr="0088784C">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11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161,944,012.96</w:t>
            </w:r>
          </w:p>
        </w:tc>
        <w:tc>
          <w:tcPr>
            <w:tcW w:w="286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94,162,641.68</w:t>
            </w:r>
          </w:p>
        </w:tc>
      </w:tr>
      <w:tr w:rsidR="00B13593" w:rsidTr="0088784C">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11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10,742.57</w:t>
            </w:r>
          </w:p>
        </w:tc>
        <w:tc>
          <w:tcPr>
            <w:tcW w:w="286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26,981.99</w:t>
            </w:r>
          </w:p>
        </w:tc>
      </w:tr>
      <w:tr w:rsidR="00B13593" w:rsidTr="0088784C">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119"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162,097,390.50</w:t>
            </w:r>
          </w:p>
        </w:tc>
        <w:tc>
          <w:tcPr>
            <w:tcW w:w="2868"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94,345,379.71</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85" w:name="_Toc989174"/>
      <w:r w:rsidRPr="0088784C">
        <w:rPr>
          <w:rStyle w:val="a4"/>
          <w:rFonts w:ascii="仿宋" w:eastAsia="仿宋" w:hAnsi="仿宋"/>
          <w:bCs w:val="0"/>
          <w:sz w:val="28"/>
          <w:szCs w:val="28"/>
        </w:rPr>
        <w:t>59、所有者权益变动表项目注释</w:t>
      </w:r>
      <w:bookmarkEnd w:id="285"/>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88784C">
        <w:rPr>
          <w:rStyle w:val="a4"/>
          <w:rFonts w:ascii="仿宋" w:eastAsia="仿宋" w:hAnsi="仿宋"/>
          <w:sz w:val="28"/>
          <w:szCs w:val="28"/>
        </w:rPr>
        <w:t>说明对上年期末余额进行调整的“其他”项目名称及调整金额等事项：</w:t>
      </w:r>
    </w:p>
    <w:p w:rsidR="00B13593" w:rsidRPr="0088784C" w:rsidRDefault="00B13593" w:rsidP="0088784C">
      <w:pPr>
        <w:pStyle w:val="a3"/>
        <w:widowControl w:val="0"/>
        <w:spacing w:before="0" w:beforeAutospacing="0" w:after="0" w:afterAutospacing="0" w:line="560" w:lineRule="exact"/>
        <w:ind w:firstLineChars="200" w:firstLine="560"/>
        <w:jc w:val="both"/>
        <w:divId w:val="1368992191"/>
        <w:rPr>
          <w:rStyle w:val="a4"/>
          <w:rFonts w:ascii="仿宋" w:eastAsia="仿宋" w:hAnsi="仿宋"/>
          <w:b w:val="0"/>
          <w:sz w:val="28"/>
          <w:szCs w:val="28"/>
        </w:rPr>
      </w:pPr>
      <w:r w:rsidRPr="0088784C">
        <w:rPr>
          <w:rStyle w:val="a4"/>
          <w:rFonts w:ascii="仿宋" w:eastAsia="仿宋" w:hAnsi="仿宋" w:hint="eastAsia"/>
          <w:b w:val="0"/>
          <w:sz w:val="28"/>
          <w:szCs w:val="28"/>
        </w:rPr>
        <w:t>不适用</w:t>
      </w:r>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86" w:name="_Toc989175"/>
      <w:r w:rsidRPr="0088784C">
        <w:rPr>
          <w:rStyle w:val="a4"/>
          <w:rFonts w:ascii="仿宋" w:eastAsia="仿宋" w:hAnsi="仿宋"/>
          <w:bCs w:val="0"/>
          <w:sz w:val="28"/>
          <w:szCs w:val="28"/>
        </w:rPr>
        <w:t>60、所有权或使用权受到限制的资产</w:t>
      </w:r>
      <w:bookmarkEnd w:id="28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期末账面价值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受限原因</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61,887,970.86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票据保证金、定期存款</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5,606,462.00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票据质押</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13,910,025.88</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625,814.00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21,529,733.97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103,560,006.71</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8784C">
            <w:pPr>
              <w:spacing w:line="300" w:lineRule="exact"/>
            </w:pP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87" w:name="_Toc989176"/>
      <w:r w:rsidRPr="0088784C">
        <w:rPr>
          <w:rStyle w:val="a4"/>
          <w:rFonts w:ascii="仿宋" w:eastAsia="仿宋" w:hAnsi="仿宋"/>
          <w:sz w:val="28"/>
          <w:szCs w:val="28"/>
        </w:rPr>
        <w:t>61、外币货币性项目</w:t>
      </w:r>
      <w:bookmarkEnd w:id="287"/>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88" w:name="_Toc989177"/>
      <w:r w:rsidRPr="0088784C">
        <w:rPr>
          <w:rStyle w:val="a4"/>
          <w:rFonts w:ascii="仿宋" w:eastAsia="仿宋" w:hAnsi="仿宋"/>
          <w:sz w:val="28"/>
          <w:szCs w:val="28"/>
        </w:rPr>
        <w:lastRenderedPageBreak/>
        <w:t>（1）外币货币性项目</w:t>
      </w:r>
      <w:bookmarkEnd w:id="28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rsidTr="0088784C">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B13593" w:rsidTr="0088784C">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40" w:lineRule="exact"/>
              <w:jc w:val="right"/>
              <w:rPr>
                <w:rFonts w:ascii="宋体" w:eastAsia="宋体" w:hAnsi="宋体" w:cs="宋体"/>
                <w:sz w:val="18"/>
                <w:szCs w:val="18"/>
              </w:rPr>
            </w:pPr>
          </w:p>
        </w:tc>
      </w:tr>
      <w:tr w:rsidR="00B13593" w:rsidTr="0088784C">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40,653.62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293,754.93</w:t>
            </w:r>
          </w:p>
        </w:tc>
      </w:tr>
      <w:tr w:rsidR="00B13593" w:rsidTr="0088784C">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054B06">
            <w:pPr>
              <w:spacing w:line="240" w:lineRule="exact"/>
              <w:jc w:val="right"/>
              <w:rPr>
                <w:rFonts w:ascii="宋体" w:eastAsia="宋体" w:hAnsi="宋体" w:cs="宋体"/>
                <w:sz w:val="18"/>
                <w:szCs w:val="18"/>
              </w:rPr>
            </w:pPr>
          </w:p>
        </w:tc>
      </w:tr>
      <w:tr w:rsidR="00B13593" w:rsidTr="0088784C">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3,250.18</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0.9220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2,996.60</w:t>
            </w:r>
          </w:p>
        </w:tc>
      </w:tr>
    </w:tbl>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89" w:name="_Toc989178"/>
      <w:r w:rsidRPr="0088784C">
        <w:rPr>
          <w:rStyle w:val="a4"/>
          <w:rFonts w:ascii="仿宋" w:eastAsia="仿宋" w:hAnsi="仿宋"/>
          <w:bCs w:val="0"/>
          <w:sz w:val="28"/>
          <w:szCs w:val="28"/>
        </w:rPr>
        <w:t>（2）境外经营实体说明，包括对于重要的境外经营实体，应披露其境外主要经营地、记账本位币及选择依据，记账本位币发生变化的还应披露原因。</w:t>
      </w:r>
      <w:bookmarkEnd w:id="289"/>
    </w:p>
    <w:p w:rsidR="00B13593" w:rsidRPr="0088784C" w:rsidRDefault="00B13F8C" w:rsidP="0088784C">
      <w:pPr>
        <w:pStyle w:val="a3"/>
        <w:widowControl w:val="0"/>
        <w:spacing w:before="0" w:beforeAutospacing="0" w:after="0" w:afterAutospacing="0" w:line="560" w:lineRule="exact"/>
        <w:ind w:firstLineChars="200" w:firstLine="560"/>
        <w:jc w:val="both"/>
        <w:rPr>
          <w:rStyle w:val="a4"/>
          <w:rFonts w:ascii="仿宋" w:eastAsia="仿宋" w:hAnsi="仿宋"/>
          <w:b w:val="0"/>
          <w:sz w:val="28"/>
          <w:szCs w:val="28"/>
        </w:rPr>
      </w:pPr>
      <w:r w:rsidRPr="0088784C">
        <w:rPr>
          <w:rStyle w:val="a4"/>
          <w:rFonts w:ascii="仿宋" w:eastAsia="仿宋" w:hAnsi="仿宋"/>
          <w:b w:val="0"/>
          <w:sz w:val="28"/>
          <w:szCs w:val="28"/>
        </w:rPr>
        <w:t>□适用</w:t>
      </w:r>
      <w:r w:rsidR="0088784C" w:rsidRPr="0088784C">
        <w:rPr>
          <w:rStyle w:val="a4"/>
          <w:rFonts w:ascii="仿宋" w:eastAsia="仿宋" w:hAnsi="仿宋" w:hint="eastAsia"/>
          <w:b w:val="0"/>
          <w:sz w:val="28"/>
          <w:szCs w:val="28"/>
        </w:rPr>
        <w:t xml:space="preserve"> </w:t>
      </w:r>
      <w:r w:rsidRPr="0088784C">
        <w:rPr>
          <w:rStyle w:val="a4"/>
          <w:rFonts w:ascii="仿宋" w:eastAsia="仿宋" w:hAnsi="仿宋"/>
          <w:b w:val="0"/>
          <w:sz w:val="28"/>
          <w:szCs w:val="28"/>
        </w:rPr>
        <w:t xml:space="preserve"> </w:t>
      </w:r>
      <w:r w:rsidRPr="0088784C">
        <w:rPr>
          <w:rStyle w:val="a4"/>
          <w:rFonts w:ascii="仿宋" w:eastAsia="仿宋" w:hAnsi="仿宋"/>
          <w:b w:val="0"/>
          <w:sz w:val="28"/>
          <w:szCs w:val="28"/>
        </w:rPr>
        <w:sym w:font="Wingdings 2" w:char="F052"/>
      </w:r>
      <w:r w:rsidRPr="0088784C">
        <w:rPr>
          <w:rStyle w:val="a4"/>
          <w:rFonts w:ascii="仿宋" w:eastAsia="仿宋" w:hAnsi="仿宋"/>
          <w:b w:val="0"/>
          <w:sz w:val="28"/>
          <w:szCs w:val="28"/>
        </w:rPr>
        <w:t>不适用</w:t>
      </w:r>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90" w:name="_Toc989179"/>
      <w:r w:rsidRPr="0088784C">
        <w:rPr>
          <w:rStyle w:val="a4"/>
          <w:rFonts w:ascii="仿宋" w:eastAsia="仿宋" w:hAnsi="仿宋"/>
          <w:sz w:val="28"/>
          <w:szCs w:val="28"/>
        </w:rPr>
        <w:t>62、政府补助</w:t>
      </w:r>
      <w:bookmarkEnd w:id="290"/>
    </w:p>
    <w:p w:rsidR="00B13593" w:rsidRPr="0088784C" w:rsidRDefault="00B13F8C" w:rsidP="0088784C">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91" w:name="_Toc989180"/>
      <w:r w:rsidRPr="0088784C">
        <w:rPr>
          <w:rStyle w:val="a4"/>
          <w:rFonts w:ascii="仿宋" w:eastAsia="仿宋" w:hAnsi="仿宋"/>
          <w:sz w:val="28"/>
          <w:szCs w:val="28"/>
        </w:rPr>
        <w:t>（1）政府补助基本情况</w:t>
      </w:r>
      <w:bookmarkEnd w:id="29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943"/>
        <w:gridCol w:w="1876"/>
        <w:gridCol w:w="2410"/>
        <w:gridCol w:w="2410"/>
      </w:tblGrid>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种类</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列报项目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8784C">
            <w:pPr>
              <w:spacing w:line="300" w:lineRule="exact"/>
              <w:jc w:val="center"/>
              <w:rPr>
                <w:rFonts w:ascii="宋体" w:eastAsia="宋体" w:hAnsi="宋体" w:cs="宋体"/>
                <w:sz w:val="18"/>
                <w:szCs w:val="18"/>
              </w:rPr>
            </w:pPr>
            <w:r>
              <w:rPr>
                <w:rFonts w:ascii="宋体" w:eastAsia="宋体" w:hAnsi="宋体" w:cs="宋体"/>
                <w:sz w:val="18"/>
                <w:szCs w:val="18"/>
              </w:rPr>
              <w:t>计入当期损益的金额</w:t>
            </w:r>
          </w:p>
        </w:tc>
      </w:tr>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2022年辽宁省揭榜挂帅科技项目</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3,927,372.53</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递延收益</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642,024.86</w:t>
            </w:r>
          </w:p>
        </w:tc>
      </w:tr>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市战略新兴产品项目、省成果转化项目-资产部</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21,276.75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递延收益</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11,716.77</w:t>
            </w:r>
          </w:p>
        </w:tc>
      </w:tr>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精益项目补助</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283,000.00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283,000.00</w:t>
            </w:r>
          </w:p>
        </w:tc>
      </w:tr>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新兴产业企业复工复产补助</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200,000.00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200,000.00</w:t>
            </w:r>
          </w:p>
        </w:tc>
      </w:tr>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军民融合补助金</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78,000.00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78,000.00</w:t>
            </w:r>
          </w:p>
        </w:tc>
      </w:tr>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银行贷款利息补贴</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4,111.11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4,111.11</w:t>
            </w:r>
          </w:p>
        </w:tc>
      </w:tr>
      <w:tr w:rsidR="00B13593" w:rsidTr="0088784C">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rPr>
                <w:rFonts w:ascii="宋体" w:eastAsia="宋体" w:hAnsi="宋体" w:cs="宋体"/>
                <w:sz w:val="18"/>
                <w:szCs w:val="18"/>
              </w:rPr>
            </w:pPr>
            <w:r>
              <w:rPr>
                <w:rFonts w:ascii="宋体" w:eastAsia="宋体" w:hAnsi="宋体" w:cs="宋体"/>
                <w:sz w:val="18"/>
                <w:szCs w:val="18"/>
              </w:rPr>
              <w:t>2023年市级财政科技项目专项</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193,912.10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8784C">
            <w:pPr>
              <w:spacing w:line="300" w:lineRule="exact"/>
              <w:jc w:val="right"/>
              <w:rPr>
                <w:rFonts w:ascii="宋体" w:eastAsia="宋体" w:hAnsi="宋体" w:cs="宋体"/>
                <w:sz w:val="18"/>
                <w:szCs w:val="18"/>
              </w:rPr>
            </w:pPr>
            <w:r>
              <w:rPr>
                <w:rFonts w:ascii="宋体" w:eastAsia="宋体" w:hAnsi="宋体" w:cs="宋体"/>
                <w:sz w:val="18"/>
                <w:szCs w:val="18"/>
              </w:rPr>
              <w:t>193,912.10</w:t>
            </w:r>
          </w:p>
        </w:tc>
      </w:tr>
    </w:tbl>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92" w:name="_Toc989181"/>
      <w:r w:rsidRPr="00DE1FC4">
        <w:rPr>
          <w:rStyle w:val="a4"/>
          <w:rFonts w:ascii="仿宋" w:eastAsia="仿宋" w:hAnsi="仿宋"/>
          <w:sz w:val="28"/>
          <w:szCs w:val="28"/>
        </w:rPr>
        <w:t>（</w:t>
      </w:r>
      <w:r w:rsidRPr="00DE1FC4">
        <w:rPr>
          <w:rStyle w:val="a4"/>
          <w:rFonts w:ascii="仿宋" w:eastAsia="仿宋" w:hAnsi="仿宋"/>
          <w:bCs w:val="0"/>
          <w:sz w:val="28"/>
          <w:szCs w:val="28"/>
        </w:rPr>
        <w:t>2）政府补助退回情况</w:t>
      </w:r>
      <w:bookmarkEnd w:id="292"/>
    </w:p>
    <w:p w:rsidR="00B13593" w:rsidRPr="00DE1FC4" w:rsidRDefault="00B13F8C" w:rsidP="00DE1FC4">
      <w:pPr>
        <w:pStyle w:val="a3"/>
        <w:widowControl w:val="0"/>
        <w:spacing w:before="0" w:beforeAutospacing="0" w:after="0" w:afterAutospacing="0" w:line="560" w:lineRule="exact"/>
        <w:ind w:firstLineChars="200" w:firstLine="560"/>
        <w:jc w:val="both"/>
        <w:rPr>
          <w:rStyle w:val="a4"/>
          <w:rFonts w:ascii="仿宋" w:eastAsia="仿宋" w:hAnsi="仿宋"/>
          <w:b w:val="0"/>
          <w:bCs w:val="0"/>
          <w:sz w:val="28"/>
          <w:szCs w:val="28"/>
        </w:rPr>
      </w:pPr>
      <w:r w:rsidRPr="00DE1FC4">
        <w:rPr>
          <w:rStyle w:val="a4"/>
          <w:rFonts w:ascii="仿宋" w:eastAsia="仿宋" w:hAnsi="仿宋"/>
          <w:b w:val="0"/>
          <w:bCs w:val="0"/>
          <w:sz w:val="28"/>
          <w:szCs w:val="28"/>
        </w:rPr>
        <w:t>□适用</w:t>
      </w:r>
      <w:r w:rsidR="00DE1FC4">
        <w:rPr>
          <w:rStyle w:val="a4"/>
          <w:rFonts w:ascii="仿宋" w:eastAsia="仿宋" w:hAnsi="仿宋" w:hint="eastAsia"/>
          <w:b w:val="0"/>
          <w:bCs w:val="0"/>
          <w:sz w:val="28"/>
          <w:szCs w:val="28"/>
        </w:rPr>
        <w:t xml:space="preserve"> </w:t>
      </w:r>
      <w:r w:rsidRPr="00DE1FC4">
        <w:rPr>
          <w:rStyle w:val="a4"/>
          <w:rFonts w:ascii="仿宋" w:eastAsia="仿宋" w:hAnsi="仿宋"/>
          <w:b w:val="0"/>
          <w:bCs w:val="0"/>
          <w:sz w:val="28"/>
          <w:szCs w:val="28"/>
        </w:rPr>
        <w:t xml:space="preserve"> </w:t>
      </w:r>
      <w:r w:rsidRPr="00DE1FC4">
        <w:rPr>
          <w:rStyle w:val="a4"/>
          <w:rFonts w:ascii="仿宋" w:eastAsia="仿宋" w:hAnsi="仿宋"/>
          <w:b w:val="0"/>
          <w:bCs w:val="0"/>
          <w:sz w:val="28"/>
          <w:szCs w:val="28"/>
        </w:rPr>
        <w:sym w:font="Wingdings 2" w:char="F052"/>
      </w:r>
      <w:r w:rsidRPr="00DE1FC4">
        <w:rPr>
          <w:rStyle w:val="a4"/>
          <w:rFonts w:ascii="仿宋" w:eastAsia="仿宋" w:hAnsi="仿宋"/>
          <w:b w:val="0"/>
          <w:bCs w:val="0"/>
          <w:sz w:val="28"/>
          <w:szCs w:val="28"/>
        </w:rPr>
        <w:t>不适用</w:t>
      </w:r>
    </w:p>
    <w:p w:rsidR="00B13593" w:rsidRPr="00DE1FC4" w:rsidRDefault="00B13F8C" w:rsidP="00DE1FC4">
      <w:pPr>
        <w:pStyle w:val="2"/>
        <w:spacing w:before="0" w:after="0" w:line="560" w:lineRule="exact"/>
        <w:ind w:firstLineChars="200" w:firstLine="562"/>
        <w:rPr>
          <w:rFonts w:ascii="宋体" w:eastAsia="宋体" w:hAnsi="宋体" w:cs="宋体"/>
          <w:b/>
          <w:bCs/>
          <w:sz w:val="28"/>
          <w:szCs w:val="28"/>
        </w:rPr>
      </w:pPr>
      <w:bookmarkStart w:id="293" w:name="_Toc989182"/>
      <w:r w:rsidRPr="00DE1FC4">
        <w:rPr>
          <w:rFonts w:ascii="宋体" w:eastAsia="宋体" w:hAnsi="宋体" w:cs="宋体"/>
          <w:b/>
          <w:bCs/>
          <w:sz w:val="28"/>
          <w:szCs w:val="28"/>
        </w:rPr>
        <w:t>八、合并范围的变更</w:t>
      </w:r>
      <w:bookmarkEnd w:id="293"/>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94" w:name="_Toc989183"/>
      <w:r w:rsidRPr="00DE1FC4">
        <w:rPr>
          <w:rStyle w:val="a4"/>
          <w:rFonts w:ascii="仿宋" w:eastAsia="仿宋" w:hAnsi="仿宋"/>
          <w:sz w:val="28"/>
          <w:szCs w:val="28"/>
        </w:rPr>
        <w:t>1、非同一控制下企业合并</w:t>
      </w:r>
      <w:bookmarkEnd w:id="294"/>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95" w:name="_Toc989184"/>
      <w:r w:rsidRPr="00DE1FC4">
        <w:rPr>
          <w:rStyle w:val="a4"/>
          <w:rFonts w:ascii="仿宋" w:eastAsia="仿宋" w:hAnsi="仿宋"/>
          <w:sz w:val="28"/>
          <w:szCs w:val="28"/>
        </w:rPr>
        <w:t>（1）本期发生的非同一控制下企业合并</w:t>
      </w:r>
      <w:bookmarkEnd w:id="29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71"/>
        <w:gridCol w:w="1071"/>
        <w:gridCol w:w="1071"/>
        <w:gridCol w:w="1071"/>
        <w:gridCol w:w="1071"/>
        <w:gridCol w:w="1071"/>
        <w:gridCol w:w="1071"/>
        <w:gridCol w:w="1071"/>
        <w:gridCol w:w="1071"/>
      </w:tblGrid>
      <w:tr w:rsidR="00B1359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被购买方名称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股权取得时点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股权取得成本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股权取得比例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股权取得方式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购买日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购买日的确定依据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购买日至期末被购买方的收入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购买日至期末被购买方的净利润</w:t>
            </w:r>
          </w:p>
        </w:tc>
      </w:tr>
      <w:tr w:rsidR="00B1359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沈阳超能新材科技有限公司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2023年01月18日</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收购</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2023年01月18日</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股权交割</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-255,798.65</w:t>
            </w:r>
          </w:p>
        </w:tc>
      </w:tr>
    </w:tbl>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DE1FC4">
        <w:rPr>
          <w:rStyle w:val="a4"/>
          <w:rFonts w:ascii="仿宋" w:eastAsia="仿宋" w:hAnsi="仿宋"/>
          <w:sz w:val="28"/>
          <w:szCs w:val="28"/>
        </w:rPr>
        <w:lastRenderedPageBreak/>
        <w:t>其他说明：</w:t>
      </w:r>
    </w:p>
    <w:p w:rsidR="00B13593" w:rsidRPr="00DE1FC4" w:rsidRDefault="00B13593" w:rsidP="00DE1FC4">
      <w:pPr>
        <w:pStyle w:val="a3"/>
        <w:widowControl w:val="0"/>
        <w:spacing w:before="0" w:beforeAutospacing="0" w:after="0" w:afterAutospacing="0" w:line="560" w:lineRule="exact"/>
        <w:ind w:firstLineChars="200" w:firstLine="560"/>
        <w:jc w:val="both"/>
        <w:divId w:val="1009523307"/>
        <w:rPr>
          <w:rStyle w:val="a4"/>
          <w:rFonts w:ascii="仿宋" w:eastAsia="仿宋" w:hAnsi="仿宋"/>
          <w:b w:val="0"/>
          <w:sz w:val="28"/>
          <w:szCs w:val="28"/>
        </w:rPr>
      </w:pPr>
      <w:r w:rsidRPr="00DE1FC4">
        <w:rPr>
          <w:rStyle w:val="a4"/>
          <w:rFonts w:ascii="仿宋" w:eastAsia="仿宋" w:hAnsi="仿宋" w:hint="eastAsia"/>
          <w:b w:val="0"/>
          <w:sz w:val="28"/>
          <w:szCs w:val="28"/>
        </w:rPr>
        <w:t>2023年1月，甘化科工公司与三明超越科技有限公司、王猛签署股权转让协议，甘化科工公司以10万元受让三明超越科技有限公司持有的沈阳超能99%股权以及王猛持有的沈阳超能1%股权。本次股权转让后甘化科工公司持有沈阳超能100%股权。</w:t>
      </w:r>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96" w:name="_Toc989185"/>
      <w:r w:rsidRPr="00DE1FC4">
        <w:rPr>
          <w:rStyle w:val="a4"/>
          <w:rFonts w:ascii="仿宋" w:eastAsia="仿宋" w:hAnsi="仿宋"/>
          <w:bCs w:val="0"/>
          <w:sz w:val="28"/>
          <w:szCs w:val="28"/>
        </w:rPr>
        <w:t>（2）合并成本及商誉</w:t>
      </w:r>
      <w:bookmarkEnd w:id="29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合并成本</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沈阳超能</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100,000.00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--非现金资产的公允价值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--发行或承担的债务的公允价值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--发行的权益性证券的公允价值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--或有对价的公允价值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--购买日之前持有的股权于购买日的公允价值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--其他</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合并成本合计</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100,000.00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减：取得的可辨认净资产公允价值份额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100,000.00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商誉/合并成本小于取得的可辨认净资产公允价值份额的金额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r>
    </w:tbl>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DE1FC4">
        <w:rPr>
          <w:rStyle w:val="a4"/>
          <w:rFonts w:ascii="仿宋" w:eastAsia="仿宋" w:hAnsi="仿宋"/>
          <w:sz w:val="28"/>
          <w:szCs w:val="28"/>
        </w:rPr>
        <w:t>合并成本公允价值的确定方法、或有对价及其变动的说明：</w:t>
      </w:r>
    </w:p>
    <w:p w:rsidR="00B13593" w:rsidRPr="00DE1FC4" w:rsidRDefault="00B13593" w:rsidP="00DE1FC4">
      <w:pPr>
        <w:pStyle w:val="a3"/>
        <w:widowControl w:val="0"/>
        <w:spacing w:before="0" w:beforeAutospacing="0" w:after="0" w:afterAutospacing="0" w:line="560" w:lineRule="exact"/>
        <w:ind w:firstLineChars="200" w:firstLine="560"/>
        <w:jc w:val="both"/>
        <w:divId w:val="82531441"/>
        <w:rPr>
          <w:rStyle w:val="a4"/>
          <w:rFonts w:ascii="仿宋" w:eastAsia="仿宋" w:hAnsi="仿宋"/>
          <w:b w:val="0"/>
          <w:sz w:val="28"/>
          <w:szCs w:val="28"/>
        </w:rPr>
      </w:pPr>
      <w:r w:rsidRPr="00DE1FC4">
        <w:rPr>
          <w:rStyle w:val="a4"/>
          <w:rFonts w:ascii="仿宋" w:eastAsia="仿宋" w:hAnsi="仿宋" w:hint="eastAsia"/>
          <w:b w:val="0"/>
          <w:sz w:val="28"/>
          <w:szCs w:val="28"/>
        </w:rPr>
        <w:t>无</w:t>
      </w:r>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DE1FC4">
        <w:rPr>
          <w:rStyle w:val="a4"/>
          <w:rFonts w:ascii="仿宋" w:eastAsia="仿宋" w:hAnsi="仿宋"/>
          <w:sz w:val="28"/>
          <w:szCs w:val="28"/>
        </w:rPr>
        <w:t>大额商誉形成的主要原因：</w:t>
      </w:r>
    </w:p>
    <w:p w:rsidR="00B13593" w:rsidRPr="00DE1FC4" w:rsidRDefault="00B13593" w:rsidP="00DE1FC4">
      <w:pPr>
        <w:pStyle w:val="a3"/>
        <w:widowControl w:val="0"/>
        <w:spacing w:before="0" w:beforeAutospacing="0" w:after="0" w:afterAutospacing="0" w:line="560" w:lineRule="exact"/>
        <w:ind w:firstLineChars="200" w:firstLine="560"/>
        <w:jc w:val="both"/>
        <w:divId w:val="487404163"/>
        <w:rPr>
          <w:rStyle w:val="a4"/>
          <w:rFonts w:ascii="仿宋" w:eastAsia="仿宋" w:hAnsi="仿宋"/>
          <w:b w:val="0"/>
          <w:sz w:val="28"/>
          <w:szCs w:val="28"/>
        </w:rPr>
      </w:pPr>
      <w:r w:rsidRPr="00DE1FC4">
        <w:rPr>
          <w:rStyle w:val="a4"/>
          <w:rFonts w:ascii="仿宋" w:eastAsia="仿宋" w:hAnsi="仿宋" w:hint="eastAsia"/>
          <w:b w:val="0"/>
          <w:sz w:val="28"/>
          <w:szCs w:val="28"/>
        </w:rPr>
        <w:t>不适用</w:t>
      </w:r>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97" w:name="_Toc989186"/>
      <w:r w:rsidRPr="00DE1FC4">
        <w:rPr>
          <w:rStyle w:val="a4"/>
          <w:rFonts w:ascii="仿宋" w:eastAsia="仿宋" w:hAnsi="仿宋"/>
          <w:sz w:val="28"/>
          <w:szCs w:val="28"/>
        </w:rPr>
        <w:t>（3）被购买方于购买日可辨认资产、负债</w:t>
      </w:r>
      <w:bookmarkEnd w:id="29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沈阳超能</w:t>
            </w:r>
          </w:p>
        </w:tc>
      </w:tr>
      <w:tr w:rsidR="00B13593">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购买日公允价值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购买日账面价值</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6,169,630.76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5,092,925.75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267,596.77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267,596.77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211,500.00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211,500.00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1,076,705.01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2,345,397.39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2,345,397.39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2,224,326.00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2,224,326.00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44,105.59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44,105.59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lastRenderedPageBreak/>
              <w:t>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6,069,630.76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6,069,630.76</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233.37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233.37</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1,500,000.00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1,500,000.00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4,569,397.39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4,569,397.39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-976,705.01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100,000.00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-976,705.01</w:t>
            </w:r>
          </w:p>
        </w:tc>
      </w:tr>
    </w:tbl>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98" w:name="_Toc989187"/>
      <w:r w:rsidRPr="00DE1FC4">
        <w:rPr>
          <w:rStyle w:val="a4"/>
          <w:rFonts w:ascii="仿宋" w:eastAsia="仿宋" w:hAnsi="仿宋"/>
          <w:bCs w:val="0"/>
          <w:sz w:val="28"/>
          <w:szCs w:val="28"/>
        </w:rPr>
        <w:t>（4）购买日之前持有的股权按照公允价值重新计量产生的利得或损失</w:t>
      </w:r>
      <w:bookmarkEnd w:id="298"/>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DE1FC4">
        <w:rPr>
          <w:rStyle w:val="a4"/>
          <w:rFonts w:ascii="仿宋" w:eastAsia="仿宋" w:hAnsi="仿宋"/>
          <w:sz w:val="28"/>
          <w:szCs w:val="28"/>
        </w:rPr>
        <w:t>是否存在通过多次交易分步实现企业合并且在报告期内取得控制权的交易</w:t>
      </w:r>
    </w:p>
    <w:p w:rsidR="00B13593" w:rsidRPr="00DE1FC4" w:rsidRDefault="00B13F8C" w:rsidP="00DE1FC4">
      <w:pPr>
        <w:pStyle w:val="a3"/>
        <w:widowControl w:val="0"/>
        <w:spacing w:before="0" w:beforeAutospacing="0" w:after="0" w:afterAutospacing="0" w:line="560" w:lineRule="exact"/>
        <w:ind w:firstLineChars="200" w:firstLine="560"/>
        <w:jc w:val="both"/>
        <w:rPr>
          <w:rStyle w:val="a4"/>
          <w:rFonts w:ascii="仿宋" w:eastAsia="仿宋" w:hAnsi="仿宋"/>
          <w:b w:val="0"/>
          <w:sz w:val="28"/>
          <w:szCs w:val="28"/>
        </w:rPr>
      </w:pPr>
      <w:r w:rsidRPr="00DE1FC4">
        <w:rPr>
          <w:rStyle w:val="a4"/>
          <w:rFonts w:ascii="仿宋" w:eastAsia="仿宋" w:hAnsi="仿宋"/>
          <w:b w:val="0"/>
          <w:sz w:val="28"/>
          <w:szCs w:val="28"/>
        </w:rPr>
        <w:t xml:space="preserve">□是 </w:t>
      </w:r>
      <w:r w:rsidR="00DE1FC4">
        <w:rPr>
          <w:rStyle w:val="a4"/>
          <w:rFonts w:ascii="仿宋" w:eastAsia="仿宋" w:hAnsi="仿宋" w:hint="eastAsia"/>
          <w:b w:val="0"/>
          <w:sz w:val="28"/>
          <w:szCs w:val="28"/>
        </w:rPr>
        <w:t xml:space="preserve"> </w:t>
      </w:r>
      <w:r w:rsidRPr="00DE1FC4">
        <w:rPr>
          <w:rStyle w:val="a4"/>
          <w:rFonts w:ascii="仿宋" w:eastAsia="仿宋" w:hAnsi="仿宋"/>
          <w:b w:val="0"/>
          <w:sz w:val="28"/>
          <w:szCs w:val="28"/>
        </w:rPr>
        <w:sym w:font="Wingdings 2" w:char="F052"/>
      </w:r>
      <w:r w:rsidRPr="00DE1FC4">
        <w:rPr>
          <w:rStyle w:val="a4"/>
          <w:rFonts w:ascii="仿宋" w:eastAsia="仿宋" w:hAnsi="仿宋"/>
          <w:b w:val="0"/>
          <w:sz w:val="28"/>
          <w:szCs w:val="28"/>
        </w:rPr>
        <w:t>否</w:t>
      </w:r>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299" w:name="_Toc989188"/>
      <w:r w:rsidRPr="00DE1FC4">
        <w:rPr>
          <w:rStyle w:val="a4"/>
          <w:rFonts w:ascii="仿宋" w:eastAsia="仿宋" w:hAnsi="仿宋"/>
          <w:bCs w:val="0"/>
          <w:sz w:val="28"/>
          <w:szCs w:val="28"/>
        </w:rPr>
        <w:t>2、处置子公司</w:t>
      </w:r>
      <w:bookmarkEnd w:id="299"/>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DE1FC4">
        <w:rPr>
          <w:rStyle w:val="a4"/>
          <w:rFonts w:ascii="仿宋" w:eastAsia="仿宋" w:hAnsi="仿宋"/>
          <w:sz w:val="28"/>
          <w:szCs w:val="28"/>
        </w:rPr>
        <w:t>是否存在单次处置对子公司投资即丧失控制权的情形</w:t>
      </w:r>
    </w:p>
    <w:p w:rsidR="00B13593" w:rsidRPr="00DE1FC4" w:rsidRDefault="00B13F8C" w:rsidP="00DE1FC4">
      <w:pPr>
        <w:pStyle w:val="a3"/>
        <w:widowControl w:val="0"/>
        <w:spacing w:before="0" w:beforeAutospacing="0" w:after="0" w:afterAutospacing="0" w:line="560" w:lineRule="exact"/>
        <w:ind w:firstLineChars="200" w:firstLine="560"/>
        <w:jc w:val="both"/>
        <w:rPr>
          <w:rStyle w:val="a4"/>
          <w:rFonts w:ascii="仿宋" w:eastAsia="仿宋" w:hAnsi="仿宋"/>
          <w:b w:val="0"/>
          <w:sz w:val="28"/>
          <w:szCs w:val="28"/>
        </w:rPr>
      </w:pPr>
      <w:r w:rsidRPr="00DE1FC4">
        <w:rPr>
          <w:rStyle w:val="a4"/>
          <w:rFonts w:ascii="仿宋" w:eastAsia="仿宋" w:hAnsi="仿宋"/>
          <w:b w:val="0"/>
          <w:sz w:val="28"/>
          <w:szCs w:val="28"/>
        </w:rPr>
        <w:t>□是</w:t>
      </w:r>
      <w:r w:rsidR="00DE1FC4">
        <w:rPr>
          <w:rStyle w:val="a4"/>
          <w:rFonts w:ascii="仿宋" w:eastAsia="仿宋" w:hAnsi="仿宋" w:hint="eastAsia"/>
          <w:b w:val="0"/>
          <w:sz w:val="28"/>
          <w:szCs w:val="28"/>
        </w:rPr>
        <w:t xml:space="preserve"> </w:t>
      </w:r>
      <w:r w:rsidRPr="00DE1FC4">
        <w:rPr>
          <w:rStyle w:val="a4"/>
          <w:rFonts w:ascii="仿宋" w:eastAsia="仿宋" w:hAnsi="仿宋"/>
          <w:b w:val="0"/>
          <w:sz w:val="28"/>
          <w:szCs w:val="28"/>
        </w:rPr>
        <w:t xml:space="preserve"> </w:t>
      </w:r>
      <w:r w:rsidRPr="00DE1FC4">
        <w:rPr>
          <w:rStyle w:val="a4"/>
          <w:rFonts w:ascii="仿宋" w:eastAsia="仿宋" w:hAnsi="仿宋"/>
          <w:b w:val="0"/>
          <w:sz w:val="28"/>
          <w:szCs w:val="28"/>
        </w:rPr>
        <w:sym w:font="Wingdings 2" w:char="F052"/>
      </w:r>
      <w:r w:rsidRPr="00DE1FC4">
        <w:rPr>
          <w:rStyle w:val="a4"/>
          <w:rFonts w:ascii="仿宋" w:eastAsia="仿宋" w:hAnsi="仿宋"/>
          <w:b w:val="0"/>
          <w:sz w:val="28"/>
          <w:szCs w:val="28"/>
        </w:rPr>
        <w:t>否</w:t>
      </w:r>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DE1FC4">
        <w:rPr>
          <w:rStyle w:val="a4"/>
          <w:rFonts w:ascii="仿宋" w:eastAsia="仿宋" w:hAnsi="仿宋"/>
          <w:sz w:val="28"/>
          <w:szCs w:val="28"/>
        </w:rPr>
        <w:t>是否存在通过多次交易分步处置对子公司投资且在本期丧失控制权的情形</w:t>
      </w:r>
    </w:p>
    <w:p w:rsidR="00B13593" w:rsidRPr="00DE1FC4" w:rsidRDefault="00B13F8C" w:rsidP="00DE1FC4">
      <w:pPr>
        <w:pStyle w:val="a3"/>
        <w:widowControl w:val="0"/>
        <w:spacing w:before="0" w:beforeAutospacing="0" w:after="0" w:afterAutospacing="0" w:line="560" w:lineRule="exact"/>
        <w:ind w:firstLineChars="200" w:firstLine="560"/>
        <w:jc w:val="both"/>
        <w:rPr>
          <w:rStyle w:val="a4"/>
          <w:rFonts w:ascii="仿宋" w:eastAsia="仿宋" w:hAnsi="仿宋"/>
          <w:b w:val="0"/>
          <w:sz w:val="28"/>
          <w:szCs w:val="28"/>
        </w:rPr>
      </w:pPr>
      <w:r w:rsidRPr="00DE1FC4">
        <w:rPr>
          <w:rStyle w:val="a4"/>
          <w:rFonts w:ascii="仿宋" w:eastAsia="仿宋" w:hAnsi="仿宋"/>
          <w:b w:val="0"/>
          <w:sz w:val="28"/>
          <w:szCs w:val="28"/>
        </w:rPr>
        <w:t>□是</w:t>
      </w:r>
      <w:r w:rsidR="00DE1FC4" w:rsidRPr="00DE1FC4">
        <w:rPr>
          <w:rStyle w:val="a4"/>
          <w:rFonts w:ascii="仿宋" w:eastAsia="仿宋" w:hAnsi="仿宋" w:hint="eastAsia"/>
          <w:b w:val="0"/>
          <w:sz w:val="28"/>
          <w:szCs w:val="28"/>
        </w:rPr>
        <w:t xml:space="preserve"> </w:t>
      </w:r>
      <w:r w:rsidRPr="00DE1FC4">
        <w:rPr>
          <w:rStyle w:val="a4"/>
          <w:rFonts w:ascii="仿宋" w:eastAsia="仿宋" w:hAnsi="仿宋"/>
          <w:b w:val="0"/>
          <w:sz w:val="28"/>
          <w:szCs w:val="28"/>
        </w:rPr>
        <w:t xml:space="preserve"> </w:t>
      </w:r>
      <w:r w:rsidRPr="00DE1FC4">
        <w:rPr>
          <w:rStyle w:val="a4"/>
          <w:rFonts w:ascii="仿宋" w:eastAsia="仿宋" w:hAnsi="仿宋"/>
          <w:b w:val="0"/>
          <w:sz w:val="28"/>
          <w:szCs w:val="28"/>
        </w:rPr>
        <w:sym w:font="Wingdings 2" w:char="F052"/>
      </w:r>
      <w:r w:rsidRPr="00DE1FC4">
        <w:rPr>
          <w:rStyle w:val="a4"/>
          <w:rFonts w:ascii="仿宋" w:eastAsia="仿宋" w:hAnsi="仿宋"/>
          <w:b w:val="0"/>
          <w:sz w:val="28"/>
          <w:szCs w:val="28"/>
        </w:rPr>
        <w:t>否</w:t>
      </w:r>
    </w:p>
    <w:p w:rsidR="00B13593" w:rsidRPr="00DE1FC4" w:rsidRDefault="00B13F8C" w:rsidP="00DE1FC4">
      <w:pPr>
        <w:pStyle w:val="2"/>
        <w:spacing w:before="0" w:after="0" w:line="560" w:lineRule="exact"/>
        <w:ind w:firstLineChars="200" w:firstLine="562"/>
        <w:rPr>
          <w:rFonts w:ascii="宋体" w:eastAsia="宋体" w:hAnsi="宋体" w:cs="宋体"/>
          <w:b/>
          <w:bCs/>
          <w:sz w:val="28"/>
          <w:szCs w:val="28"/>
        </w:rPr>
      </w:pPr>
      <w:bookmarkStart w:id="300" w:name="_Toc989189"/>
      <w:r w:rsidRPr="00DE1FC4">
        <w:rPr>
          <w:rFonts w:ascii="宋体" w:eastAsia="宋体" w:hAnsi="宋体" w:cs="宋体"/>
          <w:b/>
          <w:bCs/>
          <w:sz w:val="28"/>
          <w:szCs w:val="28"/>
        </w:rPr>
        <w:t>九、在其他主体中的权益</w:t>
      </w:r>
      <w:bookmarkEnd w:id="300"/>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01" w:name="_Toc989190"/>
      <w:r w:rsidRPr="00DE1FC4">
        <w:rPr>
          <w:rStyle w:val="a4"/>
          <w:rFonts w:ascii="仿宋" w:eastAsia="仿宋" w:hAnsi="仿宋"/>
          <w:bCs w:val="0"/>
          <w:sz w:val="28"/>
          <w:szCs w:val="28"/>
        </w:rPr>
        <w:t>1、在子公司中的权益</w:t>
      </w:r>
      <w:bookmarkEnd w:id="301"/>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02" w:name="_Toc989191"/>
      <w:r w:rsidRPr="00DE1FC4">
        <w:rPr>
          <w:rStyle w:val="a4"/>
          <w:rFonts w:ascii="仿宋" w:eastAsia="仿宋" w:hAnsi="仿宋"/>
          <w:bCs w:val="0"/>
          <w:sz w:val="28"/>
          <w:szCs w:val="28"/>
        </w:rPr>
        <w:t>（1）企业集团的构成</w:t>
      </w:r>
      <w:bookmarkEnd w:id="30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26"/>
        <w:gridCol w:w="1417"/>
        <w:gridCol w:w="1188"/>
        <w:gridCol w:w="1506"/>
        <w:gridCol w:w="1248"/>
        <w:gridCol w:w="1377"/>
        <w:gridCol w:w="1377"/>
      </w:tblGrid>
      <w:tr w:rsidR="00B13593" w:rsidTr="00DE1FC4">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子公司名称</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主要经营地</w:t>
            </w:r>
          </w:p>
        </w:tc>
        <w:tc>
          <w:tcPr>
            <w:tcW w:w="118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注册地</w:t>
            </w:r>
          </w:p>
        </w:tc>
        <w:tc>
          <w:tcPr>
            <w:tcW w:w="15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业务性质</w:t>
            </w:r>
          </w:p>
        </w:tc>
        <w:tc>
          <w:tcPr>
            <w:tcW w:w="26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取得方式</w:t>
            </w:r>
          </w:p>
        </w:tc>
      </w:tr>
      <w:tr w:rsidR="00B13593" w:rsidTr="00DE1FC4">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18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5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24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四川升华电源科技有限公司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成都</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成都</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工业</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工业</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90.00%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工业</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33.34%</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23.33%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汇德国际投资有限公司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香港</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香港</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投资、技术进出口</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投资设立</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江门德钰隽龚股</w:t>
            </w:r>
            <w:r>
              <w:rPr>
                <w:rFonts w:ascii="宋体" w:eastAsia="宋体" w:hAnsi="宋体" w:cs="宋体"/>
                <w:sz w:val="18"/>
                <w:szCs w:val="18"/>
              </w:rPr>
              <w:lastRenderedPageBreak/>
              <w:t>权投资合伙企业（有限合伙）</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lastRenderedPageBreak/>
              <w:t>江门</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江门</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89.90%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投资设立</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lastRenderedPageBreak/>
              <w:t>四川甘华电源科技有限公司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成都</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成都</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研发</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投资设立</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江门甘科物业管理有限公司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江门</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江门</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物业</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投资设立</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福建将乐卓越金属材料有限公司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将乐</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将乐</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销售</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深圳升华源科技有限公司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深圳</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深圳</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研发</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95.00%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四川德芯源电子科技有限公司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成都</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成都</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研发</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51.00%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投资设立</w:t>
            </w: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沈阳超能新材科技有限公司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w:t>
            </w:r>
          </w:p>
        </w:tc>
        <w:tc>
          <w:tcPr>
            <w:tcW w:w="1506" w:type="dxa"/>
            <w:tcBorders>
              <w:top w:val="single" w:sz="2" w:space="0" w:color="auto"/>
              <w:left w:val="single" w:sz="2" w:space="0" w:color="auto"/>
              <w:bottom w:val="single" w:sz="2" w:space="0" w:color="auto"/>
              <w:right w:val="single" w:sz="2" w:space="0" w:color="auto"/>
            </w:tcBorders>
            <w:vAlign w:val="center"/>
          </w:tcPr>
          <w:p w:rsidR="00B13593" w:rsidRDefault="00EB1463" w:rsidP="00DE1FC4">
            <w:pPr>
              <w:spacing w:line="300" w:lineRule="exact"/>
              <w:rPr>
                <w:rFonts w:ascii="宋体" w:eastAsia="宋体" w:hAnsi="宋体" w:cs="宋体"/>
                <w:sz w:val="18"/>
                <w:szCs w:val="18"/>
              </w:rPr>
            </w:pPr>
            <w:r>
              <w:rPr>
                <w:rFonts w:ascii="宋体" w:eastAsia="宋体" w:hAnsi="宋体" w:cs="宋体"/>
                <w:sz w:val="18"/>
                <w:szCs w:val="18"/>
              </w:rPr>
              <w:t>研发</w:t>
            </w:r>
          </w:p>
        </w:tc>
        <w:tc>
          <w:tcPr>
            <w:tcW w:w="124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bl>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03" w:name="_Toc989192"/>
      <w:r w:rsidRPr="00DE1FC4">
        <w:rPr>
          <w:rStyle w:val="a4"/>
          <w:rFonts w:ascii="仿宋" w:eastAsia="仿宋" w:hAnsi="仿宋"/>
          <w:sz w:val="28"/>
          <w:szCs w:val="28"/>
        </w:rPr>
        <w:t>（2）重要的非全资子公司</w:t>
      </w:r>
      <w:bookmarkEnd w:id="30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期末少数股东权益余额</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802,455.12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12,628,705.42</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43.33%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-1,093,989.06</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21,377,059.06</w:t>
            </w:r>
          </w:p>
        </w:tc>
      </w:tr>
    </w:tbl>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04" w:name="_Toc989193"/>
      <w:r w:rsidRPr="00DE1FC4">
        <w:rPr>
          <w:rStyle w:val="a4"/>
          <w:rFonts w:ascii="仿宋" w:eastAsia="仿宋" w:hAnsi="仿宋"/>
          <w:bCs w:val="0"/>
          <w:sz w:val="28"/>
          <w:szCs w:val="28"/>
        </w:rPr>
        <w:t>（3）重要非全资子公司的主要财务信息</w:t>
      </w:r>
      <w:bookmarkEnd w:id="30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41"/>
        <w:gridCol w:w="741"/>
        <w:gridCol w:w="741"/>
        <w:gridCol w:w="741"/>
        <w:gridCol w:w="741"/>
        <w:gridCol w:w="741"/>
        <w:gridCol w:w="744"/>
        <w:gridCol w:w="741"/>
        <w:gridCol w:w="741"/>
        <w:gridCol w:w="741"/>
        <w:gridCol w:w="741"/>
        <w:gridCol w:w="741"/>
        <w:gridCol w:w="744"/>
      </w:tblGrid>
      <w:tr w:rsidR="00B13593">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负债合计</w:t>
            </w:r>
          </w:p>
        </w:tc>
      </w:tr>
      <w:tr w:rsidR="00B13593">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153,448,172.88</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10,377,949.21</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163,826,122.09</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37,341,383.85</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117,900.94</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37,459,284.79</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141,618,657.12</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10,856,273.87</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152,474,930.99</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35,314,693.89</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117,900.94</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35,432,594.83</w:t>
            </w:r>
          </w:p>
        </w:tc>
      </w:tr>
      <w:tr w:rsidR="00B13593">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1D4EF4" w:rsidP="00DE1FC4">
            <w:pPr>
              <w:spacing w:line="300" w:lineRule="exact"/>
              <w:jc w:val="right"/>
              <w:rPr>
                <w:rFonts w:ascii="宋体" w:eastAsia="宋体" w:hAnsi="宋体" w:cs="宋体"/>
                <w:sz w:val="18"/>
                <w:szCs w:val="18"/>
              </w:rPr>
            </w:pPr>
            <w:r w:rsidRPr="001D4EF4">
              <w:rPr>
                <w:rFonts w:ascii="宋体" w:eastAsia="宋体" w:hAnsi="宋体" w:cs="宋体"/>
                <w:sz w:val="18"/>
                <w:szCs w:val="18"/>
              </w:rPr>
              <w:t>35,306,308.60</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21,235,513.27</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1D4EF4" w:rsidP="00DE1FC4">
            <w:pPr>
              <w:spacing w:line="300" w:lineRule="exact"/>
              <w:jc w:val="right"/>
              <w:rPr>
                <w:rFonts w:ascii="宋体" w:eastAsia="宋体" w:hAnsi="宋体" w:cs="宋体"/>
                <w:sz w:val="18"/>
                <w:szCs w:val="18"/>
              </w:rPr>
            </w:pPr>
            <w:r w:rsidRPr="001D4EF4">
              <w:rPr>
                <w:rFonts w:ascii="宋体" w:eastAsia="宋体" w:hAnsi="宋体" w:cs="宋体"/>
                <w:sz w:val="18"/>
                <w:szCs w:val="18"/>
              </w:rPr>
              <w:t>56,541,821.87</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27,206,352.08</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27,206,352.08</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25,560,348.25</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17,607,862.30</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43,168,210.55</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11,495,792.60</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11,495,792.60</w:t>
            </w:r>
          </w:p>
        </w:tc>
      </w:tr>
    </w:tbl>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71"/>
        <w:gridCol w:w="1071"/>
        <w:gridCol w:w="1071"/>
        <w:gridCol w:w="1071"/>
        <w:gridCol w:w="1071"/>
        <w:gridCol w:w="1071"/>
        <w:gridCol w:w="1071"/>
        <w:gridCol w:w="1071"/>
        <w:gridCol w:w="1071"/>
      </w:tblGrid>
      <w:tr w:rsidR="00B13593">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lastRenderedPageBreak/>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B1359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50,318,181.63</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8,024,551.17</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8,024,551.17</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-20,217,198.13</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42,488,742.51</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7,472,677.25</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7,472,677.25</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-3,444,012.07</w:t>
            </w:r>
          </w:p>
        </w:tc>
      </w:tr>
      <w:tr w:rsidR="00B1359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12,794,381.68</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-2,524,784.36</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-2,524,784.36</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-17,408,389.14</w:t>
            </w: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bl>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05" w:name="_Toc989194"/>
      <w:r w:rsidRPr="00DE1FC4">
        <w:rPr>
          <w:rStyle w:val="a4"/>
          <w:rFonts w:ascii="仿宋" w:eastAsia="仿宋" w:hAnsi="仿宋"/>
          <w:sz w:val="28"/>
          <w:szCs w:val="28"/>
        </w:rPr>
        <w:t>2、在合营安排或联营企业中的权益</w:t>
      </w:r>
      <w:bookmarkEnd w:id="305"/>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06" w:name="_Toc989195"/>
      <w:r w:rsidRPr="00DE1FC4">
        <w:rPr>
          <w:rStyle w:val="a4"/>
          <w:rFonts w:ascii="仿宋" w:eastAsia="仿宋" w:hAnsi="仿宋"/>
          <w:sz w:val="28"/>
          <w:szCs w:val="28"/>
        </w:rPr>
        <w:t>（1）重要的合营企业或联营企业</w:t>
      </w:r>
      <w:bookmarkEnd w:id="30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26"/>
        <w:gridCol w:w="1228"/>
        <w:gridCol w:w="1377"/>
        <w:gridCol w:w="1377"/>
        <w:gridCol w:w="1377"/>
        <w:gridCol w:w="1377"/>
        <w:gridCol w:w="1377"/>
      </w:tblGrid>
      <w:tr w:rsidR="00B13593" w:rsidTr="00DE1FC4">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2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B13593" w:rsidTr="00DE1FC4">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2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合营企业</w:t>
            </w:r>
          </w:p>
        </w:tc>
        <w:tc>
          <w:tcPr>
            <w:tcW w:w="1228"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无</w:t>
            </w:r>
          </w:p>
        </w:tc>
        <w:tc>
          <w:tcPr>
            <w:tcW w:w="1228"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联营企业</w:t>
            </w:r>
          </w:p>
        </w:tc>
        <w:tc>
          <w:tcPr>
            <w:tcW w:w="1228"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rPr>
                <w:rFonts w:ascii="宋体" w:eastAsia="宋体" w:hAnsi="宋体" w:cs="宋体"/>
                <w:sz w:val="18"/>
                <w:szCs w:val="18"/>
              </w:rPr>
            </w:pPr>
          </w:p>
        </w:tc>
      </w:tr>
      <w:tr w:rsidR="00B13593" w:rsidTr="00DE1FC4">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1228"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集成电路开发与销售</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19.10%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权益法</w:t>
            </w:r>
          </w:p>
        </w:tc>
      </w:tr>
    </w:tbl>
    <w:p w:rsidR="00B13593" w:rsidRPr="00996D5F"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07" w:name="_Toc989196"/>
      <w:r w:rsidRPr="00996D5F">
        <w:rPr>
          <w:rStyle w:val="a4"/>
          <w:rFonts w:ascii="仿宋" w:eastAsia="仿宋" w:hAnsi="仿宋"/>
          <w:bCs w:val="0"/>
          <w:sz w:val="28"/>
          <w:szCs w:val="28"/>
        </w:rPr>
        <w:t>（2）重要联营企业的主要财务信息</w:t>
      </w:r>
      <w:bookmarkEnd w:id="307"/>
    </w:p>
    <w:p w:rsidR="00B13593" w:rsidRPr="00996D5F" w:rsidRDefault="00B13F8C" w:rsidP="00054B06">
      <w:pPr>
        <w:spacing w:before="40" w:after="40" w:line="240" w:lineRule="exact"/>
        <w:jc w:val="right"/>
        <w:rPr>
          <w:rFonts w:ascii="宋体" w:eastAsia="宋体" w:hAnsi="宋体" w:cs="宋体"/>
          <w:sz w:val="18"/>
          <w:szCs w:val="18"/>
        </w:rPr>
      </w:pPr>
      <w:r w:rsidRPr="00996D5F">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369"/>
        <w:gridCol w:w="3118"/>
        <w:gridCol w:w="3152"/>
      </w:tblGrid>
      <w:tr w:rsidR="00B13593" w:rsidRPr="00996D5F" w:rsidTr="00DE1FC4">
        <w:trPr>
          <w:trHeight w:val="240"/>
        </w:trPr>
        <w:tc>
          <w:tcPr>
            <w:tcW w:w="336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593" w:rsidP="00DE1FC4">
            <w:pPr>
              <w:spacing w:line="300" w:lineRule="exact"/>
            </w:pP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jc w:val="center"/>
              <w:rPr>
                <w:rFonts w:ascii="宋体" w:eastAsia="宋体" w:hAnsi="宋体" w:cs="宋体"/>
                <w:sz w:val="18"/>
                <w:szCs w:val="18"/>
              </w:rPr>
            </w:pPr>
            <w:r w:rsidRPr="00996D5F">
              <w:rPr>
                <w:rFonts w:ascii="宋体" w:eastAsia="宋体" w:hAnsi="宋体" w:cs="宋体"/>
                <w:sz w:val="18"/>
                <w:szCs w:val="18"/>
              </w:rPr>
              <w:t>期末余额/本期发生额</w:t>
            </w:r>
          </w:p>
        </w:tc>
        <w:tc>
          <w:tcPr>
            <w:tcW w:w="315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jc w:val="center"/>
              <w:rPr>
                <w:rFonts w:ascii="宋体" w:eastAsia="宋体" w:hAnsi="宋体" w:cs="宋体"/>
                <w:sz w:val="18"/>
                <w:szCs w:val="18"/>
              </w:rPr>
            </w:pPr>
            <w:r w:rsidRPr="00996D5F">
              <w:rPr>
                <w:rFonts w:ascii="宋体" w:eastAsia="宋体" w:hAnsi="宋体" w:cs="宋体"/>
                <w:sz w:val="18"/>
                <w:szCs w:val="18"/>
              </w:rPr>
              <w:t>期初余额/上期发生额</w:t>
            </w:r>
          </w:p>
        </w:tc>
      </w:tr>
      <w:tr w:rsidR="00B13593" w:rsidRPr="00996D5F" w:rsidTr="00DE1FC4">
        <w:trPr>
          <w:trHeight w:val="240"/>
        </w:trPr>
        <w:tc>
          <w:tcPr>
            <w:tcW w:w="336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593" w:rsidP="00DE1FC4">
            <w:pPr>
              <w:spacing w:line="300" w:lineRule="exact"/>
            </w:pP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DE1FC4">
            <w:pPr>
              <w:spacing w:line="300" w:lineRule="exact"/>
              <w:jc w:val="center"/>
              <w:rPr>
                <w:rFonts w:ascii="宋体" w:eastAsia="宋体" w:hAnsi="宋体" w:cs="宋体"/>
                <w:sz w:val="18"/>
                <w:szCs w:val="18"/>
              </w:rPr>
            </w:pPr>
            <w:r w:rsidRPr="00996D5F">
              <w:rPr>
                <w:rFonts w:ascii="宋体" w:eastAsia="宋体" w:hAnsi="宋体" w:cs="宋体"/>
                <w:sz w:val="18"/>
                <w:szCs w:val="18"/>
              </w:rPr>
              <w:t>锴威特公司</w:t>
            </w: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DE1FC4">
            <w:pPr>
              <w:spacing w:line="300" w:lineRule="exact"/>
              <w:jc w:val="center"/>
              <w:rPr>
                <w:rFonts w:ascii="宋体" w:eastAsia="宋体" w:hAnsi="宋体" w:cs="宋体"/>
                <w:sz w:val="18"/>
                <w:szCs w:val="18"/>
              </w:rPr>
            </w:pPr>
            <w:r w:rsidRPr="00996D5F">
              <w:rPr>
                <w:rFonts w:ascii="宋体" w:eastAsia="宋体" w:hAnsi="宋体" w:cs="宋体"/>
                <w:sz w:val="18"/>
                <w:szCs w:val="18"/>
              </w:rPr>
              <w:t>锴威特公司</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流动资产</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364,147,132.27</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996D5F">
              <w:rPr>
                <w:rFonts w:ascii="宋体" w:eastAsia="宋体" w:hAnsi="宋体" w:cs="宋体"/>
                <w:sz w:val="18"/>
                <w:szCs w:val="18"/>
              </w:rPr>
              <w:t>322,210,755.32</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非流动资产</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119,708,288.92</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A22179">
              <w:rPr>
                <w:rFonts w:ascii="宋体" w:eastAsia="宋体" w:hAnsi="宋体" w:cs="宋体"/>
                <w:sz w:val="18"/>
                <w:szCs w:val="18"/>
              </w:rPr>
              <w:t>121,922,710.09</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资产合计</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483,855,421.19</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A22179">
              <w:rPr>
                <w:rFonts w:ascii="宋体" w:eastAsia="宋体" w:hAnsi="宋体" w:cs="宋体"/>
                <w:sz w:val="18"/>
                <w:szCs w:val="18"/>
              </w:rPr>
              <w:t>444,133,465.41</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流动负债</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113,598,236.70</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996D5F">
              <w:rPr>
                <w:rFonts w:ascii="宋体" w:eastAsia="宋体" w:hAnsi="宋体" w:cs="宋体"/>
                <w:sz w:val="18"/>
                <w:szCs w:val="18"/>
              </w:rPr>
              <w:t>103,285,802.63</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非流动负债</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1,215,417.08</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A22179">
              <w:rPr>
                <w:rFonts w:ascii="宋体" w:eastAsia="宋体" w:hAnsi="宋体" w:cs="宋体"/>
                <w:sz w:val="18"/>
                <w:szCs w:val="18"/>
              </w:rPr>
              <w:t>1,123,486.52</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负债合计</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114,813,653.78</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A22179">
              <w:rPr>
                <w:rFonts w:ascii="宋体" w:eastAsia="宋体" w:hAnsi="宋体" w:cs="宋体"/>
                <w:sz w:val="18"/>
                <w:szCs w:val="18"/>
              </w:rPr>
              <w:t>104,409,289.15</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少数股东权益</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归属于母公司股东权益</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369,041,767.41</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A22179">
              <w:rPr>
                <w:rFonts w:ascii="宋体" w:eastAsia="宋体" w:hAnsi="宋体" w:cs="宋体"/>
                <w:sz w:val="18"/>
                <w:szCs w:val="18"/>
              </w:rPr>
              <w:t>339,724,176.26</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按持股比例计算的净资产份额</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70,487,302.44</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996D5F">
              <w:rPr>
                <w:rFonts w:ascii="宋体" w:eastAsia="宋体" w:hAnsi="宋体" w:cs="宋体"/>
                <w:sz w:val="18"/>
                <w:szCs w:val="18"/>
              </w:rPr>
              <w:t>64,887,642.53</w:t>
            </w: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调整事项</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--商誉</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79,606,376.37</w:t>
            </w: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79,606,376.37</w:t>
            </w: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--内部交易未实现利润</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--其他</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对联营企业权益投资的账面价值</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150,093,678.81</w:t>
            </w: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144,494,018.90</w:t>
            </w: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存在公开报价的联营企业权益投资的公允价值</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t>营业收入</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133,287,340.72</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A22179">
              <w:rPr>
                <w:rFonts w:ascii="宋体" w:eastAsia="宋体" w:hAnsi="宋体" w:cs="宋体"/>
                <w:sz w:val="18"/>
                <w:szCs w:val="18"/>
              </w:rPr>
              <w:t>119,324,158.57</w:t>
            </w:r>
          </w:p>
        </w:tc>
      </w:tr>
      <w:tr w:rsidR="00C87517"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C87517" w:rsidRPr="00996D5F" w:rsidRDefault="00C87517" w:rsidP="00DE1FC4">
            <w:pPr>
              <w:spacing w:line="300" w:lineRule="exact"/>
              <w:rPr>
                <w:rFonts w:ascii="宋体" w:eastAsia="宋体" w:hAnsi="宋体" w:cs="宋体"/>
                <w:sz w:val="18"/>
                <w:szCs w:val="18"/>
              </w:rPr>
            </w:pPr>
            <w:r w:rsidRPr="00996D5F">
              <w:rPr>
                <w:rFonts w:ascii="宋体" w:eastAsia="宋体" w:hAnsi="宋体" w:cs="宋体"/>
                <w:sz w:val="18"/>
                <w:szCs w:val="18"/>
              </w:rPr>
              <w:lastRenderedPageBreak/>
              <w:t>净利润</w:t>
            </w:r>
          </w:p>
        </w:tc>
        <w:tc>
          <w:tcPr>
            <w:tcW w:w="3118"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29,317,591.15</w:t>
            </w:r>
          </w:p>
        </w:tc>
        <w:tc>
          <w:tcPr>
            <w:tcW w:w="3152" w:type="dxa"/>
            <w:tcBorders>
              <w:top w:val="single" w:sz="2" w:space="0" w:color="auto"/>
              <w:left w:val="single" w:sz="2" w:space="0" w:color="auto"/>
              <w:bottom w:val="single" w:sz="2" w:space="0" w:color="auto"/>
              <w:right w:val="single" w:sz="2" w:space="0" w:color="auto"/>
            </w:tcBorders>
            <w:vAlign w:val="center"/>
          </w:tcPr>
          <w:p w:rsidR="00C87517" w:rsidRPr="00996D5F" w:rsidRDefault="00C87517" w:rsidP="008B420D">
            <w:pPr>
              <w:spacing w:line="300" w:lineRule="exact"/>
              <w:jc w:val="right"/>
              <w:rPr>
                <w:rFonts w:ascii="宋体" w:eastAsia="宋体" w:hAnsi="宋体" w:cs="宋体"/>
                <w:sz w:val="18"/>
                <w:szCs w:val="18"/>
              </w:rPr>
            </w:pPr>
            <w:r w:rsidRPr="00A22179">
              <w:rPr>
                <w:rFonts w:ascii="宋体" w:eastAsia="宋体" w:hAnsi="宋体" w:cs="宋体"/>
                <w:sz w:val="18"/>
                <w:szCs w:val="18"/>
              </w:rPr>
              <w:t>32,065,343.78</w:t>
            </w: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终止经营的净利润</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r>
      <w:tr w:rsidR="00B13593" w:rsidRPr="00996D5F"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其他综合收益</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B13593" w:rsidRPr="00996D5F" w:rsidRDefault="00B13593" w:rsidP="00DE1FC4">
            <w:pPr>
              <w:spacing w:line="300" w:lineRule="exact"/>
              <w:jc w:val="right"/>
              <w:rPr>
                <w:rFonts w:ascii="宋体" w:eastAsia="宋体" w:hAnsi="宋体" w:cs="宋体"/>
                <w:sz w:val="18"/>
                <w:szCs w:val="18"/>
              </w:rPr>
            </w:pPr>
          </w:p>
        </w:tc>
      </w:tr>
      <w:tr w:rsidR="00B13593"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Pr="00996D5F" w:rsidRDefault="00B13F8C" w:rsidP="00DE1FC4">
            <w:pPr>
              <w:spacing w:line="300" w:lineRule="exact"/>
              <w:rPr>
                <w:rFonts w:ascii="宋体" w:eastAsia="宋体" w:hAnsi="宋体" w:cs="宋体"/>
                <w:sz w:val="18"/>
                <w:szCs w:val="18"/>
              </w:rPr>
            </w:pPr>
            <w:r w:rsidRPr="00996D5F">
              <w:rPr>
                <w:rFonts w:ascii="宋体" w:eastAsia="宋体" w:hAnsi="宋体" w:cs="宋体"/>
                <w:sz w:val="18"/>
                <w:szCs w:val="18"/>
              </w:rPr>
              <w:t>综合收益总额</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Pr="00996D5F" w:rsidRDefault="00B13F8C" w:rsidP="00DE1FC4">
            <w:pPr>
              <w:spacing w:line="300" w:lineRule="exact"/>
              <w:jc w:val="right"/>
              <w:rPr>
                <w:rFonts w:ascii="宋体" w:eastAsia="宋体" w:hAnsi="宋体" w:cs="宋体"/>
                <w:sz w:val="18"/>
                <w:szCs w:val="18"/>
              </w:rPr>
            </w:pPr>
            <w:r w:rsidRPr="00996D5F">
              <w:rPr>
                <w:rFonts w:ascii="宋体" w:eastAsia="宋体" w:hAnsi="宋体" w:cs="宋体"/>
                <w:sz w:val="18"/>
                <w:szCs w:val="18"/>
              </w:rPr>
              <w:t>29,317,591.15</w:t>
            </w:r>
          </w:p>
        </w:tc>
        <w:tc>
          <w:tcPr>
            <w:tcW w:w="3152" w:type="dxa"/>
            <w:tcBorders>
              <w:top w:val="single" w:sz="2" w:space="0" w:color="auto"/>
              <w:left w:val="single" w:sz="2" w:space="0" w:color="auto"/>
              <w:bottom w:val="single" w:sz="2" w:space="0" w:color="auto"/>
              <w:right w:val="single" w:sz="2" w:space="0" w:color="auto"/>
            </w:tcBorders>
            <w:vAlign w:val="center"/>
          </w:tcPr>
          <w:p w:rsidR="00B13593" w:rsidRDefault="00EB1463" w:rsidP="00DE1FC4">
            <w:pPr>
              <w:spacing w:line="300" w:lineRule="exact"/>
              <w:jc w:val="right"/>
              <w:rPr>
                <w:rFonts w:ascii="宋体" w:eastAsia="宋体" w:hAnsi="宋体" w:cs="宋体"/>
                <w:sz w:val="18"/>
                <w:szCs w:val="18"/>
              </w:rPr>
            </w:pPr>
            <w:r w:rsidRPr="003A2D5F">
              <w:rPr>
                <w:rFonts w:ascii="宋体" w:eastAsia="宋体" w:hAnsi="宋体" w:cs="宋体"/>
                <w:sz w:val="18"/>
                <w:szCs w:val="18"/>
              </w:rPr>
              <w:t>32,065,343.78</w:t>
            </w:r>
          </w:p>
        </w:tc>
      </w:tr>
      <w:tr w:rsidR="00B13593" w:rsidTr="00DE1FC4">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r>
    </w:tbl>
    <w:p w:rsidR="00B13593" w:rsidRDefault="00B13593" w:rsidP="00054B06">
      <w:pPr>
        <w:divId w:val="2016955117"/>
        <w:rPr>
          <w:sz w:val="18"/>
          <w:szCs w:val="18"/>
        </w:rPr>
      </w:pPr>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08" w:name="_Toc989197"/>
      <w:r w:rsidRPr="00DE1FC4">
        <w:rPr>
          <w:rStyle w:val="a4"/>
          <w:rFonts w:ascii="仿宋" w:eastAsia="仿宋" w:hAnsi="仿宋"/>
          <w:bCs w:val="0"/>
          <w:sz w:val="28"/>
          <w:szCs w:val="28"/>
        </w:rPr>
        <w:t>（3）不重要的合营企业和联营企业的汇总财务信息</w:t>
      </w:r>
      <w:bookmarkEnd w:id="30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33,265,002.26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20,637,925.03</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-1,680,156.04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-1,130,907.30</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-1,680,156.04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-1,130,907.30</w:t>
            </w:r>
          </w:p>
        </w:tc>
      </w:tr>
    </w:tbl>
    <w:p w:rsidR="00B13593" w:rsidRPr="00DE1FC4" w:rsidRDefault="00B13F8C" w:rsidP="00DE1FC4">
      <w:pPr>
        <w:pStyle w:val="2"/>
        <w:spacing w:before="0" w:after="0" w:line="560" w:lineRule="exact"/>
        <w:ind w:firstLineChars="200" w:firstLine="562"/>
        <w:rPr>
          <w:rFonts w:ascii="宋体" w:eastAsia="宋体" w:hAnsi="宋体" w:cs="宋体"/>
          <w:b/>
          <w:bCs/>
          <w:sz w:val="28"/>
          <w:szCs w:val="28"/>
        </w:rPr>
      </w:pPr>
      <w:bookmarkStart w:id="309" w:name="_Toc989198"/>
      <w:r w:rsidRPr="00DE1FC4">
        <w:rPr>
          <w:rFonts w:ascii="宋体" w:eastAsia="宋体" w:hAnsi="宋体" w:cs="宋体"/>
          <w:b/>
          <w:bCs/>
          <w:sz w:val="28"/>
          <w:szCs w:val="28"/>
        </w:rPr>
        <w:t>十、公允价值的披露</w:t>
      </w:r>
      <w:bookmarkEnd w:id="309"/>
    </w:p>
    <w:p w:rsidR="00B13593" w:rsidRPr="00DE1FC4" w:rsidRDefault="00B13F8C" w:rsidP="00DE1FC4">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10" w:name="_Toc989199"/>
      <w:r w:rsidRPr="00DE1FC4">
        <w:rPr>
          <w:rStyle w:val="a4"/>
          <w:rFonts w:ascii="仿宋" w:eastAsia="仿宋" w:hAnsi="仿宋"/>
          <w:sz w:val="28"/>
          <w:szCs w:val="28"/>
        </w:rPr>
        <w:t>1、以公允价值计量的资产和负债的期末公允价值</w:t>
      </w:r>
      <w:bookmarkEnd w:id="31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660"/>
        <w:gridCol w:w="1701"/>
        <w:gridCol w:w="1701"/>
        <w:gridCol w:w="1701"/>
        <w:gridCol w:w="1876"/>
      </w:tblGrid>
      <w:tr w:rsidR="00B13593" w:rsidTr="00FB41E2">
        <w:trPr>
          <w:trHeight w:val="240"/>
        </w:trPr>
        <w:tc>
          <w:tcPr>
            <w:tcW w:w="26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697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期末公允价值</w:t>
            </w:r>
          </w:p>
        </w:tc>
      </w:tr>
      <w:tr w:rsidR="00B13593" w:rsidTr="00FB41E2">
        <w:trPr>
          <w:trHeight w:val="240"/>
        </w:trPr>
        <w:tc>
          <w:tcPr>
            <w:tcW w:w="26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DE1FC4">
            <w:pPr>
              <w:spacing w:line="30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rsidTr="00FB41E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一、持续的公允价值计量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r>
      <w:tr w:rsidR="00B13593" w:rsidTr="00FB41E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（一）交易性金融资产</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111,192,320.68</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111,192,320.68</w:t>
            </w:r>
          </w:p>
        </w:tc>
      </w:tr>
      <w:tr w:rsidR="00B13593" w:rsidTr="00FB41E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2.指定以公允价值计量且其变动计入当期损益的金融资产</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111,192,320.68</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111,192,320.68</w:t>
            </w:r>
          </w:p>
        </w:tc>
      </w:tr>
      <w:tr w:rsidR="00B13593" w:rsidTr="00FB41E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（2）权益工具投资</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111,192,320.68</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111,192,320.68</w:t>
            </w:r>
          </w:p>
        </w:tc>
      </w:tr>
      <w:tr w:rsidR="00B13593" w:rsidTr="00FB41E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（三）其他权益工具投资</w:t>
            </w: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593" w:rsidP="00DE1FC4">
            <w:pPr>
              <w:spacing w:line="30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22,000,000.00</w:t>
            </w:r>
          </w:p>
        </w:tc>
        <w:tc>
          <w:tcPr>
            <w:tcW w:w="1876" w:type="dxa"/>
            <w:tcBorders>
              <w:top w:val="single" w:sz="2" w:space="0" w:color="auto"/>
              <w:left w:val="single" w:sz="2" w:space="0" w:color="auto"/>
              <w:bottom w:val="single" w:sz="2" w:space="0" w:color="auto"/>
              <w:right w:val="single" w:sz="2" w:space="0" w:color="auto"/>
            </w:tcBorders>
            <w:vAlign w:val="center"/>
          </w:tcPr>
          <w:p w:rsidR="00B13593" w:rsidRDefault="00B13F8C" w:rsidP="00DE1FC4">
            <w:pPr>
              <w:spacing w:line="300" w:lineRule="exact"/>
              <w:jc w:val="right"/>
              <w:rPr>
                <w:rFonts w:ascii="宋体" w:eastAsia="宋体" w:hAnsi="宋体" w:cs="宋体"/>
                <w:sz w:val="18"/>
                <w:szCs w:val="18"/>
              </w:rPr>
            </w:pPr>
            <w:r>
              <w:rPr>
                <w:rFonts w:ascii="宋体" w:eastAsia="宋体" w:hAnsi="宋体" w:cs="宋体"/>
                <w:sz w:val="18"/>
                <w:szCs w:val="18"/>
              </w:rPr>
              <w:t>22,000,000.00</w:t>
            </w:r>
          </w:p>
        </w:tc>
      </w:tr>
      <w:tr w:rsidR="00B13593" w:rsidTr="00FB41E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rPr>
                <w:rFonts w:ascii="宋体" w:eastAsia="宋体" w:hAnsi="宋体" w:cs="宋体"/>
                <w:sz w:val="18"/>
                <w:szCs w:val="18"/>
              </w:rPr>
            </w:pPr>
            <w:r>
              <w:rPr>
                <w:rFonts w:ascii="宋体" w:eastAsia="宋体" w:hAnsi="宋体" w:cs="宋体"/>
                <w:sz w:val="18"/>
                <w:szCs w:val="18"/>
              </w:rPr>
              <w:t>二、非持续的公允价值计量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DE1FC4">
            <w:pPr>
              <w:spacing w:line="300" w:lineRule="exact"/>
              <w:jc w:val="center"/>
              <w:rPr>
                <w:rFonts w:ascii="宋体" w:eastAsia="宋体" w:hAnsi="宋体" w:cs="宋体"/>
                <w:sz w:val="18"/>
                <w:szCs w:val="18"/>
              </w:rPr>
            </w:pPr>
            <w:r>
              <w:rPr>
                <w:rFonts w:ascii="宋体" w:eastAsia="宋体" w:hAnsi="宋体" w:cs="宋体"/>
                <w:sz w:val="18"/>
                <w:szCs w:val="18"/>
              </w:rPr>
              <w:t>--</w:t>
            </w:r>
          </w:p>
        </w:tc>
      </w:tr>
    </w:tbl>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11" w:name="_Toc989200"/>
      <w:r w:rsidRPr="00FB41E2">
        <w:rPr>
          <w:rStyle w:val="a4"/>
          <w:rFonts w:ascii="仿宋" w:eastAsia="仿宋" w:hAnsi="仿宋"/>
          <w:bCs w:val="0"/>
          <w:sz w:val="28"/>
          <w:szCs w:val="28"/>
        </w:rPr>
        <w:t>2、持续和非持续第一层次公允价值计量项目市价的确定依据</w:t>
      </w:r>
      <w:bookmarkEnd w:id="311"/>
    </w:p>
    <w:p w:rsidR="00B13593" w:rsidRPr="00FB41E2" w:rsidRDefault="00B13593" w:rsidP="007352C4">
      <w:pPr>
        <w:pStyle w:val="a3"/>
        <w:widowControl w:val="0"/>
        <w:spacing w:before="0" w:beforeAutospacing="0" w:after="0" w:afterAutospacing="0" w:line="540" w:lineRule="exact"/>
        <w:ind w:firstLineChars="200" w:firstLine="560"/>
        <w:jc w:val="both"/>
        <w:divId w:val="2132241917"/>
        <w:rPr>
          <w:rStyle w:val="a4"/>
          <w:rFonts w:ascii="仿宋" w:eastAsia="仿宋" w:hAnsi="仿宋"/>
          <w:b w:val="0"/>
          <w:sz w:val="28"/>
          <w:szCs w:val="28"/>
        </w:rPr>
      </w:pPr>
      <w:r w:rsidRPr="00FB41E2">
        <w:rPr>
          <w:rStyle w:val="a4"/>
          <w:rFonts w:ascii="仿宋" w:eastAsia="仿宋" w:hAnsi="仿宋" w:hint="eastAsia"/>
          <w:b w:val="0"/>
          <w:sz w:val="28"/>
          <w:szCs w:val="28"/>
        </w:rPr>
        <w:t>不适用</w:t>
      </w:r>
    </w:p>
    <w:p w:rsid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12" w:name="_Toc989201"/>
      <w:r w:rsidRPr="00FB41E2">
        <w:rPr>
          <w:rStyle w:val="a4"/>
          <w:rFonts w:ascii="仿宋" w:eastAsia="仿宋" w:hAnsi="仿宋"/>
          <w:bCs w:val="0"/>
          <w:sz w:val="28"/>
          <w:szCs w:val="28"/>
        </w:rPr>
        <w:t>3、持续和非持续第二层次公允价值计量项目，采用的估值技术和重要参数的定性及定量信息</w:t>
      </w:r>
      <w:bookmarkEnd w:id="312"/>
    </w:p>
    <w:p w:rsidR="00B13593" w:rsidRPr="00FB41E2" w:rsidRDefault="00B13593" w:rsidP="007352C4">
      <w:pPr>
        <w:pStyle w:val="a3"/>
        <w:widowControl w:val="0"/>
        <w:spacing w:before="0" w:beforeAutospacing="0" w:after="0" w:afterAutospacing="0" w:line="540" w:lineRule="exact"/>
        <w:ind w:firstLineChars="200" w:firstLine="560"/>
        <w:jc w:val="both"/>
        <w:rPr>
          <w:rFonts w:ascii="仿宋" w:eastAsia="仿宋" w:hAnsi="仿宋"/>
          <w:b/>
          <w:sz w:val="28"/>
          <w:szCs w:val="28"/>
        </w:rPr>
      </w:pPr>
      <w:r>
        <w:rPr>
          <w:rFonts w:ascii="仿宋" w:eastAsia="仿宋" w:hAnsi="仿宋" w:hint="eastAsia"/>
          <w:sz w:val="28"/>
          <w:szCs w:val="28"/>
        </w:rPr>
        <w:t>公司的交易性金融资产-理财产品在每一报告年末以公允价值计量。持续第二层次公允价值计量项目市价的确定依据：交易性金融资产-理财产品根据产品官网发布的产品净值或到期收益率计算收益确定。其他流动资产-结构性</w:t>
      </w:r>
      <w:r>
        <w:rPr>
          <w:rFonts w:ascii="仿宋" w:eastAsia="仿宋" w:hAnsi="仿宋" w:hint="eastAsia"/>
          <w:sz w:val="28"/>
          <w:szCs w:val="28"/>
        </w:rPr>
        <w:lastRenderedPageBreak/>
        <w:t>存款在本金基础上根据Bloomberg公布的观察日即期汇率及其所属区间对应的收益率或观察期内即期汇率的波动情况对应的收益率确定。</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sz w:val="28"/>
          <w:szCs w:val="28"/>
        </w:rPr>
      </w:pPr>
      <w:bookmarkStart w:id="313" w:name="_Toc989202"/>
      <w:r w:rsidRPr="00FB41E2">
        <w:rPr>
          <w:rStyle w:val="a4"/>
          <w:rFonts w:ascii="仿宋" w:eastAsia="仿宋" w:hAnsi="仿宋"/>
          <w:sz w:val="28"/>
          <w:szCs w:val="28"/>
        </w:rPr>
        <w:t>4、持续和非持续第三层次公允价值计量项目，采用的估值技术和重要参数的定性及定量信息</w:t>
      </w:r>
      <w:bookmarkEnd w:id="313"/>
    </w:p>
    <w:p w:rsidR="00B13593" w:rsidRPr="00FB41E2" w:rsidRDefault="00B13593" w:rsidP="007352C4">
      <w:pPr>
        <w:pStyle w:val="a3"/>
        <w:widowControl w:val="0"/>
        <w:spacing w:before="0" w:beforeAutospacing="0" w:after="0" w:afterAutospacing="0" w:line="540" w:lineRule="exact"/>
        <w:ind w:firstLineChars="200" w:firstLine="560"/>
        <w:jc w:val="both"/>
        <w:divId w:val="1066487343"/>
        <w:rPr>
          <w:rFonts w:ascii="仿宋" w:eastAsia="仿宋" w:hAnsi="仿宋"/>
          <w:sz w:val="28"/>
          <w:szCs w:val="28"/>
        </w:rPr>
      </w:pPr>
      <w:r>
        <w:rPr>
          <w:rFonts w:ascii="仿宋" w:eastAsia="仿宋" w:hAnsi="仿宋" w:hint="eastAsia"/>
          <w:sz w:val="28"/>
          <w:szCs w:val="28"/>
        </w:rPr>
        <w:t>本公司以摊余成本计量的金融资产和金融负债主要包括：应收票据、应收账款、其他应收款、长期应收款、应付票据、应付账款、其他应付款、长期应付款等。上述不以公允价值计量的金融资产和金融负债的账面价值与公允价值相差很小。</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14" w:name="_Toc989203"/>
      <w:r w:rsidRPr="00FB41E2">
        <w:rPr>
          <w:rStyle w:val="a4"/>
          <w:rFonts w:ascii="仿宋" w:eastAsia="仿宋" w:hAnsi="仿宋"/>
          <w:bCs w:val="0"/>
          <w:sz w:val="28"/>
          <w:szCs w:val="28"/>
        </w:rPr>
        <w:t>5、持续的第三层次公允价值计量项目，期初与期末账面价值间的调节信息及不可观察参数敏感性分析</w:t>
      </w:r>
      <w:bookmarkEnd w:id="314"/>
    </w:p>
    <w:p w:rsidR="00B13593" w:rsidRPr="00FB41E2" w:rsidRDefault="00B13593" w:rsidP="007352C4">
      <w:pPr>
        <w:pStyle w:val="a3"/>
        <w:widowControl w:val="0"/>
        <w:spacing w:before="0" w:beforeAutospacing="0" w:after="0" w:afterAutospacing="0" w:line="540" w:lineRule="exact"/>
        <w:ind w:firstLineChars="200" w:firstLine="560"/>
        <w:jc w:val="both"/>
        <w:divId w:val="1294795728"/>
        <w:rPr>
          <w:rStyle w:val="a4"/>
          <w:rFonts w:ascii="仿宋" w:eastAsia="仿宋" w:hAnsi="仿宋"/>
          <w:b w:val="0"/>
          <w:sz w:val="28"/>
          <w:szCs w:val="28"/>
        </w:rPr>
      </w:pPr>
      <w:r w:rsidRPr="00FB41E2">
        <w:rPr>
          <w:rStyle w:val="a4"/>
          <w:rFonts w:ascii="仿宋" w:eastAsia="仿宋" w:hAnsi="仿宋" w:hint="eastAsia"/>
          <w:b w:val="0"/>
          <w:sz w:val="28"/>
          <w:szCs w:val="28"/>
        </w:rPr>
        <w:t>不适用</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15" w:name="_Toc989204"/>
      <w:r w:rsidRPr="00FB41E2">
        <w:rPr>
          <w:rStyle w:val="a4"/>
          <w:rFonts w:ascii="仿宋" w:eastAsia="仿宋" w:hAnsi="仿宋"/>
          <w:bCs w:val="0"/>
          <w:sz w:val="28"/>
          <w:szCs w:val="28"/>
        </w:rPr>
        <w:t>6、持续的公允价值计量项目，本期内发生各层级之间转换的，转换的原因及确定转换时点的政策</w:t>
      </w:r>
      <w:bookmarkEnd w:id="315"/>
    </w:p>
    <w:p w:rsidR="00B13593" w:rsidRPr="00FB41E2" w:rsidRDefault="00B13593" w:rsidP="007352C4">
      <w:pPr>
        <w:pStyle w:val="a3"/>
        <w:widowControl w:val="0"/>
        <w:spacing w:before="0" w:beforeAutospacing="0" w:after="0" w:afterAutospacing="0" w:line="540" w:lineRule="exact"/>
        <w:ind w:firstLineChars="200" w:firstLine="560"/>
        <w:jc w:val="both"/>
        <w:divId w:val="268392971"/>
        <w:rPr>
          <w:rStyle w:val="a4"/>
          <w:rFonts w:ascii="仿宋" w:eastAsia="仿宋" w:hAnsi="仿宋"/>
          <w:b w:val="0"/>
          <w:sz w:val="28"/>
          <w:szCs w:val="28"/>
        </w:rPr>
      </w:pPr>
      <w:r w:rsidRPr="00FB41E2">
        <w:rPr>
          <w:rStyle w:val="a4"/>
          <w:rFonts w:ascii="仿宋" w:eastAsia="仿宋" w:hAnsi="仿宋" w:hint="eastAsia"/>
          <w:b w:val="0"/>
          <w:sz w:val="28"/>
          <w:szCs w:val="28"/>
        </w:rPr>
        <w:t>不适用</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16" w:name="_Toc989205"/>
      <w:r w:rsidRPr="00FB41E2">
        <w:rPr>
          <w:rStyle w:val="a4"/>
          <w:rFonts w:ascii="仿宋" w:eastAsia="仿宋" w:hAnsi="仿宋"/>
          <w:bCs w:val="0"/>
          <w:sz w:val="28"/>
          <w:szCs w:val="28"/>
        </w:rPr>
        <w:t>7、本期内发生的估值技术变更及变更原因</w:t>
      </w:r>
      <w:bookmarkEnd w:id="316"/>
    </w:p>
    <w:p w:rsidR="00B13593" w:rsidRPr="00FB41E2" w:rsidRDefault="00B13593" w:rsidP="007352C4">
      <w:pPr>
        <w:pStyle w:val="a3"/>
        <w:widowControl w:val="0"/>
        <w:spacing w:before="0" w:beforeAutospacing="0" w:after="0" w:afterAutospacing="0" w:line="540" w:lineRule="exact"/>
        <w:ind w:firstLineChars="200" w:firstLine="560"/>
        <w:jc w:val="both"/>
        <w:divId w:val="1770655307"/>
        <w:rPr>
          <w:rStyle w:val="a4"/>
          <w:rFonts w:ascii="仿宋" w:eastAsia="仿宋" w:hAnsi="仿宋"/>
          <w:b w:val="0"/>
          <w:sz w:val="28"/>
          <w:szCs w:val="28"/>
        </w:rPr>
      </w:pPr>
      <w:r w:rsidRPr="00FB41E2">
        <w:rPr>
          <w:rStyle w:val="a4"/>
          <w:rFonts w:ascii="仿宋" w:eastAsia="仿宋" w:hAnsi="仿宋" w:hint="eastAsia"/>
          <w:b w:val="0"/>
          <w:sz w:val="28"/>
          <w:szCs w:val="28"/>
        </w:rPr>
        <w:t>不适用</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sz w:val="28"/>
          <w:szCs w:val="28"/>
        </w:rPr>
      </w:pPr>
      <w:bookmarkStart w:id="317" w:name="_Toc989206"/>
      <w:r w:rsidRPr="00FB41E2">
        <w:rPr>
          <w:rStyle w:val="a4"/>
          <w:rFonts w:ascii="仿宋" w:eastAsia="仿宋" w:hAnsi="仿宋"/>
          <w:sz w:val="28"/>
          <w:szCs w:val="28"/>
        </w:rPr>
        <w:t>8、不以公允价值计量的金融资产和金融负债的公允价值情况</w:t>
      </w:r>
      <w:bookmarkEnd w:id="317"/>
    </w:p>
    <w:p w:rsidR="00B13593" w:rsidRPr="00FB41E2" w:rsidRDefault="00B13593" w:rsidP="007352C4">
      <w:pPr>
        <w:pStyle w:val="a3"/>
        <w:widowControl w:val="0"/>
        <w:spacing w:before="0" w:beforeAutospacing="0" w:after="0" w:afterAutospacing="0" w:line="540" w:lineRule="exact"/>
        <w:ind w:firstLineChars="200" w:firstLine="560"/>
        <w:jc w:val="both"/>
        <w:divId w:val="1579901759"/>
        <w:rPr>
          <w:rStyle w:val="a4"/>
          <w:rFonts w:ascii="仿宋" w:eastAsia="仿宋" w:hAnsi="仿宋"/>
          <w:b w:val="0"/>
          <w:sz w:val="28"/>
          <w:szCs w:val="28"/>
        </w:rPr>
      </w:pPr>
      <w:r w:rsidRPr="00FB41E2">
        <w:rPr>
          <w:rStyle w:val="a4"/>
          <w:rFonts w:ascii="仿宋" w:eastAsia="仿宋" w:hAnsi="仿宋" w:hint="eastAsia"/>
          <w:b w:val="0"/>
          <w:sz w:val="28"/>
          <w:szCs w:val="28"/>
        </w:rPr>
        <w:t>不适用</w:t>
      </w:r>
    </w:p>
    <w:p w:rsidR="00B13593" w:rsidRPr="00FB41E2" w:rsidRDefault="00B13F8C" w:rsidP="00FB41E2">
      <w:pPr>
        <w:pStyle w:val="2"/>
        <w:spacing w:before="0" w:after="0" w:line="560" w:lineRule="exact"/>
        <w:ind w:firstLineChars="200" w:firstLine="562"/>
        <w:rPr>
          <w:rFonts w:ascii="宋体" w:eastAsia="宋体" w:hAnsi="宋体" w:cs="宋体"/>
          <w:b/>
          <w:bCs/>
          <w:sz w:val="28"/>
          <w:szCs w:val="28"/>
        </w:rPr>
      </w:pPr>
      <w:bookmarkStart w:id="318" w:name="_Toc989207"/>
      <w:r w:rsidRPr="00FB41E2">
        <w:rPr>
          <w:rFonts w:ascii="宋体" w:eastAsia="宋体" w:hAnsi="宋体" w:cs="宋体"/>
          <w:b/>
          <w:bCs/>
          <w:sz w:val="28"/>
          <w:szCs w:val="28"/>
        </w:rPr>
        <w:t>十一、关联方及关联交易</w:t>
      </w:r>
      <w:bookmarkEnd w:id="318"/>
    </w:p>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19" w:name="_Toc989208"/>
      <w:r w:rsidRPr="00FB41E2">
        <w:rPr>
          <w:rStyle w:val="a4"/>
          <w:rFonts w:ascii="仿宋" w:eastAsia="仿宋" w:hAnsi="仿宋"/>
          <w:bCs w:val="0"/>
          <w:sz w:val="28"/>
          <w:szCs w:val="28"/>
        </w:rPr>
        <w:t>1、本企业的母公司情况</w:t>
      </w:r>
      <w:bookmarkEnd w:id="31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093"/>
        <w:gridCol w:w="1417"/>
        <w:gridCol w:w="1308"/>
        <w:gridCol w:w="1607"/>
        <w:gridCol w:w="1607"/>
        <w:gridCol w:w="1607"/>
      </w:tblGrid>
      <w:tr w:rsidR="00B13593" w:rsidTr="00FB41E2">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母公司名称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注册地</w:t>
            </w:r>
          </w:p>
        </w:tc>
        <w:tc>
          <w:tcPr>
            <w:tcW w:w="130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业务性质</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注册资本</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B13593" w:rsidTr="00FB41E2">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德力西集团有限公司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浙江省乐清市</w:t>
            </w:r>
          </w:p>
        </w:tc>
        <w:tc>
          <w:tcPr>
            <w:tcW w:w="1308"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工业</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15 亿元</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41.77%</w:t>
            </w:r>
          </w:p>
        </w:tc>
        <w:tc>
          <w:tcPr>
            <w:tcW w:w="1607"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41.77%</w:t>
            </w:r>
          </w:p>
        </w:tc>
      </w:tr>
    </w:tbl>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sz w:val="28"/>
          <w:szCs w:val="28"/>
        </w:rPr>
      </w:pPr>
      <w:r w:rsidRPr="00FB41E2">
        <w:rPr>
          <w:rStyle w:val="a4"/>
          <w:rFonts w:ascii="仿宋" w:eastAsia="仿宋" w:hAnsi="仿宋"/>
          <w:sz w:val="28"/>
          <w:szCs w:val="28"/>
        </w:rPr>
        <w:t>本企业的母公司情况的说明</w:t>
      </w:r>
    </w:p>
    <w:p w:rsidR="00FB41E2" w:rsidRDefault="00B13593" w:rsidP="007352C4">
      <w:pPr>
        <w:pStyle w:val="a3"/>
        <w:widowControl w:val="0"/>
        <w:spacing w:before="0" w:beforeAutospacing="0" w:after="0" w:afterAutospacing="0" w:line="540" w:lineRule="exact"/>
        <w:ind w:firstLineChars="200" w:firstLine="560"/>
        <w:jc w:val="both"/>
        <w:divId w:val="1409379431"/>
        <w:rPr>
          <w:rStyle w:val="a4"/>
          <w:rFonts w:ascii="仿宋" w:eastAsia="仿宋" w:hAnsi="仿宋"/>
          <w:b w:val="0"/>
          <w:sz w:val="28"/>
          <w:szCs w:val="28"/>
        </w:rPr>
      </w:pPr>
      <w:r w:rsidRPr="00FB41E2">
        <w:rPr>
          <w:rStyle w:val="a4"/>
          <w:rFonts w:ascii="仿宋" w:eastAsia="仿宋" w:hAnsi="仿宋" w:hint="eastAsia"/>
          <w:b w:val="0"/>
          <w:sz w:val="28"/>
          <w:szCs w:val="28"/>
        </w:rPr>
        <w:t>本公司最终控制方：胡成中先生持有德力西集团有限公司54.10%的股份，通过德力西集团有限公司间接控制公司41.77%的股权，直接持有公司1.43%的股权，为公司的实际控制人。</w:t>
      </w:r>
    </w:p>
    <w:p w:rsidR="00B13593" w:rsidRPr="00FB41E2" w:rsidRDefault="00B13F8C" w:rsidP="007352C4">
      <w:pPr>
        <w:pStyle w:val="a3"/>
        <w:widowControl w:val="0"/>
        <w:spacing w:before="0" w:beforeAutospacing="0" w:after="0" w:afterAutospacing="0" w:line="540" w:lineRule="exact"/>
        <w:ind w:firstLineChars="200" w:firstLine="562"/>
        <w:jc w:val="both"/>
        <w:divId w:val="1409379431"/>
        <w:rPr>
          <w:rStyle w:val="a4"/>
          <w:rFonts w:ascii="仿宋" w:eastAsia="仿宋" w:hAnsi="仿宋"/>
          <w:b w:val="0"/>
          <w:sz w:val="28"/>
          <w:szCs w:val="28"/>
        </w:rPr>
      </w:pPr>
      <w:r w:rsidRPr="00FB41E2">
        <w:rPr>
          <w:rStyle w:val="a4"/>
          <w:rFonts w:ascii="仿宋" w:eastAsia="仿宋" w:hAnsi="仿宋"/>
          <w:sz w:val="28"/>
          <w:szCs w:val="28"/>
        </w:rPr>
        <w:lastRenderedPageBreak/>
        <w:t>本企业最终控制方是胡成中。</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20" w:name="_Toc989209"/>
      <w:r w:rsidRPr="00FB41E2">
        <w:rPr>
          <w:rStyle w:val="a4"/>
          <w:rFonts w:ascii="仿宋" w:eastAsia="仿宋" w:hAnsi="仿宋"/>
          <w:bCs w:val="0"/>
          <w:sz w:val="28"/>
          <w:szCs w:val="28"/>
        </w:rPr>
        <w:t>2、本企业的子公司情况</w:t>
      </w:r>
      <w:bookmarkEnd w:id="320"/>
    </w:p>
    <w:p w:rsidR="00B13593" w:rsidRPr="00FB41E2" w:rsidRDefault="00B13F8C" w:rsidP="007352C4">
      <w:pPr>
        <w:pStyle w:val="a3"/>
        <w:widowControl w:val="0"/>
        <w:spacing w:before="0" w:beforeAutospacing="0" w:after="0" w:afterAutospacing="0" w:line="540" w:lineRule="exact"/>
        <w:ind w:firstLineChars="200" w:firstLine="560"/>
        <w:jc w:val="both"/>
        <w:rPr>
          <w:rStyle w:val="a4"/>
          <w:rFonts w:ascii="仿宋" w:eastAsia="仿宋" w:hAnsi="仿宋"/>
          <w:b w:val="0"/>
          <w:sz w:val="28"/>
          <w:szCs w:val="28"/>
        </w:rPr>
      </w:pPr>
      <w:r w:rsidRPr="00FB41E2">
        <w:rPr>
          <w:rStyle w:val="a4"/>
          <w:rFonts w:ascii="仿宋" w:eastAsia="仿宋" w:hAnsi="仿宋"/>
          <w:b w:val="0"/>
          <w:sz w:val="28"/>
          <w:szCs w:val="28"/>
        </w:rPr>
        <w:t>本企业子公司的情况详见附注九、在其他主体中的权益。</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21" w:name="_Toc989210"/>
      <w:r w:rsidRPr="00FB41E2">
        <w:rPr>
          <w:rStyle w:val="a4"/>
          <w:rFonts w:ascii="仿宋" w:eastAsia="仿宋" w:hAnsi="仿宋"/>
          <w:bCs w:val="0"/>
          <w:sz w:val="28"/>
          <w:szCs w:val="28"/>
        </w:rPr>
        <w:t>3、本企业合营和联营企业情况</w:t>
      </w:r>
      <w:bookmarkEnd w:id="321"/>
    </w:p>
    <w:p w:rsidR="00B13593" w:rsidRPr="00FB41E2" w:rsidRDefault="00B13F8C" w:rsidP="007352C4">
      <w:pPr>
        <w:pStyle w:val="a3"/>
        <w:widowControl w:val="0"/>
        <w:spacing w:before="0" w:beforeAutospacing="0" w:after="0" w:afterAutospacing="0" w:line="540" w:lineRule="exact"/>
        <w:ind w:firstLineChars="200" w:firstLine="560"/>
        <w:jc w:val="both"/>
        <w:rPr>
          <w:rStyle w:val="a4"/>
          <w:rFonts w:ascii="仿宋" w:eastAsia="仿宋" w:hAnsi="仿宋"/>
          <w:b w:val="0"/>
          <w:sz w:val="28"/>
          <w:szCs w:val="28"/>
        </w:rPr>
      </w:pPr>
      <w:r w:rsidRPr="00FB41E2">
        <w:rPr>
          <w:rStyle w:val="a4"/>
          <w:rFonts w:ascii="仿宋" w:eastAsia="仿宋" w:hAnsi="仿宋"/>
          <w:b w:val="0"/>
          <w:sz w:val="28"/>
          <w:szCs w:val="28"/>
        </w:rPr>
        <w:t>本企业重要的合营或联营企业详见附注九、在其他主体中的权益。</w:t>
      </w:r>
    </w:p>
    <w:p w:rsidR="00B13593" w:rsidRPr="00FB41E2"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sz w:val="28"/>
          <w:szCs w:val="28"/>
        </w:rPr>
      </w:pPr>
      <w:r w:rsidRPr="00FB41E2">
        <w:rPr>
          <w:rStyle w:val="a4"/>
          <w:rFonts w:ascii="仿宋" w:eastAsia="仿宋" w:hAnsi="仿宋"/>
          <w:sz w:val="28"/>
          <w:szCs w:val="28"/>
        </w:rPr>
        <w:t>本期与本公司发生关联方交易，或前期与本公司发生关联方交易形成余额的其他合营或联营企业情况如下：</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与本企业关系</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联营企业</w:t>
            </w:r>
          </w:p>
        </w:tc>
      </w:tr>
    </w:tbl>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22" w:name="_Toc989211"/>
      <w:r w:rsidRPr="00FB41E2">
        <w:rPr>
          <w:rStyle w:val="a4"/>
          <w:rFonts w:ascii="仿宋" w:eastAsia="仿宋" w:hAnsi="仿宋"/>
          <w:sz w:val="28"/>
          <w:szCs w:val="28"/>
        </w:rPr>
        <w:t>4、其他关联方情况</w:t>
      </w:r>
      <w:bookmarkEnd w:id="32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中国德力西控股集团有限公司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本公司的控股股东控制公司</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四川升华巨能科技有限公司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本公司董事控股公司</w:t>
            </w:r>
          </w:p>
        </w:tc>
      </w:tr>
    </w:tbl>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23" w:name="_Toc989212"/>
      <w:r w:rsidRPr="00FB41E2">
        <w:rPr>
          <w:rStyle w:val="a4"/>
          <w:rFonts w:ascii="仿宋" w:eastAsia="仿宋" w:hAnsi="仿宋"/>
          <w:bCs w:val="0"/>
          <w:sz w:val="28"/>
          <w:szCs w:val="28"/>
        </w:rPr>
        <w:t>5、关联交易情况</w:t>
      </w:r>
      <w:bookmarkEnd w:id="323"/>
    </w:p>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24" w:name="_Toc989213"/>
      <w:r w:rsidRPr="00FB41E2">
        <w:rPr>
          <w:rStyle w:val="a4"/>
          <w:rFonts w:ascii="仿宋" w:eastAsia="仿宋" w:hAnsi="仿宋"/>
          <w:bCs w:val="0"/>
          <w:sz w:val="28"/>
          <w:szCs w:val="28"/>
        </w:rPr>
        <w:t>（1）购销商品、提供和接受劳务的关联交易</w:t>
      </w:r>
      <w:bookmarkEnd w:id="324"/>
    </w:p>
    <w:p w:rsidR="00B13593" w:rsidRPr="00FB41E2" w:rsidRDefault="00B13F8C" w:rsidP="00FB41E2">
      <w:pPr>
        <w:pStyle w:val="a3"/>
        <w:widowControl w:val="0"/>
        <w:spacing w:before="0" w:beforeAutospacing="0" w:after="0" w:afterAutospacing="0" w:line="560" w:lineRule="exact"/>
        <w:ind w:firstLineChars="200" w:firstLine="560"/>
        <w:jc w:val="both"/>
        <w:rPr>
          <w:rStyle w:val="a4"/>
          <w:rFonts w:ascii="仿宋" w:eastAsia="仿宋" w:hAnsi="仿宋"/>
          <w:b w:val="0"/>
          <w:sz w:val="28"/>
          <w:szCs w:val="28"/>
        </w:rPr>
      </w:pPr>
      <w:r w:rsidRPr="00FB41E2">
        <w:rPr>
          <w:rStyle w:val="a4"/>
          <w:rFonts w:ascii="仿宋" w:eastAsia="仿宋" w:hAnsi="仿宋"/>
          <w:b w:val="0"/>
          <w:sz w:val="28"/>
          <w:szCs w:val="28"/>
        </w:rPr>
        <w:t>采购商品/接受劳务情况表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材料采购、委托技术开发</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3,431,823.03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1,486,000.00</w:t>
            </w:r>
          </w:p>
        </w:tc>
      </w:tr>
    </w:tbl>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25" w:name="_Toc989214"/>
      <w:r w:rsidRPr="00FB41E2">
        <w:rPr>
          <w:rStyle w:val="a4"/>
          <w:rFonts w:ascii="仿宋" w:eastAsia="仿宋" w:hAnsi="仿宋"/>
          <w:sz w:val="28"/>
          <w:szCs w:val="28"/>
        </w:rPr>
        <w:t>（2）关联租赁情况</w:t>
      </w:r>
      <w:bookmarkEnd w:id="325"/>
    </w:p>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FB41E2">
        <w:rPr>
          <w:rStyle w:val="a4"/>
          <w:rFonts w:ascii="仿宋" w:eastAsia="仿宋" w:hAnsi="仿宋"/>
          <w:sz w:val="28"/>
          <w:szCs w:val="28"/>
        </w:rPr>
        <w:t>本公司作为承租方：</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4"/>
        <w:gridCol w:w="804"/>
        <w:gridCol w:w="804"/>
        <w:gridCol w:w="803"/>
        <w:gridCol w:w="803"/>
        <w:gridCol w:w="803"/>
        <w:gridCol w:w="803"/>
        <w:gridCol w:w="803"/>
        <w:gridCol w:w="803"/>
        <w:gridCol w:w="803"/>
        <w:gridCol w:w="803"/>
        <w:gridCol w:w="803"/>
      </w:tblGrid>
      <w:tr w:rsidR="00B13593">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B13593">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pPr>
          </w:p>
        </w:tc>
        <w:tc>
          <w:tcPr>
            <w:tcW w:w="803" w:type="dxa"/>
            <w:vMerge/>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四川升</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华巨能</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科技有</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限公司</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2,520,000.00</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2,400,000.00</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1,439,090.83</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1,483,976.01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r>
      <w:tr w:rsidR="00B13593">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lastRenderedPageBreak/>
              <w:t>中国德</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力西控</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股集团</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有限公</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司</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198,256.91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90,885.71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9,653.38</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700.23</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r>
      <w:tr w:rsidR="00B13593">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中国德</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力西控</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股集团</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有限公</w:t>
            </w:r>
          </w:p>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司</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车辆</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2,021.91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r>
    </w:tbl>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26" w:name="_Toc989215"/>
      <w:r w:rsidRPr="00FB41E2">
        <w:rPr>
          <w:rStyle w:val="a4"/>
          <w:rFonts w:ascii="仿宋" w:eastAsia="仿宋" w:hAnsi="仿宋"/>
          <w:sz w:val="28"/>
          <w:szCs w:val="28"/>
        </w:rPr>
        <w:t>6、关联方应收应付款项</w:t>
      </w:r>
      <w:bookmarkEnd w:id="326"/>
    </w:p>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27" w:name="_Toc989216"/>
      <w:r w:rsidRPr="00FB41E2">
        <w:rPr>
          <w:rStyle w:val="a4"/>
          <w:rFonts w:ascii="仿宋" w:eastAsia="仿宋" w:hAnsi="仿宋"/>
          <w:sz w:val="28"/>
          <w:szCs w:val="28"/>
        </w:rPr>
        <w:t>（1）应收项目</w:t>
      </w:r>
      <w:bookmarkEnd w:id="32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7"/>
        <w:gridCol w:w="1606"/>
        <w:gridCol w:w="1606"/>
        <w:gridCol w:w="1607"/>
        <w:gridCol w:w="1606"/>
        <w:gridCol w:w="1607"/>
      </w:tblGrid>
      <w:tr w:rsidR="00B13593">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054B06"/>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054B06">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中国德力西控股集团有限公司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34,694.96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1,734.75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19,345.78</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1,607.09</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rPr>
                <w:rFonts w:ascii="宋体" w:eastAsia="宋体" w:hAnsi="宋体" w:cs="宋体"/>
                <w:sz w:val="18"/>
                <w:szCs w:val="18"/>
              </w:rPr>
            </w:pPr>
            <w:r>
              <w:rPr>
                <w:rFonts w:ascii="宋体" w:eastAsia="宋体" w:hAnsi="宋体" w:cs="宋体"/>
                <w:sz w:val="18"/>
                <w:szCs w:val="18"/>
              </w:rPr>
              <w:t>四川升华巨能科技有限公司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126,000.00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054B06">
            <w:pPr>
              <w:spacing w:line="240" w:lineRule="exact"/>
              <w:jc w:val="right"/>
              <w:rPr>
                <w:rFonts w:ascii="宋体" w:eastAsia="宋体" w:hAnsi="宋体" w:cs="宋体"/>
                <w:sz w:val="18"/>
                <w:szCs w:val="18"/>
              </w:rPr>
            </w:pPr>
            <w:r>
              <w:rPr>
                <w:rFonts w:ascii="宋体" w:eastAsia="宋体" w:hAnsi="宋体" w:cs="宋体"/>
                <w:sz w:val="18"/>
                <w:szCs w:val="18"/>
              </w:rPr>
              <w:t>126,000.00</w:t>
            </w:r>
          </w:p>
        </w:tc>
      </w:tr>
    </w:tbl>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bCs w:val="0"/>
          <w:sz w:val="28"/>
          <w:szCs w:val="28"/>
        </w:rPr>
      </w:pPr>
      <w:bookmarkStart w:id="328" w:name="_Toc989217"/>
      <w:r w:rsidRPr="00FB41E2">
        <w:rPr>
          <w:rStyle w:val="a4"/>
          <w:rFonts w:ascii="仿宋" w:eastAsia="仿宋" w:hAnsi="仿宋"/>
          <w:bCs w:val="0"/>
          <w:sz w:val="28"/>
          <w:szCs w:val="28"/>
        </w:rPr>
        <w:t>（2）应付项目</w:t>
      </w:r>
      <w:bookmarkEnd w:id="32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093"/>
        <w:gridCol w:w="3118"/>
        <w:gridCol w:w="2018"/>
        <w:gridCol w:w="2410"/>
      </w:tblGrid>
      <w:tr w:rsidR="00B13593" w:rsidTr="00FB41E2">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项目名称</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关联方</w:t>
            </w: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jc w:val="center"/>
              <w:rPr>
                <w:rFonts w:ascii="宋体" w:eastAsia="宋体" w:hAnsi="宋体" w:cs="宋体"/>
                <w:sz w:val="18"/>
                <w:szCs w:val="18"/>
              </w:rPr>
            </w:pPr>
            <w:r>
              <w:rPr>
                <w:rFonts w:ascii="宋体" w:eastAsia="宋体" w:hAnsi="宋体" w:cs="宋体"/>
                <w:sz w:val="18"/>
                <w:szCs w:val="18"/>
              </w:rPr>
              <w:t>期初账面余额</w:t>
            </w:r>
          </w:p>
        </w:tc>
      </w:tr>
      <w:tr w:rsidR="00B13593" w:rsidTr="00FB41E2">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应付账款</w:t>
            </w:r>
          </w:p>
        </w:tc>
        <w:tc>
          <w:tcPr>
            <w:tcW w:w="3118"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2018"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1,355,130.00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593" w:rsidP="00FB41E2">
            <w:pPr>
              <w:spacing w:line="300" w:lineRule="exact"/>
              <w:jc w:val="right"/>
              <w:rPr>
                <w:rFonts w:ascii="宋体" w:eastAsia="宋体" w:hAnsi="宋体" w:cs="宋体"/>
                <w:sz w:val="18"/>
                <w:szCs w:val="18"/>
              </w:rPr>
            </w:pPr>
          </w:p>
        </w:tc>
      </w:tr>
    </w:tbl>
    <w:p w:rsidR="00B13593" w:rsidRPr="00FB41E2" w:rsidRDefault="00B13F8C" w:rsidP="00FB41E2">
      <w:pPr>
        <w:pStyle w:val="2"/>
        <w:spacing w:before="0" w:after="0" w:line="560" w:lineRule="exact"/>
        <w:ind w:firstLineChars="200" w:firstLine="562"/>
        <w:rPr>
          <w:rFonts w:ascii="宋体" w:eastAsia="宋体" w:hAnsi="宋体" w:cs="宋体"/>
          <w:b/>
          <w:bCs/>
          <w:sz w:val="28"/>
          <w:szCs w:val="28"/>
        </w:rPr>
      </w:pPr>
      <w:bookmarkStart w:id="329" w:name="_Toc989218"/>
      <w:r w:rsidRPr="00FB41E2">
        <w:rPr>
          <w:rFonts w:ascii="宋体" w:eastAsia="宋体" w:hAnsi="宋体" w:cs="宋体"/>
          <w:b/>
          <w:bCs/>
          <w:sz w:val="28"/>
          <w:szCs w:val="28"/>
        </w:rPr>
        <w:t>十二、股份支付</w:t>
      </w:r>
      <w:bookmarkEnd w:id="329"/>
    </w:p>
    <w:p w:rsidR="00B13593" w:rsidRPr="00FB41E2" w:rsidRDefault="00B13F8C" w:rsidP="00FB41E2">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330" w:name="_Toc989219"/>
      <w:r w:rsidRPr="00FB41E2">
        <w:rPr>
          <w:rStyle w:val="a4"/>
          <w:rFonts w:ascii="仿宋" w:eastAsia="仿宋" w:hAnsi="仿宋"/>
          <w:sz w:val="28"/>
          <w:szCs w:val="28"/>
        </w:rPr>
        <w:t>1、股份支付总体情况</w:t>
      </w:r>
      <w:bookmarkEnd w:id="330"/>
    </w:p>
    <w:p w:rsidR="00B13593" w:rsidRPr="00FB41E2" w:rsidRDefault="00B13F8C" w:rsidP="00FB41E2">
      <w:pPr>
        <w:pStyle w:val="a3"/>
        <w:widowControl w:val="0"/>
        <w:spacing w:before="0" w:beforeAutospacing="0" w:after="0" w:afterAutospacing="0" w:line="560" w:lineRule="exact"/>
        <w:ind w:firstLineChars="200" w:firstLine="560"/>
        <w:jc w:val="both"/>
        <w:rPr>
          <w:rStyle w:val="a4"/>
          <w:rFonts w:ascii="仿宋" w:eastAsia="仿宋" w:hAnsi="仿宋"/>
          <w:b w:val="0"/>
          <w:sz w:val="28"/>
          <w:szCs w:val="28"/>
        </w:rPr>
      </w:pPr>
      <w:r w:rsidRPr="00FB41E2">
        <w:rPr>
          <w:rStyle w:val="a4"/>
          <w:rFonts w:ascii="仿宋" w:eastAsia="仿宋" w:hAnsi="仿宋"/>
          <w:b w:val="0"/>
          <w:sz w:val="28"/>
          <w:szCs w:val="28"/>
        </w:rPr>
        <w:sym w:font="Wingdings 2" w:char="F052"/>
      </w:r>
      <w:r w:rsidRPr="00FB41E2">
        <w:rPr>
          <w:rStyle w:val="a4"/>
          <w:rFonts w:ascii="仿宋" w:eastAsia="仿宋" w:hAnsi="仿宋"/>
          <w:b w:val="0"/>
          <w:sz w:val="28"/>
          <w:szCs w:val="28"/>
        </w:rPr>
        <w:t xml:space="preserve">适用 </w:t>
      </w:r>
      <w:r w:rsidR="00FB41E2">
        <w:rPr>
          <w:rStyle w:val="a4"/>
          <w:rFonts w:ascii="仿宋" w:eastAsia="仿宋" w:hAnsi="仿宋" w:hint="eastAsia"/>
          <w:b w:val="0"/>
          <w:sz w:val="28"/>
          <w:szCs w:val="28"/>
        </w:rPr>
        <w:t xml:space="preserve"> </w:t>
      </w:r>
      <w:r w:rsidRPr="00FB41E2">
        <w:rPr>
          <w:rStyle w:val="a4"/>
          <w:rFonts w:ascii="仿宋" w:eastAsia="仿宋" w:hAnsi="仿宋"/>
          <w:b w:val="0"/>
          <w:sz w:val="28"/>
          <w:szCs w:val="28"/>
        </w:rPr>
        <w:t>□不适用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公司本期授予的各项权益工具总额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公司本期行权的各项权益工具总额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5C50EF" w:rsidP="00FB41E2">
            <w:pPr>
              <w:spacing w:line="300" w:lineRule="exact"/>
              <w:jc w:val="right"/>
              <w:rPr>
                <w:rFonts w:ascii="宋体" w:eastAsia="宋体" w:hAnsi="宋体" w:cs="宋体"/>
                <w:sz w:val="18"/>
                <w:szCs w:val="18"/>
              </w:rPr>
            </w:pPr>
            <w:r w:rsidRPr="000D4AF1">
              <w:rPr>
                <w:rFonts w:ascii="宋体" w:eastAsia="宋体" w:hAnsi="宋体" w:cs="宋体"/>
                <w:sz w:val="18"/>
                <w:szCs w:val="18"/>
              </w:rPr>
              <w:t>6,556,249.55</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公司本期失效的各项权益工具总额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公司期末发行在外的股票期权行权价格的范围和合同剩余期限</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center"/>
              <w:rPr>
                <w:rFonts w:ascii="宋体" w:eastAsia="宋体" w:hAnsi="宋体" w:cs="宋体"/>
                <w:sz w:val="18"/>
                <w:szCs w:val="18"/>
              </w:rPr>
            </w:pPr>
            <w:r>
              <w:rPr>
                <w:rFonts w:ascii="宋体" w:eastAsia="宋体" w:hAnsi="宋体" w:cs="宋体"/>
                <w:sz w:val="18"/>
                <w:szCs w:val="18"/>
              </w:rPr>
              <w:t>见其他说明</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公司期末发行在外的其他权益工具行权价格的范围和合同剩余期限</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FB41E2">
            <w:pPr>
              <w:spacing w:line="300" w:lineRule="exact"/>
              <w:rPr>
                <w:rFonts w:ascii="宋体" w:eastAsia="宋体" w:hAnsi="宋体" w:cs="宋体"/>
                <w:sz w:val="18"/>
                <w:szCs w:val="18"/>
              </w:rPr>
            </w:pPr>
            <w:r>
              <w:rPr>
                <w:rFonts w:ascii="宋体" w:eastAsia="宋体" w:hAnsi="宋体" w:cs="宋体"/>
                <w:sz w:val="18"/>
                <w:szCs w:val="18"/>
              </w:rPr>
              <w:t>——</w:t>
            </w:r>
          </w:p>
        </w:tc>
      </w:tr>
    </w:tbl>
    <w:p w:rsidR="00FB41E2" w:rsidRDefault="00B13F8C" w:rsidP="00705C45">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r w:rsidRPr="00FB41E2">
        <w:rPr>
          <w:rStyle w:val="a4"/>
          <w:rFonts w:ascii="仿宋" w:eastAsia="仿宋" w:hAnsi="仿宋"/>
          <w:sz w:val="28"/>
          <w:szCs w:val="28"/>
        </w:rPr>
        <w:t>其他说明</w:t>
      </w:r>
    </w:p>
    <w:p w:rsidR="00FB41E2" w:rsidRDefault="00B13593" w:rsidP="00705C45">
      <w:pPr>
        <w:pStyle w:val="a3"/>
        <w:widowControl w:val="0"/>
        <w:spacing w:before="0" w:beforeAutospacing="0" w:after="0" w:afterAutospacing="0" w:line="560" w:lineRule="exact"/>
        <w:ind w:firstLineChars="200" w:firstLine="560"/>
        <w:jc w:val="both"/>
        <w:rPr>
          <w:rFonts w:ascii="仿宋" w:eastAsia="仿宋" w:hAnsi="仿宋"/>
          <w:b/>
          <w:bCs/>
          <w:sz w:val="28"/>
          <w:szCs w:val="28"/>
        </w:rPr>
      </w:pPr>
      <w:r>
        <w:rPr>
          <w:rFonts w:ascii="仿宋" w:eastAsia="仿宋" w:hAnsi="仿宋" w:hint="eastAsia"/>
          <w:sz w:val="28"/>
          <w:szCs w:val="28"/>
        </w:rPr>
        <w:t>根据甘化科工公司2021年第三次临时股东大会、第十届董事会第二、四次会议审议通过的《2021年限制性股票激励计划（草案）》及其摘要的议案，</w:t>
      </w:r>
      <w:r>
        <w:rPr>
          <w:rFonts w:ascii="仿宋" w:eastAsia="仿宋" w:hAnsi="仿宋" w:hint="eastAsia"/>
          <w:sz w:val="28"/>
          <w:szCs w:val="28"/>
        </w:rPr>
        <w:lastRenderedPageBreak/>
        <w:t>甘化科工拟向激励对象首次授予3,929,600股限制性股票，包含激励对象56人，行权价格为5.23元，本次激励计划授予的限制性股票来源为从二级市场回购的A股普通股。截止报告期末发行在外的股数为1,390,104股，剩余未解禁的限制性股票将于2024年全部解禁。本激励计划的业绩考核、解除限售、回购注销情况见本公司2021-47号、2022-20号、2023-04号、2023-21号、2023-26号、2023-31号公告。</w:t>
      </w:r>
    </w:p>
    <w:p w:rsidR="00B13593" w:rsidRPr="00FB41E2" w:rsidRDefault="00B13593" w:rsidP="00705C45">
      <w:pPr>
        <w:pStyle w:val="a3"/>
        <w:widowControl w:val="0"/>
        <w:spacing w:before="0" w:beforeAutospacing="0" w:after="0" w:afterAutospacing="0" w:line="560" w:lineRule="exact"/>
        <w:ind w:firstLineChars="200" w:firstLine="560"/>
        <w:jc w:val="both"/>
        <w:rPr>
          <w:rFonts w:ascii="仿宋" w:eastAsia="仿宋" w:hAnsi="仿宋"/>
          <w:b/>
          <w:bCs/>
          <w:sz w:val="28"/>
          <w:szCs w:val="28"/>
        </w:rPr>
      </w:pPr>
      <w:r>
        <w:rPr>
          <w:rFonts w:ascii="仿宋" w:eastAsia="仿宋" w:hAnsi="仿宋" w:hint="eastAsia"/>
          <w:sz w:val="28"/>
          <w:szCs w:val="28"/>
        </w:rPr>
        <w:t>根据甘化科工公司2022年度第十届董事会第十一次会议及第十届监事会第九次会议审议通过的《关于向激励对象授予预留限制性股票的议案》，甘化科工拟向激励对象授予预留限制性股票459,013股，包含激励对象22人，行权价格为5.23元。截止报告期末发行在外的股数为211,006股，剩余未解禁的限制性股票将于2024年全部解禁。本激励计划的业绩考核、解除限售、回购注销情况见本公司2021-47号、2022-05号、2022-20号、2023-04号、2023-21号、2023-26号、2023-32号公告。</w:t>
      </w:r>
    </w:p>
    <w:p w:rsidR="00B13593" w:rsidRPr="00213027" w:rsidRDefault="00B13F8C" w:rsidP="007352C4">
      <w:pPr>
        <w:pStyle w:val="a3"/>
        <w:widowControl w:val="0"/>
        <w:spacing w:before="0" w:beforeAutospacing="0" w:after="0" w:afterAutospacing="0" w:line="540" w:lineRule="exact"/>
        <w:ind w:firstLineChars="200" w:firstLine="562"/>
        <w:jc w:val="both"/>
        <w:rPr>
          <w:rStyle w:val="a4"/>
          <w:rFonts w:ascii="仿宋" w:eastAsia="仿宋" w:hAnsi="仿宋"/>
          <w:bCs w:val="0"/>
          <w:sz w:val="28"/>
          <w:szCs w:val="28"/>
        </w:rPr>
      </w:pPr>
      <w:bookmarkStart w:id="331" w:name="_Toc989220"/>
      <w:r w:rsidRPr="00213027">
        <w:rPr>
          <w:rStyle w:val="a4"/>
          <w:rFonts w:ascii="仿宋" w:eastAsia="仿宋" w:hAnsi="仿宋"/>
          <w:bCs w:val="0"/>
          <w:sz w:val="28"/>
          <w:szCs w:val="28"/>
        </w:rPr>
        <w:t>2、以权益结算的股份支付情况</w:t>
      </w:r>
      <w:bookmarkEnd w:id="331"/>
    </w:p>
    <w:p w:rsidR="00B13593" w:rsidRPr="00213027" w:rsidRDefault="00B13F8C" w:rsidP="007352C4">
      <w:pPr>
        <w:pStyle w:val="a3"/>
        <w:widowControl w:val="0"/>
        <w:spacing w:before="0" w:beforeAutospacing="0" w:after="0" w:afterAutospacing="0" w:line="540" w:lineRule="exact"/>
        <w:ind w:firstLineChars="200" w:firstLine="560"/>
        <w:jc w:val="both"/>
        <w:rPr>
          <w:rStyle w:val="a4"/>
          <w:rFonts w:ascii="仿宋" w:eastAsia="仿宋" w:hAnsi="仿宋"/>
          <w:b w:val="0"/>
          <w:sz w:val="28"/>
          <w:szCs w:val="28"/>
        </w:rPr>
      </w:pPr>
      <w:r w:rsidRPr="00213027">
        <w:rPr>
          <w:rStyle w:val="a4"/>
          <w:rFonts w:ascii="仿宋" w:eastAsia="仿宋" w:hAnsi="仿宋"/>
          <w:b w:val="0"/>
          <w:sz w:val="28"/>
          <w:szCs w:val="28"/>
        </w:rPr>
        <w:sym w:font="Wingdings 2" w:char="F052"/>
      </w:r>
      <w:r w:rsidRPr="00213027">
        <w:rPr>
          <w:rStyle w:val="a4"/>
          <w:rFonts w:ascii="仿宋" w:eastAsia="仿宋" w:hAnsi="仿宋"/>
          <w:b w:val="0"/>
          <w:sz w:val="28"/>
          <w:szCs w:val="28"/>
        </w:rPr>
        <w:t xml:space="preserve">适用 </w:t>
      </w:r>
      <w:r w:rsidR="00213027">
        <w:rPr>
          <w:rStyle w:val="a4"/>
          <w:rFonts w:ascii="仿宋" w:eastAsia="仿宋" w:hAnsi="仿宋" w:hint="eastAsia"/>
          <w:b w:val="0"/>
          <w:sz w:val="28"/>
          <w:szCs w:val="28"/>
        </w:rPr>
        <w:t xml:space="preserve"> </w:t>
      </w:r>
      <w:r w:rsidRPr="00213027">
        <w:rPr>
          <w:rStyle w:val="a4"/>
          <w:rFonts w:ascii="仿宋" w:eastAsia="仿宋" w:hAnsi="仿宋"/>
          <w:b w:val="0"/>
          <w:sz w:val="28"/>
          <w:szCs w:val="28"/>
        </w:rPr>
        <w:t>□不适用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授予日公司股票收盘</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可行权权益工具数量的确定依据</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每个资产负债表日，根据最新取得的可行权/解锁人数变动、业绩指标完成情况等后续信息确定</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本期估计与上期估计有重大差异的原因</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无</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8056D9" w:rsidP="00213027">
            <w:pPr>
              <w:spacing w:line="300" w:lineRule="exact"/>
              <w:jc w:val="right"/>
              <w:rPr>
                <w:rFonts w:ascii="宋体" w:eastAsia="宋体" w:hAnsi="宋体" w:cs="宋体"/>
                <w:sz w:val="18"/>
                <w:szCs w:val="18"/>
              </w:rPr>
            </w:pPr>
            <w:r w:rsidRPr="008056D9">
              <w:rPr>
                <w:rFonts w:ascii="宋体" w:eastAsia="宋体" w:hAnsi="宋体" w:cs="宋体"/>
                <w:sz w:val="18"/>
                <w:szCs w:val="18"/>
              </w:rPr>
              <w:t>23,430,375.53</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2,518,616.21</w:t>
            </w:r>
          </w:p>
        </w:tc>
      </w:tr>
    </w:tbl>
    <w:p w:rsidR="00B13593" w:rsidRPr="00213027" w:rsidRDefault="00B13F8C" w:rsidP="00705C45">
      <w:pPr>
        <w:pStyle w:val="a3"/>
        <w:widowControl w:val="0"/>
        <w:spacing w:before="0" w:beforeAutospacing="0" w:after="0" w:afterAutospacing="0" w:line="560" w:lineRule="exact"/>
        <w:ind w:firstLine="480"/>
        <w:jc w:val="both"/>
        <w:rPr>
          <w:rFonts w:ascii="仿宋" w:eastAsia="仿宋" w:hAnsi="仿宋"/>
          <w:b/>
          <w:sz w:val="28"/>
          <w:szCs w:val="28"/>
        </w:rPr>
      </w:pPr>
      <w:r w:rsidRPr="00213027">
        <w:rPr>
          <w:rFonts w:ascii="仿宋" w:eastAsia="仿宋" w:hAnsi="仿宋"/>
          <w:b/>
          <w:sz w:val="28"/>
          <w:szCs w:val="28"/>
        </w:rPr>
        <w:t>其他说明</w:t>
      </w:r>
    </w:p>
    <w:p w:rsidR="00B13593" w:rsidRPr="00213027" w:rsidRDefault="00B13593" w:rsidP="00705C45">
      <w:pPr>
        <w:pStyle w:val="a3"/>
        <w:widowControl w:val="0"/>
        <w:spacing w:before="0" w:beforeAutospacing="0" w:after="0" w:afterAutospacing="0" w:line="560" w:lineRule="exact"/>
        <w:ind w:firstLineChars="200" w:firstLine="560"/>
        <w:jc w:val="both"/>
        <w:divId w:val="1676301549"/>
        <w:rPr>
          <w:rFonts w:ascii="仿宋" w:eastAsia="仿宋" w:hAnsi="仿宋"/>
          <w:sz w:val="28"/>
          <w:szCs w:val="28"/>
        </w:rPr>
      </w:pPr>
      <w:r>
        <w:rPr>
          <w:rFonts w:ascii="仿宋" w:eastAsia="仿宋" w:hAnsi="仿宋" w:hint="eastAsia"/>
          <w:sz w:val="28"/>
          <w:szCs w:val="28"/>
        </w:rPr>
        <w:t>公司2021年确认股份支付费用11,174,799.96元，与当期以权益结算的股份支付计入资本公积的累计金额差异为：根据2021年12月31日甘化科工公司股票收盘价与激励计划授予价格之间的差异对预期行权部分的超额抵税额确认递延所得税资产150,239.15元、本期股权激励摊销金额中属于少数股</w:t>
      </w:r>
      <w:r>
        <w:rPr>
          <w:rFonts w:ascii="仿宋" w:eastAsia="仿宋" w:hAnsi="仿宋" w:hint="eastAsia"/>
          <w:sz w:val="28"/>
          <w:szCs w:val="28"/>
        </w:rPr>
        <w:lastRenderedPageBreak/>
        <w:t>权权益228,807.10元。</w:t>
      </w:r>
    </w:p>
    <w:p w:rsidR="00B13593" w:rsidRPr="00213027" w:rsidRDefault="00B13593" w:rsidP="00705C45">
      <w:pPr>
        <w:pStyle w:val="a3"/>
        <w:widowControl w:val="0"/>
        <w:spacing w:before="0" w:beforeAutospacing="0" w:after="0" w:afterAutospacing="0" w:line="560" w:lineRule="exact"/>
        <w:ind w:firstLineChars="200" w:firstLine="560"/>
        <w:jc w:val="both"/>
        <w:divId w:val="1676301549"/>
        <w:rPr>
          <w:rFonts w:ascii="仿宋" w:eastAsia="仿宋" w:hAnsi="仿宋"/>
          <w:sz w:val="28"/>
          <w:szCs w:val="28"/>
        </w:rPr>
      </w:pPr>
      <w:r>
        <w:rPr>
          <w:rFonts w:ascii="仿宋" w:eastAsia="仿宋" w:hAnsi="仿宋" w:hint="eastAsia"/>
          <w:sz w:val="28"/>
          <w:szCs w:val="28"/>
        </w:rPr>
        <w:t>公司2022年确认股份支付费用10,128,809.55元，与当期以权益结算的股份支付计入资本公积的累计金额差异为：根据2022年12月31日甘化科工公司股票收盘价与激励计划授予价格之间的差异冲回上期对预期行权部分计提的的超额抵税额150,239.15元、本期股权激励摊销金额中属于少数股权权益163,043.09元。</w:t>
      </w:r>
    </w:p>
    <w:p w:rsidR="00B13593" w:rsidRPr="00213027" w:rsidRDefault="00B13593" w:rsidP="00705C45">
      <w:pPr>
        <w:pStyle w:val="a3"/>
        <w:widowControl w:val="0"/>
        <w:spacing w:before="0" w:beforeAutospacing="0" w:after="0" w:afterAutospacing="0" w:line="560" w:lineRule="exact"/>
        <w:ind w:firstLineChars="200" w:firstLine="560"/>
        <w:jc w:val="both"/>
        <w:divId w:val="1676301549"/>
        <w:rPr>
          <w:rFonts w:ascii="仿宋" w:eastAsia="仿宋" w:hAnsi="仿宋"/>
          <w:sz w:val="28"/>
          <w:szCs w:val="28"/>
        </w:rPr>
      </w:pPr>
      <w:r>
        <w:rPr>
          <w:rFonts w:ascii="仿宋" w:eastAsia="仿宋" w:hAnsi="仿宋" w:hint="eastAsia"/>
          <w:sz w:val="28"/>
          <w:szCs w:val="28"/>
        </w:rPr>
        <w:t>公司2023年确认股份支付费用</w:t>
      </w:r>
      <w:r w:rsidRPr="00213027">
        <w:rPr>
          <w:rFonts w:ascii="仿宋" w:eastAsia="仿宋" w:hAnsi="仿宋" w:hint="eastAsia"/>
          <w:sz w:val="28"/>
          <w:szCs w:val="28"/>
        </w:rPr>
        <w:t>2,518,616.21</w:t>
      </w:r>
      <w:r>
        <w:rPr>
          <w:rFonts w:ascii="仿宋" w:eastAsia="仿宋" w:hAnsi="仿宋" w:hint="eastAsia"/>
          <w:sz w:val="28"/>
          <w:szCs w:val="28"/>
        </w:rPr>
        <w:t>元，本期股权激励摊销金额中属于少数股权权益41,837.78元。</w:t>
      </w:r>
    </w:p>
    <w:p w:rsidR="00B13593" w:rsidRPr="00213027" w:rsidRDefault="00B13F8C" w:rsidP="00705C45">
      <w:pPr>
        <w:pStyle w:val="a3"/>
        <w:widowControl w:val="0"/>
        <w:spacing w:before="0" w:beforeAutospacing="0" w:after="0" w:afterAutospacing="0" w:line="560" w:lineRule="exact"/>
        <w:ind w:firstLine="480"/>
        <w:jc w:val="both"/>
        <w:rPr>
          <w:rFonts w:ascii="仿宋" w:eastAsia="仿宋" w:hAnsi="仿宋"/>
          <w:b/>
          <w:sz w:val="28"/>
          <w:szCs w:val="28"/>
        </w:rPr>
      </w:pPr>
      <w:bookmarkStart w:id="332" w:name="_Toc989221"/>
      <w:r w:rsidRPr="00213027">
        <w:rPr>
          <w:rFonts w:ascii="仿宋" w:eastAsia="仿宋" w:hAnsi="仿宋"/>
          <w:b/>
          <w:sz w:val="28"/>
          <w:szCs w:val="28"/>
        </w:rPr>
        <w:t>3、以现金结算的股份支付情况</w:t>
      </w:r>
      <w:bookmarkEnd w:id="332"/>
    </w:p>
    <w:p w:rsidR="00B13593" w:rsidRPr="00213027" w:rsidRDefault="00B13F8C" w:rsidP="00705C45">
      <w:pPr>
        <w:pStyle w:val="a3"/>
        <w:widowControl w:val="0"/>
        <w:spacing w:before="0" w:beforeAutospacing="0" w:after="0" w:afterAutospacing="0" w:line="560" w:lineRule="exact"/>
        <w:ind w:firstLine="480"/>
        <w:jc w:val="both"/>
        <w:rPr>
          <w:rFonts w:ascii="仿宋" w:eastAsia="仿宋" w:hAnsi="仿宋"/>
          <w:sz w:val="28"/>
          <w:szCs w:val="28"/>
        </w:rPr>
      </w:pPr>
      <w:r w:rsidRPr="00213027">
        <w:rPr>
          <w:rFonts w:ascii="仿宋" w:eastAsia="仿宋" w:hAnsi="仿宋"/>
          <w:sz w:val="28"/>
          <w:szCs w:val="28"/>
        </w:rPr>
        <w:t xml:space="preserve">□适用 </w:t>
      </w:r>
      <w:r w:rsidR="00213027" w:rsidRPr="00213027">
        <w:rPr>
          <w:rFonts w:ascii="仿宋" w:eastAsia="仿宋" w:hAnsi="仿宋" w:hint="eastAsia"/>
          <w:sz w:val="28"/>
          <w:szCs w:val="28"/>
        </w:rPr>
        <w:t xml:space="preserve"> </w:t>
      </w:r>
      <w:r w:rsidRPr="00213027">
        <w:rPr>
          <w:rFonts w:ascii="仿宋" w:eastAsia="仿宋" w:hAnsi="仿宋"/>
          <w:sz w:val="28"/>
          <w:szCs w:val="28"/>
        </w:rPr>
        <w:sym w:font="Wingdings 2" w:char="F052"/>
      </w:r>
      <w:r w:rsidRPr="00213027">
        <w:rPr>
          <w:rFonts w:ascii="仿宋" w:eastAsia="仿宋" w:hAnsi="仿宋"/>
          <w:sz w:val="28"/>
          <w:szCs w:val="28"/>
        </w:rPr>
        <w:t>不适用</w:t>
      </w:r>
    </w:p>
    <w:p w:rsidR="00B13593" w:rsidRPr="00213027" w:rsidRDefault="00B13F8C" w:rsidP="00705C45">
      <w:pPr>
        <w:pStyle w:val="a3"/>
        <w:widowControl w:val="0"/>
        <w:spacing w:before="0" w:beforeAutospacing="0" w:after="0" w:afterAutospacing="0" w:line="560" w:lineRule="exact"/>
        <w:ind w:firstLine="480"/>
        <w:jc w:val="both"/>
        <w:rPr>
          <w:rFonts w:ascii="仿宋" w:eastAsia="仿宋" w:hAnsi="仿宋"/>
          <w:b/>
          <w:sz w:val="28"/>
          <w:szCs w:val="28"/>
        </w:rPr>
      </w:pPr>
      <w:bookmarkStart w:id="333" w:name="_Toc989222"/>
      <w:r w:rsidRPr="00213027">
        <w:rPr>
          <w:rFonts w:ascii="仿宋" w:eastAsia="仿宋" w:hAnsi="仿宋"/>
          <w:b/>
          <w:sz w:val="28"/>
          <w:szCs w:val="28"/>
        </w:rPr>
        <w:t>4、股份支付的修改、终止情况</w:t>
      </w:r>
      <w:bookmarkEnd w:id="333"/>
    </w:p>
    <w:p w:rsidR="00213027" w:rsidRDefault="00B13593" w:rsidP="00705C45">
      <w:pPr>
        <w:pStyle w:val="a3"/>
        <w:widowControl w:val="0"/>
        <w:spacing w:before="0" w:beforeAutospacing="0" w:after="0" w:afterAutospacing="0" w:line="560" w:lineRule="exact"/>
        <w:ind w:firstLine="480"/>
        <w:jc w:val="both"/>
        <w:rPr>
          <w:rFonts w:ascii="仿宋" w:eastAsia="仿宋" w:hAnsi="仿宋"/>
          <w:sz w:val="28"/>
          <w:szCs w:val="28"/>
        </w:rPr>
      </w:pPr>
      <w:r w:rsidRPr="00213027">
        <w:rPr>
          <w:rFonts w:ascii="仿宋" w:eastAsia="仿宋" w:hAnsi="仿宋" w:hint="eastAsia"/>
          <w:sz w:val="28"/>
          <w:szCs w:val="28"/>
        </w:rPr>
        <w:t>不适用</w:t>
      </w:r>
      <w:bookmarkStart w:id="334" w:name="_Toc989223"/>
    </w:p>
    <w:p w:rsidR="00213027" w:rsidRDefault="00B13F8C" w:rsidP="0063261C">
      <w:pPr>
        <w:pStyle w:val="a3"/>
        <w:widowControl w:val="0"/>
        <w:spacing w:before="0" w:beforeAutospacing="0" w:after="0" w:afterAutospacing="0" w:line="540" w:lineRule="exact"/>
        <w:ind w:firstLine="480"/>
        <w:jc w:val="both"/>
        <w:rPr>
          <w:b/>
          <w:bCs/>
          <w:sz w:val="28"/>
          <w:szCs w:val="28"/>
        </w:rPr>
      </w:pPr>
      <w:r w:rsidRPr="00213027">
        <w:rPr>
          <w:b/>
          <w:bCs/>
          <w:sz w:val="28"/>
          <w:szCs w:val="28"/>
        </w:rPr>
        <w:t>十三、承诺及或有事项</w:t>
      </w:r>
      <w:bookmarkStart w:id="335" w:name="_Toc989224"/>
      <w:bookmarkEnd w:id="334"/>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r w:rsidRPr="00213027">
        <w:rPr>
          <w:rFonts w:ascii="仿宋" w:eastAsia="仿宋" w:hAnsi="仿宋"/>
          <w:b/>
          <w:sz w:val="28"/>
          <w:szCs w:val="28"/>
        </w:rPr>
        <w:t>1、重要承诺事项</w:t>
      </w:r>
      <w:bookmarkEnd w:id="335"/>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r w:rsidRPr="00213027">
        <w:rPr>
          <w:rFonts w:ascii="仿宋" w:eastAsia="仿宋" w:hAnsi="仿宋"/>
          <w:b/>
          <w:sz w:val="28"/>
          <w:szCs w:val="28"/>
        </w:rPr>
        <w:t>资产负债表日存在的重要承诺</w:t>
      </w:r>
    </w:p>
    <w:p w:rsidR="00B13593" w:rsidRPr="00213027" w:rsidRDefault="00B13593" w:rsidP="0063261C">
      <w:pPr>
        <w:pStyle w:val="a3"/>
        <w:widowControl w:val="0"/>
        <w:spacing w:before="0" w:beforeAutospacing="0" w:after="0" w:afterAutospacing="0" w:line="540" w:lineRule="exact"/>
        <w:ind w:firstLine="480"/>
        <w:jc w:val="both"/>
        <w:divId w:val="1858494490"/>
        <w:rPr>
          <w:rFonts w:ascii="仿宋" w:eastAsia="仿宋" w:hAnsi="仿宋"/>
          <w:sz w:val="28"/>
          <w:szCs w:val="28"/>
        </w:rPr>
      </w:pPr>
      <w:r w:rsidRPr="00213027">
        <w:rPr>
          <w:rFonts w:ascii="仿宋" w:eastAsia="仿宋" w:hAnsi="仿宋" w:hint="eastAsia"/>
          <w:sz w:val="28"/>
          <w:szCs w:val="28"/>
        </w:rPr>
        <w:t>截至2023年6月30日，本公司无需要披露的重大承诺事项。</w:t>
      </w:r>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bookmarkStart w:id="336" w:name="_Toc989225"/>
      <w:r w:rsidRPr="00213027">
        <w:rPr>
          <w:rFonts w:ascii="仿宋" w:eastAsia="仿宋" w:hAnsi="仿宋"/>
          <w:b/>
          <w:sz w:val="28"/>
          <w:szCs w:val="28"/>
        </w:rPr>
        <w:t>2、或有事项</w:t>
      </w:r>
      <w:bookmarkEnd w:id="336"/>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bookmarkStart w:id="337" w:name="_Toc989226"/>
      <w:r w:rsidRPr="00213027">
        <w:rPr>
          <w:rFonts w:ascii="仿宋" w:eastAsia="仿宋" w:hAnsi="仿宋"/>
          <w:b/>
          <w:sz w:val="28"/>
          <w:szCs w:val="28"/>
        </w:rPr>
        <w:t>（1）资产负债表日存在的重要或有事项</w:t>
      </w:r>
      <w:bookmarkEnd w:id="337"/>
    </w:p>
    <w:p w:rsidR="00B13593" w:rsidRPr="00213027" w:rsidRDefault="00B13593" w:rsidP="0063261C">
      <w:pPr>
        <w:pStyle w:val="a3"/>
        <w:widowControl w:val="0"/>
        <w:spacing w:before="0" w:beforeAutospacing="0" w:after="0" w:afterAutospacing="0" w:line="540" w:lineRule="exact"/>
        <w:ind w:firstLine="480"/>
        <w:jc w:val="both"/>
        <w:divId w:val="1388141961"/>
        <w:rPr>
          <w:rFonts w:ascii="仿宋" w:eastAsia="仿宋" w:hAnsi="仿宋"/>
          <w:sz w:val="28"/>
          <w:szCs w:val="28"/>
        </w:rPr>
      </w:pPr>
      <w:r w:rsidRPr="00213027">
        <w:rPr>
          <w:rFonts w:ascii="仿宋" w:eastAsia="仿宋" w:hAnsi="仿宋" w:hint="eastAsia"/>
          <w:sz w:val="28"/>
          <w:szCs w:val="28"/>
        </w:rPr>
        <w:t>截至2023年6月30日，本公司无需要披露的重大或有事项。</w:t>
      </w:r>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bookmarkStart w:id="338" w:name="_Toc989227"/>
      <w:r w:rsidRPr="00213027">
        <w:rPr>
          <w:rFonts w:ascii="仿宋" w:eastAsia="仿宋" w:hAnsi="仿宋"/>
          <w:b/>
          <w:sz w:val="28"/>
          <w:szCs w:val="28"/>
        </w:rPr>
        <w:t>（2）公司没有需要披露的重要或有事项，也应予以说明</w:t>
      </w:r>
      <w:bookmarkEnd w:id="338"/>
    </w:p>
    <w:p w:rsidR="00B13593" w:rsidRPr="00213027" w:rsidRDefault="00B13F8C" w:rsidP="0063261C">
      <w:pPr>
        <w:pStyle w:val="a3"/>
        <w:widowControl w:val="0"/>
        <w:spacing w:before="0" w:beforeAutospacing="0" w:after="0" w:afterAutospacing="0" w:line="540" w:lineRule="exact"/>
        <w:ind w:firstLine="482"/>
        <w:jc w:val="both"/>
        <w:rPr>
          <w:rFonts w:ascii="仿宋" w:eastAsia="仿宋" w:hAnsi="仿宋"/>
          <w:sz w:val="28"/>
          <w:szCs w:val="28"/>
        </w:rPr>
      </w:pPr>
      <w:r w:rsidRPr="00213027">
        <w:rPr>
          <w:rFonts w:ascii="仿宋" w:eastAsia="仿宋" w:hAnsi="仿宋"/>
          <w:sz w:val="28"/>
          <w:szCs w:val="28"/>
        </w:rPr>
        <w:t>公司不存在需要披露的重要或有事项。</w:t>
      </w:r>
    </w:p>
    <w:p w:rsidR="007352C4" w:rsidRPr="00213027" w:rsidRDefault="007352C4" w:rsidP="0063261C">
      <w:pPr>
        <w:pStyle w:val="a3"/>
        <w:widowControl w:val="0"/>
        <w:spacing w:before="0" w:beforeAutospacing="0" w:after="0" w:afterAutospacing="0" w:line="540" w:lineRule="exact"/>
        <w:ind w:firstLine="482"/>
        <w:jc w:val="both"/>
        <w:rPr>
          <w:b/>
          <w:bCs/>
          <w:sz w:val="28"/>
          <w:szCs w:val="28"/>
        </w:rPr>
      </w:pPr>
      <w:bookmarkStart w:id="339" w:name="_Toc989228"/>
      <w:r w:rsidRPr="00213027">
        <w:rPr>
          <w:b/>
          <w:bCs/>
          <w:sz w:val="28"/>
          <w:szCs w:val="28"/>
        </w:rPr>
        <w:t>十四、</w:t>
      </w:r>
      <w:r>
        <w:rPr>
          <w:rFonts w:hint="eastAsia"/>
          <w:b/>
          <w:bCs/>
          <w:sz w:val="28"/>
          <w:szCs w:val="28"/>
        </w:rPr>
        <w:t>资产负债表日后事项</w:t>
      </w:r>
    </w:p>
    <w:p w:rsidR="007352C4" w:rsidRPr="00D33ED8" w:rsidRDefault="007352C4" w:rsidP="0063261C">
      <w:pPr>
        <w:pStyle w:val="a3"/>
        <w:widowControl w:val="0"/>
        <w:spacing w:before="0" w:beforeAutospacing="0" w:after="0" w:afterAutospacing="0" w:line="540" w:lineRule="exact"/>
        <w:ind w:firstLine="482"/>
        <w:jc w:val="both"/>
        <w:rPr>
          <w:rFonts w:ascii="仿宋" w:eastAsia="仿宋" w:hAnsi="仿宋"/>
          <w:sz w:val="28"/>
          <w:szCs w:val="28"/>
        </w:rPr>
      </w:pPr>
      <w:r w:rsidRPr="007352C4">
        <w:rPr>
          <w:rFonts w:ascii="仿宋" w:eastAsia="仿宋" w:hAnsi="仿宋" w:hint="eastAsia"/>
          <w:sz w:val="28"/>
          <w:szCs w:val="28"/>
        </w:rPr>
        <w:t>2023年8月12日，根据甘化科工2023-40号公告披露，公司收到广东省江门市中级人民法院的《行政判决书》，驳回了公司关于“1、撤销（2022）粤 0704 行 初 350 号《行政判决书》的判决，依法改判支持公司的一审诉</w:t>
      </w:r>
      <w:r w:rsidRPr="007352C4">
        <w:rPr>
          <w:rFonts w:ascii="仿宋" w:eastAsia="仿宋" w:hAnsi="仿宋" w:hint="eastAsia"/>
          <w:sz w:val="28"/>
          <w:szCs w:val="28"/>
        </w:rPr>
        <w:lastRenderedPageBreak/>
        <w:t>讼请求； 2、本案一审、二审诉讼费由江门市国资委、江门市自然资源局共同承担”的上诉请求。详情请参阅公司2023年8月12日在《证券时报》《中国证券报》《证券日报》《上海证券报》及巨潮资讯网（http://www.cninfo.com.cn）上刊载的《关于收到广东省江门市中级人民法院&lt;行政判决书&gt;暨诉讼进展的公告》（2023-40）。</w:t>
      </w:r>
    </w:p>
    <w:p w:rsidR="00B13593" w:rsidRPr="00213027" w:rsidRDefault="00B13F8C" w:rsidP="0063261C">
      <w:pPr>
        <w:pStyle w:val="a3"/>
        <w:widowControl w:val="0"/>
        <w:spacing w:before="0" w:beforeAutospacing="0" w:after="0" w:afterAutospacing="0" w:line="540" w:lineRule="exact"/>
        <w:ind w:firstLine="480"/>
        <w:jc w:val="both"/>
        <w:rPr>
          <w:b/>
          <w:bCs/>
          <w:sz w:val="28"/>
          <w:szCs w:val="28"/>
        </w:rPr>
      </w:pPr>
      <w:r w:rsidRPr="00213027">
        <w:rPr>
          <w:b/>
          <w:bCs/>
          <w:sz w:val="28"/>
          <w:szCs w:val="28"/>
        </w:rPr>
        <w:t>十</w:t>
      </w:r>
      <w:r w:rsidR="007352C4">
        <w:rPr>
          <w:rFonts w:hint="eastAsia"/>
          <w:b/>
          <w:bCs/>
          <w:sz w:val="28"/>
          <w:szCs w:val="28"/>
        </w:rPr>
        <w:t>五</w:t>
      </w:r>
      <w:r w:rsidRPr="00213027">
        <w:rPr>
          <w:b/>
          <w:bCs/>
          <w:sz w:val="28"/>
          <w:szCs w:val="28"/>
        </w:rPr>
        <w:t>、其他重要事项</w:t>
      </w:r>
      <w:bookmarkEnd w:id="339"/>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bookmarkStart w:id="340" w:name="_Toc989229"/>
      <w:r w:rsidRPr="00213027">
        <w:rPr>
          <w:rFonts w:ascii="仿宋" w:eastAsia="仿宋" w:hAnsi="仿宋"/>
          <w:b/>
          <w:sz w:val="28"/>
          <w:szCs w:val="28"/>
        </w:rPr>
        <w:t>1、分部信息</w:t>
      </w:r>
      <w:bookmarkEnd w:id="340"/>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bookmarkStart w:id="341" w:name="_Toc989230"/>
      <w:r w:rsidRPr="00213027">
        <w:rPr>
          <w:rFonts w:ascii="仿宋" w:eastAsia="仿宋" w:hAnsi="仿宋"/>
          <w:b/>
          <w:sz w:val="28"/>
          <w:szCs w:val="28"/>
        </w:rPr>
        <w:t>（1）报告分部的确定依据与会计政策</w:t>
      </w:r>
      <w:bookmarkEnd w:id="341"/>
    </w:p>
    <w:p w:rsidR="00B13593" w:rsidRPr="00213027" w:rsidRDefault="00B13593" w:rsidP="0063261C">
      <w:pPr>
        <w:pStyle w:val="a3"/>
        <w:widowControl w:val="0"/>
        <w:spacing w:before="0" w:beforeAutospacing="0" w:after="0" w:afterAutospacing="0" w:line="540" w:lineRule="exact"/>
        <w:ind w:firstLine="480"/>
        <w:jc w:val="both"/>
        <w:divId w:val="1106727232"/>
        <w:rPr>
          <w:rFonts w:ascii="仿宋" w:eastAsia="仿宋" w:hAnsi="仿宋"/>
          <w:sz w:val="28"/>
          <w:szCs w:val="28"/>
        </w:rPr>
      </w:pPr>
      <w:r w:rsidRPr="00213027">
        <w:rPr>
          <w:rFonts w:ascii="仿宋" w:eastAsia="仿宋" w:hAnsi="仿宋" w:hint="eastAsia"/>
          <w:sz w:val="28"/>
          <w:szCs w:val="28"/>
        </w:rPr>
        <w:t>报告分部按产品分类确定，报告分部均执行公司的统一会计政策。</w:t>
      </w:r>
    </w:p>
    <w:p w:rsidR="00B13593" w:rsidRPr="00213027" w:rsidRDefault="00B13F8C" w:rsidP="0063261C">
      <w:pPr>
        <w:pStyle w:val="a3"/>
        <w:widowControl w:val="0"/>
        <w:spacing w:before="0" w:beforeAutospacing="0" w:after="0" w:afterAutospacing="0" w:line="540" w:lineRule="exact"/>
        <w:ind w:firstLine="480"/>
        <w:jc w:val="both"/>
        <w:rPr>
          <w:rFonts w:ascii="仿宋" w:eastAsia="仿宋" w:hAnsi="仿宋"/>
          <w:b/>
          <w:sz w:val="28"/>
          <w:szCs w:val="28"/>
        </w:rPr>
      </w:pPr>
      <w:bookmarkStart w:id="342" w:name="_Toc989231"/>
      <w:r w:rsidRPr="00213027">
        <w:rPr>
          <w:rFonts w:ascii="仿宋" w:eastAsia="仿宋" w:hAnsi="仿宋"/>
          <w:b/>
          <w:sz w:val="28"/>
          <w:szCs w:val="28"/>
        </w:rPr>
        <w:t>（2）报告分部的财务信息</w:t>
      </w:r>
      <w:bookmarkEnd w:id="34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center"/>
              <w:rPr>
                <w:rFonts w:ascii="宋体" w:eastAsia="宋体" w:hAnsi="宋体" w:cs="宋体"/>
                <w:sz w:val="18"/>
                <w:szCs w:val="18"/>
              </w:rPr>
            </w:pPr>
            <w:r>
              <w:rPr>
                <w:rFonts w:ascii="宋体" w:eastAsia="宋体" w:hAnsi="宋体" w:cs="宋体"/>
                <w:sz w:val="18"/>
                <w:szCs w:val="18"/>
              </w:rPr>
              <w:t>电源及相关产品分部</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center"/>
              <w:rPr>
                <w:rFonts w:ascii="宋体" w:eastAsia="宋体" w:hAnsi="宋体" w:cs="宋体"/>
                <w:sz w:val="18"/>
                <w:szCs w:val="18"/>
              </w:rPr>
            </w:pPr>
            <w:r>
              <w:rPr>
                <w:rFonts w:ascii="宋体" w:eastAsia="宋体" w:hAnsi="宋体" w:cs="宋体"/>
                <w:sz w:val="18"/>
                <w:szCs w:val="18"/>
              </w:rPr>
              <w:t>高性能钨合金材料制品</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center"/>
              <w:rPr>
                <w:rFonts w:ascii="宋体" w:eastAsia="宋体" w:hAnsi="宋体" w:cs="宋体"/>
                <w:sz w:val="18"/>
                <w:szCs w:val="18"/>
              </w:rPr>
            </w:pPr>
            <w:r>
              <w:rPr>
                <w:rFonts w:ascii="宋体" w:eastAsia="宋体" w:hAnsi="宋体" w:cs="宋体"/>
                <w:sz w:val="18"/>
                <w:szCs w:val="18"/>
              </w:rPr>
              <w:t>高性能非晶合金制品分部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jc w:val="center"/>
              <w:rPr>
                <w:rFonts w:ascii="宋体" w:eastAsia="宋体" w:hAnsi="宋体" w:cs="宋体"/>
                <w:sz w:val="18"/>
                <w:szCs w:val="18"/>
              </w:rPr>
            </w:pPr>
            <w:r>
              <w:rPr>
                <w:rFonts w:ascii="宋体" w:eastAsia="宋体" w:hAnsi="宋体" w:cs="宋体"/>
                <w:sz w:val="18"/>
                <w:szCs w:val="18"/>
              </w:rPr>
              <w:t>分部间抵销</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213027">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营业收入</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136,727,277.96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50,318,181.63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12,794,381.68</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199,839,841.27</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营业成本</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33,135,504.90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36,972,350.10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7,881,885.95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77,989,740.95</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销售费用</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15,255,758.86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706,896.55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15,962,655.41</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管理费用</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8,710,327.69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1,785,844.96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1,670,798.69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12,166,971.34</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研发费用</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34,941,979.65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2,650,000.02</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4,785,807.35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42,377,787.02</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利润总额</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35,782,210.41</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9,440,648.43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-2,524,784.36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42,698,074.48</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资产总额</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578,168,836.20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163,826,122.09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56,541,821.87</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798,536,780.16</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rPr>
                <w:rFonts w:ascii="宋体" w:eastAsia="宋体" w:hAnsi="宋体" w:cs="宋体"/>
                <w:sz w:val="18"/>
                <w:szCs w:val="18"/>
              </w:rPr>
            </w:pPr>
            <w:r>
              <w:rPr>
                <w:rFonts w:ascii="宋体" w:eastAsia="宋体" w:hAnsi="宋体" w:cs="宋体"/>
                <w:sz w:val="18"/>
                <w:szCs w:val="18"/>
              </w:rPr>
              <w:t>负债总额</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142,187,778.88</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37,459,284.79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27,206,352.08</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213027">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213027">
            <w:pPr>
              <w:spacing w:line="300" w:lineRule="exact"/>
              <w:jc w:val="right"/>
              <w:rPr>
                <w:rFonts w:ascii="宋体" w:eastAsia="宋体" w:hAnsi="宋体" w:cs="宋体"/>
                <w:sz w:val="18"/>
                <w:szCs w:val="18"/>
              </w:rPr>
            </w:pPr>
            <w:r>
              <w:rPr>
                <w:rFonts w:ascii="宋体" w:eastAsia="宋体" w:hAnsi="宋体" w:cs="宋体"/>
                <w:sz w:val="18"/>
                <w:szCs w:val="18"/>
              </w:rPr>
              <w:t>206,853,415.75</w:t>
            </w:r>
          </w:p>
        </w:tc>
      </w:tr>
    </w:tbl>
    <w:p w:rsidR="00B13593" w:rsidRPr="00213027" w:rsidRDefault="00B13F8C" w:rsidP="00213027">
      <w:pPr>
        <w:pStyle w:val="a3"/>
        <w:widowControl w:val="0"/>
        <w:spacing w:before="0" w:beforeAutospacing="0" w:after="0" w:afterAutospacing="0" w:line="560" w:lineRule="exact"/>
        <w:ind w:firstLine="480"/>
        <w:jc w:val="both"/>
        <w:rPr>
          <w:rFonts w:ascii="仿宋" w:eastAsia="仿宋" w:hAnsi="仿宋"/>
          <w:b/>
          <w:sz w:val="28"/>
          <w:szCs w:val="28"/>
        </w:rPr>
      </w:pPr>
      <w:bookmarkStart w:id="343" w:name="_Toc989232"/>
      <w:r w:rsidRPr="00213027">
        <w:rPr>
          <w:rFonts w:ascii="仿宋" w:eastAsia="仿宋" w:hAnsi="仿宋"/>
          <w:b/>
          <w:sz w:val="28"/>
          <w:szCs w:val="28"/>
        </w:rPr>
        <w:t>（3）公司无报告分部的，或者不能披露各报告分部的资产总额和负债总额的，应说明原因</w:t>
      </w:r>
      <w:bookmarkEnd w:id="343"/>
    </w:p>
    <w:p w:rsidR="00213027" w:rsidRDefault="00B13593" w:rsidP="00213027">
      <w:pPr>
        <w:pStyle w:val="a3"/>
        <w:widowControl w:val="0"/>
        <w:spacing w:before="0" w:beforeAutospacing="0" w:after="0" w:afterAutospacing="0" w:line="560" w:lineRule="exact"/>
        <w:ind w:firstLine="480"/>
        <w:jc w:val="both"/>
        <w:rPr>
          <w:rFonts w:ascii="仿宋" w:eastAsia="仿宋" w:hAnsi="仿宋"/>
          <w:sz w:val="28"/>
          <w:szCs w:val="28"/>
        </w:rPr>
      </w:pPr>
      <w:r w:rsidRPr="00213027">
        <w:rPr>
          <w:rFonts w:ascii="仿宋" w:eastAsia="仿宋" w:hAnsi="仿宋" w:hint="eastAsia"/>
          <w:sz w:val="28"/>
          <w:szCs w:val="28"/>
        </w:rPr>
        <w:t>不适用</w:t>
      </w:r>
      <w:bookmarkStart w:id="344" w:name="_Toc989233"/>
    </w:p>
    <w:p w:rsidR="00B13593" w:rsidRPr="00213027" w:rsidRDefault="00B13F8C" w:rsidP="00213027">
      <w:pPr>
        <w:pStyle w:val="a3"/>
        <w:widowControl w:val="0"/>
        <w:spacing w:before="0" w:beforeAutospacing="0" w:after="0" w:afterAutospacing="0" w:line="560" w:lineRule="exact"/>
        <w:ind w:firstLine="480"/>
        <w:jc w:val="both"/>
        <w:rPr>
          <w:b/>
          <w:bCs/>
          <w:sz w:val="28"/>
          <w:szCs w:val="28"/>
        </w:rPr>
      </w:pPr>
      <w:r w:rsidRPr="00213027">
        <w:rPr>
          <w:b/>
          <w:bCs/>
          <w:sz w:val="28"/>
          <w:szCs w:val="28"/>
        </w:rPr>
        <w:t>十</w:t>
      </w:r>
      <w:r w:rsidR="007352C4">
        <w:rPr>
          <w:rFonts w:hint="eastAsia"/>
          <w:b/>
          <w:bCs/>
          <w:sz w:val="28"/>
          <w:szCs w:val="28"/>
        </w:rPr>
        <w:t>六</w:t>
      </w:r>
      <w:r w:rsidRPr="00213027">
        <w:rPr>
          <w:b/>
          <w:bCs/>
          <w:sz w:val="28"/>
          <w:szCs w:val="28"/>
        </w:rPr>
        <w:t>、母公司财务报表主要项目注释</w:t>
      </w:r>
      <w:bookmarkEnd w:id="344"/>
    </w:p>
    <w:p w:rsidR="00B13593" w:rsidRPr="00213027" w:rsidRDefault="00B13F8C" w:rsidP="00213027">
      <w:pPr>
        <w:pStyle w:val="a3"/>
        <w:widowControl w:val="0"/>
        <w:spacing w:before="0" w:beforeAutospacing="0" w:after="0" w:afterAutospacing="0" w:line="560" w:lineRule="exact"/>
        <w:ind w:firstLine="480"/>
        <w:jc w:val="both"/>
        <w:rPr>
          <w:rFonts w:ascii="仿宋" w:eastAsia="仿宋" w:hAnsi="仿宋"/>
          <w:b/>
          <w:sz w:val="28"/>
          <w:szCs w:val="28"/>
        </w:rPr>
      </w:pPr>
      <w:bookmarkStart w:id="345" w:name="_Toc989234"/>
      <w:r w:rsidRPr="00213027">
        <w:rPr>
          <w:rFonts w:ascii="仿宋" w:eastAsia="仿宋" w:hAnsi="仿宋"/>
          <w:b/>
          <w:sz w:val="28"/>
          <w:szCs w:val="28"/>
        </w:rPr>
        <w:t>1、应收账款</w:t>
      </w:r>
      <w:bookmarkEnd w:id="345"/>
    </w:p>
    <w:p w:rsidR="00B13593" w:rsidRPr="00213027" w:rsidRDefault="00B13F8C" w:rsidP="00213027">
      <w:pPr>
        <w:pStyle w:val="a3"/>
        <w:widowControl w:val="0"/>
        <w:spacing w:before="0" w:beforeAutospacing="0" w:after="0" w:afterAutospacing="0" w:line="560" w:lineRule="exact"/>
        <w:ind w:firstLine="480"/>
        <w:jc w:val="both"/>
        <w:rPr>
          <w:rFonts w:ascii="仿宋" w:eastAsia="仿宋" w:hAnsi="仿宋"/>
          <w:b/>
          <w:sz w:val="28"/>
          <w:szCs w:val="28"/>
        </w:rPr>
      </w:pPr>
      <w:bookmarkStart w:id="346" w:name="_Toc989235"/>
      <w:r w:rsidRPr="00213027">
        <w:rPr>
          <w:rFonts w:ascii="仿宋" w:eastAsia="仿宋" w:hAnsi="仿宋"/>
          <w:b/>
          <w:sz w:val="28"/>
          <w:szCs w:val="28"/>
        </w:rPr>
        <w:t>（1）应收账款分类披露</w:t>
      </w:r>
      <w:bookmarkEnd w:id="346"/>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5"/>
        <w:gridCol w:w="876"/>
        <w:gridCol w:w="877"/>
        <w:gridCol w:w="876"/>
        <w:gridCol w:w="877"/>
        <w:gridCol w:w="876"/>
        <w:gridCol w:w="876"/>
        <w:gridCol w:w="877"/>
        <w:gridCol w:w="876"/>
        <w:gridCol w:w="877"/>
        <w:gridCol w:w="876"/>
      </w:tblGrid>
      <w:tr w:rsidR="00B13593">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账面价值</w:t>
            </w:r>
          </w:p>
        </w:tc>
      </w:tr>
      <w:tr w:rsidR="00B13593">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lastRenderedPageBreak/>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1.其他客户</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r w:rsidRPr="001C7A81">
        <w:rPr>
          <w:rFonts w:ascii="仿宋" w:eastAsia="仿宋" w:hAnsi="仿宋"/>
          <w:b/>
          <w:sz w:val="28"/>
          <w:szCs w:val="28"/>
        </w:rPr>
        <w:t>按组合计提坏账准备：其他客户</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计提比例</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1.其他客户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bl>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r w:rsidRPr="001C7A81">
        <w:rPr>
          <w:rFonts w:ascii="仿宋" w:eastAsia="仿宋" w:hAnsi="仿宋"/>
          <w:b/>
          <w:sz w:val="28"/>
          <w:szCs w:val="28"/>
        </w:rPr>
        <w:t>确定该组合依据的说明：</w:t>
      </w:r>
    </w:p>
    <w:p w:rsidR="00B13593" w:rsidRPr="001C7A81" w:rsidRDefault="00B13593" w:rsidP="0063261C">
      <w:pPr>
        <w:pStyle w:val="a3"/>
        <w:widowControl w:val="0"/>
        <w:spacing w:before="0" w:beforeAutospacing="0" w:after="0" w:afterAutospacing="0" w:line="540" w:lineRule="exact"/>
        <w:ind w:firstLine="482"/>
        <w:jc w:val="both"/>
        <w:divId w:val="1245450952"/>
        <w:rPr>
          <w:rFonts w:ascii="仿宋" w:eastAsia="仿宋" w:hAnsi="仿宋"/>
          <w:sz w:val="28"/>
          <w:szCs w:val="28"/>
        </w:rPr>
      </w:pPr>
      <w:r w:rsidRPr="001C7A81">
        <w:rPr>
          <w:rFonts w:ascii="仿宋" w:eastAsia="仿宋" w:hAnsi="仿宋" w:hint="eastAsia"/>
          <w:sz w:val="28"/>
          <w:szCs w:val="28"/>
        </w:rPr>
        <w:t>按组合计提坏账准备的确认标准及说明见附注五、10。</w:t>
      </w:r>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r w:rsidRPr="001C7A81">
        <w:rPr>
          <w:rFonts w:ascii="仿宋" w:eastAsia="仿宋" w:hAnsi="仿宋"/>
          <w:b/>
          <w:sz w:val="28"/>
          <w:szCs w:val="28"/>
        </w:rPr>
        <w:t>如是按照预期信用损失一般模型计提应收账款坏账准备，请参照其他应收款的披露方式披露坏账准备的相关信息：</w:t>
      </w:r>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sz w:val="28"/>
          <w:szCs w:val="28"/>
        </w:rPr>
      </w:pPr>
      <w:r w:rsidRPr="001C7A81">
        <w:rPr>
          <w:rFonts w:ascii="仿宋" w:eastAsia="仿宋" w:hAnsi="仿宋"/>
          <w:sz w:val="28"/>
          <w:szCs w:val="28"/>
        </w:rPr>
        <w:t>□适用</w:t>
      </w:r>
      <w:r w:rsidR="001C7A81">
        <w:rPr>
          <w:rFonts w:ascii="仿宋" w:eastAsia="仿宋" w:hAnsi="仿宋" w:hint="eastAsia"/>
          <w:sz w:val="28"/>
          <w:szCs w:val="28"/>
        </w:rPr>
        <w:t xml:space="preserve"> </w:t>
      </w:r>
      <w:r w:rsidRPr="001C7A81">
        <w:rPr>
          <w:rFonts w:ascii="仿宋" w:eastAsia="仿宋" w:hAnsi="仿宋"/>
          <w:sz w:val="28"/>
          <w:szCs w:val="28"/>
        </w:rPr>
        <w:t xml:space="preserve"> </w:t>
      </w:r>
      <w:r w:rsidRPr="001C7A81">
        <w:rPr>
          <w:rFonts w:ascii="仿宋" w:eastAsia="仿宋" w:hAnsi="仿宋"/>
          <w:sz w:val="28"/>
          <w:szCs w:val="28"/>
        </w:rPr>
        <w:sym w:font="Wingdings 2" w:char="F052"/>
      </w:r>
      <w:r w:rsidRPr="001C7A81">
        <w:rPr>
          <w:rFonts w:ascii="仿宋" w:eastAsia="仿宋" w:hAnsi="仿宋"/>
          <w:sz w:val="28"/>
          <w:szCs w:val="28"/>
        </w:rPr>
        <w:t>不适用</w:t>
      </w:r>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r w:rsidRPr="001C7A81">
        <w:rPr>
          <w:rFonts w:ascii="仿宋" w:eastAsia="仿宋" w:hAnsi="仿宋"/>
          <w:b/>
          <w:sz w:val="28"/>
          <w:szCs w:val="28"/>
        </w:rPr>
        <w:t>按账龄披露</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47" w:name="_Toc989236"/>
      <w:r w:rsidRPr="001C7A81">
        <w:rPr>
          <w:rFonts w:ascii="仿宋" w:eastAsia="仿宋" w:hAnsi="仿宋"/>
          <w:b/>
          <w:sz w:val="28"/>
          <w:szCs w:val="28"/>
        </w:rPr>
        <w:t>（2）本期计提、收回或转回的坏账准备情况</w:t>
      </w:r>
      <w:bookmarkEnd w:id="347"/>
    </w:p>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r w:rsidRPr="001C7A81">
        <w:rPr>
          <w:rFonts w:ascii="仿宋" w:eastAsia="仿宋" w:hAnsi="仿宋"/>
          <w:b/>
          <w:sz w:val="28"/>
          <w:szCs w:val="28"/>
        </w:rPr>
        <w:t>本期计提坏账准备情况：</w:t>
      </w:r>
    </w:p>
    <w:p w:rsidR="001C7A81" w:rsidRDefault="001C7A81" w:rsidP="00054B06">
      <w:pPr>
        <w:spacing w:before="120" w:after="120" w:line="240" w:lineRule="exact"/>
        <w:jc w:val="right"/>
        <w:rPr>
          <w:rFonts w:ascii="宋体" w:eastAsia="宋体" w:hAnsi="宋体" w:cs="宋体"/>
          <w:sz w:val="18"/>
          <w:szCs w:val="18"/>
        </w:rPr>
      </w:pP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150,384.02</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48" w:name="_Toc989237"/>
      <w:r w:rsidRPr="001C7A81">
        <w:rPr>
          <w:rFonts w:ascii="仿宋" w:eastAsia="仿宋" w:hAnsi="仿宋"/>
          <w:b/>
          <w:sz w:val="28"/>
          <w:szCs w:val="28"/>
        </w:rPr>
        <w:lastRenderedPageBreak/>
        <w:t>（3）按欠款方归集的期末余额前五名的应收账款情况</w:t>
      </w:r>
      <w:bookmarkEnd w:id="34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120,412.40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80.07%</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120,412.40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16,551.30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11.01%</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16,551.30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8,799.64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5.85%</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8,799.64</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4,620.00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3.07%</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4,620.00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第五名</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0.60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0.60</w:t>
            </w:r>
          </w:p>
        </w:tc>
      </w:tr>
      <w:tr w:rsidR="00B1359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150,383.94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49" w:name="_Toc989238"/>
      <w:r w:rsidRPr="001C7A81">
        <w:rPr>
          <w:rFonts w:ascii="仿宋" w:eastAsia="仿宋" w:hAnsi="仿宋"/>
          <w:b/>
          <w:sz w:val="28"/>
          <w:szCs w:val="28"/>
        </w:rPr>
        <w:t>2、其他应收款</w:t>
      </w:r>
      <w:bookmarkEnd w:id="349"/>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565,335.60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25,774,035.49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16,392,478.95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1,192,382.62</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42,731,850.04</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26,966,418.11</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50" w:name="_Toc989239"/>
      <w:r w:rsidRPr="001C7A81">
        <w:rPr>
          <w:rFonts w:ascii="仿宋" w:eastAsia="仿宋" w:hAnsi="仿宋"/>
          <w:b/>
          <w:sz w:val="28"/>
          <w:szCs w:val="28"/>
        </w:rPr>
        <w:t>（1）应收利息</w:t>
      </w:r>
      <w:bookmarkEnd w:id="350"/>
    </w:p>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51" w:name="_Toc989240"/>
      <w:r w:rsidRPr="001C7A81">
        <w:rPr>
          <w:rFonts w:ascii="仿宋" w:eastAsia="仿宋" w:hAnsi="仿宋"/>
          <w:b/>
          <w:sz w:val="28"/>
          <w:szCs w:val="28"/>
        </w:rPr>
        <w:t>1）应收利息分类</w:t>
      </w:r>
      <w:bookmarkEnd w:id="35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关联方借款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565,335.60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565,335.60</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52" w:name="_Toc989241"/>
      <w:r w:rsidRPr="001C7A81">
        <w:rPr>
          <w:rFonts w:ascii="仿宋" w:eastAsia="仿宋" w:hAnsi="仿宋"/>
          <w:b/>
          <w:sz w:val="28"/>
          <w:szCs w:val="28"/>
        </w:rPr>
        <w:t>2）坏账准备计提情况</w:t>
      </w:r>
      <w:bookmarkEnd w:id="352"/>
    </w:p>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sz w:val="28"/>
          <w:szCs w:val="28"/>
        </w:rPr>
      </w:pPr>
      <w:r w:rsidRPr="001C7A81">
        <w:rPr>
          <w:rFonts w:ascii="仿宋" w:eastAsia="仿宋" w:hAnsi="仿宋"/>
          <w:sz w:val="28"/>
          <w:szCs w:val="28"/>
        </w:rPr>
        <w:t>□适用</w:t>
      </w:r>
      <w:r w:rsidR="001C7A81" w:rsidRPr="001C7A81">
        <w:rPr>
          <w:rFonts w:ascii="仿宋" w:eastAsia="仿宋" w:hAnsi="仿宋" w:hint="eastAsia"/>
          <w:sz w:val="28"/>
          <w:szCs w:val="28"/>
        </w:rPr>
        <w:t xml:space="preserve"> </w:t>
      </w:r>
      <w:r w:rsidRPr="001C7A81">
        <w:rPr>
          <w:rFonts w:ascii="仿宋" w:eastAsia="仿宋" w:hAnsi="仿宋"/>
          <w:sz w:val="28"/>
          <w:szCs w:val="28"/>
        </w:rPr>
        <w:t xml:space="preserve"> </w:t>
      </w:r>
      <w:r w:rsidRPr="001C7A81">
        <w:rPr>
          <w:rFonts w:ascii="仿宋" w:eastAsia="仿宋" w:hAnsi="仿宋"/>
          <w:sz w:val="28"/>
          <w:szCs w:val="28"/>
        </w:rPr>
        <w:sym w:font="Wingdings 2" w:char="F052"/>
      </w:r>
      <w:r w:rsidRPr="001C7A81">
        <w:rPr>
          <w:rFonts w:ascii="仿宋" w:eastAsia="仿宋" w:hAnsi="仿宋"/>
          <w:sz w:val="28"/>
          <w:szCs w:val="28"/>
        </w:rPr>
        <w:t>不适用</w:t>
      </w:r>
    </w:p>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53" w:name="_Toc989242"/>
      <w:r w:rsidRPr="001C7A81">
        <w:rPr>
          <w:rFonts w:ascii="仿宋" w:eastAsia="仿宋" w:hAnsi="仿宋"/>
          <w:b/>
          <w:sz w:val="28"/>
          <w:szCs w:val="28"/>
        </w:rPr>
        <w:t>（2） 应收股利</w:t>
      </w:r>
      <w:bookmarkEnd w:id="353"/>
    </w:p>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54" w:name="_Toc989243"/>
      <w:r w:rsidRPr="001C7A81">
        <w:rPr>
          <w:rFonts w:ascii="仿宋" w:eastAsia="仿宋" w:hAnsi="仿宋"/>
          <w:b/>
          <w:sz w:val="28"/>
          <w:szCs w:val="28"/>
        </w:rPr>
        <w:t>1） 应收股利分类</w:t>
      </w:r>
      <w:bookmarkEnd w:id="35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25,774,035.49</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25,774,035.49</w:t>
            </w:r>
          </w:p>
        </w:tc>
      </w:tr>
    </w:tbl>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bookmarkStart w:id="355" w:name="_Toc989244"/>
      <w:r w:rsidRPr="001C7A81">
        <w:rPr>
          <w:rFonts w:ascii="仿宋" w:eastAsia="仿宋" w:hAnsi="仿宋"/>
          <w:b/>
          <w:sz w:val="28"/>
          <w:szCs w:val="28"/>
        </w:rPr>
        <w:t>2）坏账准备计提情况</w:t>
      </w:r>
      <w:bookmarkEnd w:id="355"/>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sz w:val="28"/>
          <w:szCs w:val="28"/>
        </w:rPr>
      </w:pPr>
      <w:r w:rsidRPr="001C7A81">
        <w:rPr>
          <w:rFonts w:ascii="仿宋" w:eastAsia="仿宋" w:hAnsi="仿宋"/>
          <w:sz w:val="28"/>
          <w:szCs w:val="28"/>
        </w:rPr>
        <w:t>□适用</w:t>
      </w:r>
      <w:r w:rsidR="001C7A81" w:rsidRPr="001C7A81">
        <w:rPr>
          <w:rFonts w:ascii="仿宋" w:eastAsia="仿宋" w:hAnsi="仿宋" w:hint="eastAsia"/>
          <w:sz w:val="28"/>
          <w:szCs w:val="28"/>
        </w:rPr>
        <w:t xml:space="preserve"> </w:t>
      </w:r>
      <w:r w:rsidRPr="001C7A81">
        <w:rPr>
          <w:rFonts w:ascii="仿宋" w:eastAsia="仿宋" w:hAnsi="仿宋"/>
          <w:sz w:val="28"/>
          <w:szCs w:val="28"/>
        </w:rPr>
        <w:t xml:space="preserve"> </w:t>
      </w:r>
      <w:r w:rsidRPr="001C7A81">
        <w:rPr>
          <w:rFonts w:ascii="仿宋" w:eastAsia="仿宋" w:hAnsi="仿宋"/>
          <w:sz w:val="28"/>
          <w:szCs w:val="28"/>
        </w:rPr>
        <w:sym w:font="Wingdings 2" w:char="F052"/>
      </w:r>
      <w:r w:rsidRPr="001C7A81">
        <w:rPr>
          <w:rFonts w:ascii="仿宋" w:eastAsia="仿宋" w:hAnsi="仿宋"/>
          <w:sz w:val="28"/>
          <w:szCs w:val="28"/>
        </w:rPr>
        <w:t>不适用</w:t>
      </w:r>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bookmarkStart w:id="356" w:name="_Toc989245"/>
      <w:r w:rsidRPr="001C7A81">
        <w:rPr>
          <w:rFonts w:ascii="仿宋" w:eastAsia="仿宋" w:hAnsi="仿宋"/>
          <w:b/>
          <w:sz w:val="28"/>
          <w:szCs w:val="28"/>
        </w:rPr>
        <w:t>（3）其他应收款</w:t>
      </w:r>
      <w:bookmarkEnd w:id="356"/>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bookmarkStart w:id="357" w:name="_Toc989246"/>
      <w:r w:rsidRPr="001C7A81">
        <w:rPr>
          <w:rFonts w:ascii="仿宋" w:eastAsia="仿宋" w:hAnsi="仿宋"/>
          <w:b/>
          <w:sz w:val="28"/>
          <w:szCs w:val="28"/>
        </w:rPr>
        <w:t>1）其他应收款按款项性质分类情况</w:t>
      </w:r>
      <w:bookmarkEnd w:id="357"/>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期初账面余额</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1,018,906.05</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1,093,906.05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28,102,702.66</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28,021,793.25</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关联方往来款</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15,265,552.91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53,347.18</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2,398,898.81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2,398,898.81</w:t>
            </w:r>
          </w:p>
        </w:tc>
      </w:tr>
      <w:tr w:rsidR="00B1359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46,786,060.43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31,567,945.29</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58" w:name="_Toc989247"/>
      <w:r w:rsidRPr="001C7A81">
        <w:rPr>
          <w:rFonts w:ascii="仿宋" w:eastAsia="仿宋" w:hAnsi="仿宋"/>
          <w:b/>
          <w:sz w:val="28"/>
          <w:szCs w:val="28"/>
        </w:rPr>
        <w:t>2）坏账准备计提情况</w:t>
      </w:r>
      <w:bookmarkEnd w:id="358"/>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660"/>
        <w:gridCol w:w="1843"/>
        <w:gridCol w:w="1559"/>
        <w:gridCol w:w="1649"/>
        <w:gridCol w:w="1928"/>
      </w:tblGrid>
      <w:tr w:rsidR="00B13593" w:rsidTr="001C7A81">
        <w:trPr>
          <w:trHeight w:val="240"/>
        </w:trPr>
        <w:tc>
          <w:tcPr>
            <w:tcW w:w="26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第一阶段</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第二阶段</w:t>
            </w:r>
          </w:p>
        </w:tc>
        <w:tc>
          <w:tcPr>
            <w:tcW w:w="164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B13593" w:rsidTr="001C7A81">
        <w:trPr>
          <w:trHeight w:val="240"/>
        </w:trPr>
        <w:tc>
          <w:tcPr>
            <w:tcW w:w="26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64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rsidTr="001C7A81">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2023年1月1日余额</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7,975,885.98</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22,399,676.69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30,375,562.67</w:t>
            </w:r>
          </w:p>
        </w:tc>
      </w:tr>
      <w:tr w:rsidR="00B13593" w:rsidTr="001C7A81">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2023年1月1日余额在本期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649"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rsidTr="001C7A81">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本期计提</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18,018.81</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18,018.81</w:t>
            </w:r>
          </w:p>
        </w:tc>
      </w:tr>
      <w:tr w:rsidR="00B13593" w:rsidTr="001C7A81">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2023年6月30日余额</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7,993,904.79</w:t>
            </w:r>
          </w:p>
        </w:tc>
        <w:tc>
          <w:tcPr>
            <w:tcW w:w="1559"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22,399,676.69</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30,393,581.48</w:t>
            </w:r>
          </w:p>
        </w:tc>
      </w:tr>
    </w:tbl>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r w:rsidRPr="001C7A81">
        <w:rPr>
          <w:rFonts w:ascii="仿宋" w:eastAsia="仿宋" w:hAnsi="仿宋"/>
          <w:b/>
          <w:sz w:val="28"/>
          <w:szCs w:val="28"/>
        </w:rPr>
        <w:t>损失准备本期变动金额重大的账面余额变动情况</w:t>
      </w:r>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sz w:val="28"/>
          <w:szCs w:val="28"/>
        </w:rPr>
      </w:pPr>
      <w:r w:rsidRPr="001C7A81">
        <w:rPr>
          <w:rFonts w:ascii="仿宋" w:eastAsia="仿宋" w:hAnsi="仿宋"/>
          <w:sz w:val="28"/>
          <w:szCs w:val="28"/>
        </w:rPr>
        <w:t>□适用</w:t>
      </w:r>
      <w:r w:rsidR="001C7A81">
        <w:rPr>
          <w:rFonts w:ascii="仿宋" w:eastAsia="仿宋" w:hAnsi="仿宋" w:hint="eastAsia"/>
          <w:sz w:val="28"/>
          <w:szCs w:val="28"/>
        </w:rPr>
        <w:t xml:space="preserve"> </w:t>
      </w:r>
      <w:r w:rsidRPr="001C7A81">
        <w:rPr>
          <w:rFonts w:ascii="仿宋" w:eastAsia="仿宋" w:hAnsi="仿宋"/>
          <w:sz w:val="28"/>
          <w:szCs w:val="28"/>
        </w:rPr>
        <w:t xml:space="preserve"> </w:t>
      </w:r>
      <w:r w:rsidRPr="001C7A81">
        <w:rPr>
          <w:rFonts w:ascii="仿宋" w:eastAsia="仿宋" w:hAnsi="仿宋"/>
          <w:sz w:val="28"/>
          <w:szCs w:val="28"/>
        </w:rPr>
        <w:sym w:font="Wingdings 2" w:char="F052"/>
      </w:r>
      <w:r w:rsidRPr="001C7A81">
        <w:rPr>
          <w:rFonts w:ascii="仿宋" w:eastAsia="仿宋" w:hAnsi="仿宋"/>
          <w:sz w:val="28"/>
          <w:szCs w:val="28"/>
        </w:rPr>
        <w:t>不适用</w:t>
      </w:r>
    </w:p>
    <w:p w:rsidR="00B13593" w:rsidRPr="001C7A81"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r w:rsidRPr="001C7A81">
        <w:rPr>
          <w:rFonts w:ascii="仿宋" w:eastAsia="仿宋" w:hAnsi="仿宋"/>
          <w:b/>
          <w:sz w:val="28"/>
          <w:szCs w:val="28"/>
        </w:rPr>
        <w:t>按账龄披露</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16,319,386.18</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105,692.97</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4,092.10</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30,356,889.18</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30,356,889.18</w:t>
            </w:r>
          </w:p>
        </w:tc>
      </w:tr>
      <w:tr w:rsidR="00B1359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46,786,060.43</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59" w:name="_Toc989248"/>
      <w:r w:rsidRPr="001C7A81">
        <w:rPr>
          <w:rFonts w:ascii="仿宋" w:eastAsia="仿宋" w:hAnsi="仿宋"/>
          <w:b/>
          <w:sz w:val="28"/>
          <w:szCs w:val="28"/>
        </w:rPr>
        <w:t>3）本期计提、收回或转回的坏账准备情况</w:t>
      </w:r>
      <w:bookmarkEnd w:id="359"/>
    </w:p>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r w:rsidRPr="001C7A81">
        <w:rPr>
          <w:rFonts w:ascii="仿宋" w:eastAsia="仿宋" w:hAnsi="仿宋"/>
          <w:b/>
          <w:sz w:val="28"/>
          <w:szCs w:val="28"/>
        </w:rPr>
        <w:t>本期计提坏账准备情况：</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566"/>
        <w:gridCol w:w="1188"/>
        <w:gridCol w:w="1377"/>
        <w:gridCol w:w="1377"/>
        <w:gridCol w:w="1161"/>
        <w:gridCol w:w="1593"/>
      </w:tblGrid>
      <w:tr w:rsidR="00B13593" w:rsidTr="001C7A81">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510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B13593" w:rsidTr="001C7A81">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核销</w:t>
            </w:r>
          </w:p>
        </w:tc>
        <w:tc>
          <w:tcPr>
            <w:tcW w:w="1161"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rsidTr="001C7A8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坏账准备</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30,375,562.67</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18,018.81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30,393,581.48</w:t>
            </w:r>
          </w:p>
        </w:tc>
      </w:tr>
      <w:tr w:rsidR="00B13593" w:rsidTr="001C7A8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30,375,562.67</w:t>
            </w:r>
          </w:p>
        </w:tc>
        <w:tc>
          <w:tcPr>
            <w:tcW w:w="118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18,018.81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30,393,581.48</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60" w:name="_Toc989249"/>
      <w:r w:rsidRPr="001C7A81">
        <w:rPr>
          <w:rFonts w:ascii="仿宋" w:eastAsia="仿宋" w:hAnsi="仿宋"/>
          <w:b/>
          <w:sz w:val="28"/>
          <w:szCs w:val="28"/>
        </w:rPr>
        <w:t>4）按欠款方归集的期末余额前五名的其他应收款情况</w:t>
      </w:r>
      <w:bookmarkEnd w:id="360"/>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占其他应收款期</w:t>
            </w:r>
            <w:r>
              <w:rPr>
                <w:rFonts w:ascii="宋体" w:eastAsia="宋体" w:hAnsi="宋体" w:cs="宋体"/>
                <w:sz w:val="18"/>
                <w:szCs w:val="18"/>
              </w:rPr>
              <w:lastRenderedPageBreak/>
              <w:t>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lastRenderedPageBreak/>
              <w:t>坏账准备期末余</w:t>
            </w:r>
            <w:r>
              <w:rPr>
                <w:rFonts w:ascii="宋体" w:eastAsia="宋体" w:hAnsi="宋体" w:cs="宋体"/>
                <w:sz w:val="18"/>
                <w:szCs w:val="18"/>
              </w:rPr>
              <w:lastRenderedPageBreak/>
              <w:t>额</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lastRenderedPageBreak/>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18,904,324.43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40.41%</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18,904,324.43</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15,000,000.00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32.06%</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7,062,300.00</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15.09%</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7,062,300.00</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历史遗留款项</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1,096,453.45</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2.34%</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1,096,453.45</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历史遗留款项</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715,924.81</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715,924.81</w:t>
            </w:r>
          </w:p>
        </w:tc>
      </w:tr>
      <w:tr w:rsidR="00B1359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42,779,002.69</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91.43%</w:t>
            </w:r>
          </w:p>
        </w:tc>
        <w:tc>
          <w:tcPr>
            <w:tcW w:w="160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27,779,002.69</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61" w:name="_Toc989250"/>
      <w:r w:rsidRPr="001C7A81">
        <w:rPr>
          <w:rFonts w:ascii="仿宋" w:eastAsia="仿宋" w:hAnsi="仿宋"/>
          <w:b/>
          <w:sz w:val="28"/>
          <w:szCs w:val="28"/>
        </w:rPr>
        <w:t>3、长期股权投资</w:t>
      </w:r>
      <w:bookmarkEnd w:id="361"/>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B1359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w:t>
            </w:r>
          </w:p>
        </w:tc>
      </w:tr>
      <w:tr w:rsidR="00B1359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账面价值</w:t>
            </w:r>
          </w:p>
        </w:tc>
      </w:tr>
      <w:tr w:rsidR="005C50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C50EF" w:rsidRDefault="005C50EF" w:rsidP="001C7A81">
            <w:pPr>
              <w:spacing w:line="30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5C50EF" w:rsidRDefault="009B22BB" w:rsidP="005C50EF">
            <w:pPr>
              <w:spacing w:line="300" w:lineRule="exact"/>
              <w:jc w:val="right"/>
              <w:rPr>
                <w:rFonts w:ascii="宋体" w:eastAsia="宋体" w:hAnsi="宋体" w:cs="宋体"/>
                <w:sz w:val="18"/>
                <w:szCs w:val="18"/>
              </w:rPr>
            </w:pPr>
            <w:r w:rsidRPr="009B22BB">
              <w:rPr>
                <w:rFonts w:ascii="宋体" w:eastAsia="宋体" w:hAnsi="宋体" w:cs="宋体"/>
                <w:sz w:val="18"/>
                <w:szCs w:val="18"/>
              </w:rPr>
              <w:t>1,272,496,840.20</w:t>
            </w:r>
          </w:p>
        </w:tc>
        <w:tc>
          <w:tcPr>
            <w:tcW w:w="1377"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r w:rsidRPr="00586BFC">
              <w:rPr>
                <w:rFonts w:ascii="宋体" w:eastAsia="宋体" w:hAnsi="宋体" w:cs="宋体"/>
                <w:sz w:val="18"/>
                <w:szCs w:val="18"/>
              </w:rPr>
              <w:t>104,614,059.63</w:t>
            </w:r>
          </w:p>
        </w:tc>
        <w:tc>
          <w:tcPr>
            <w:tcW w:w="1377" w:type="dxa"/>
            <w:tcBorders>
              <w:top w:val="single" w:sz="2" w:space="0" w:color="auto"/>
              <w:left w:val="single" w:sz="2" w:space="0" w:color="auto"/>
              <w:bottom w:val="single" w:sz="2" w:space="0" w:color="auto"/>
              <w:right w:val="single" w:sz="2" w:space="0" w:color="auto"/>
            </w:tcBorders>
            <w:vAlign w:val="center"/>
          </w:tcPr>
          <w:p w:rsidR="005C50EF" w:rsidRDefault="009B22BB" w:rsidP="001C7A81">
            <w:pPr>
              <w:spacing w:line="300" w:lineRule="exact"/>
              <w:jc w:val="right"/>
              <w:rPr>
                <w:rFonts w:ascii="宋体" w:eastAsia="宋体" w:hAnsi="宋体" w:cs="宋体"/>
                <w:sz w:val="18"/>
                <w:szCs w:val="18"/>
              </w:rPr>
            </w:pPr>
            <w:r w:rsidRPr="009B22BB">
              <w:rPr>
                <w:rFonts w:ascii="宋体" w:eastAsia="宋体" w:hAnsi="宋体" w:cs="宋体"/>
                <w:sz w:val="18"/>
                <w:szCs w:val="18"/>
              </w:rPr>
              <w:t>1,167,882,780.57</w:t>
            </w:r>
          </w:p>
        </w:tc>
        <w:tc>
          <w:tcPr>
            <w:tcW w:w="1377" w:type="dxa"/>
            <w:tcBorders>
              <w:top w:val="single" w:sz="2" w:space="0" w:color="auto"/>
              <w:left w:val="single" w:sz="2" w:space="0" w:color="auto"/>
              <w:bottom w:val="single" w:sz="2" w:space="0" w:color="auto"/>
              <w:right w:val="single" w:sz="2" w:space="0" w:color="auto"/>
            </w:tcBorders>
            <w:vAlign w:val="center"/>
          </w:tcPr>
          <w:p w:rsidR="005C50EF" w:rsidRDefault="005C50EF" w:rsidP="001C7A81">
            <w:pPr>
              <w:spacing w:line="300" w:lineRule="exact"/>
              <w:jc w:val="right"/>
              <w:rPr>
                <w:rFonts w:ascii="宋体" w:eastAsia="宋体" w:hAnsi="宋体" w:cs="宋体"/>
                <w:sz w:val="18"/>
                <w:szCs w:val="18"/>
              </w:rPr>
            </w:pPr>
            <w:r>
              <w:rPr>
                <w:rFonts w:ascii="宋体" w:eastAsia="宋体" w:hAnsi="宋体" w:cs="宋体"/>
                <w:sz w:val="18"/>
                <w:szCs w:val="18"/>
              </w:rPr>
              <w:t>1,250,222,295.60</w:t>
            </w:r>
          </w:p>
        </w:tc>
        <w:tc>
          <w:tcPr>
            <w:tcW w:w="1377" w:type="dxa"/>
            <w:tcBorders>
              <w:top w:val="single" w:sz="2" w:space="0" w:color="auto"/>
              <w:left w:val="single" w:sz="2" w:space="0" w:color="auto"/>
              <w:bottom w:val="single" w:sz="2" w:space="0" w:color="auto"/>
              <w:right w:val="single" w:sz="2" w:space="0" w:color="auto"/>
            </w:tcBorders>
            <w:vAlign w:val="center"/>
          </w:tcPr>
          <w:p w:rsidR="005C50EF" w:rsidRDefault="005C50EF" w:rsidP="001C7A81">
            <w:pPr>
              <w:spacing w:line="300" w:lineRule="exact"/>
              <w:jc w:val="right"/>
              <w:rPr>
                <w:rFonts w:ascii="宋体" w:eastAsia="宋体" w:hAnsi="宋体" w:cs="宋体"/>
                <w:sz w:val="18"/>
                <w:szCs w:val="18"/>
              </w:rPr>
            </w:pPr>
            <w:r>
              <w:rPr>
                <w:rFonts w:ascii="宋体" w:eastAsia="宋体" w:hAnsi="宋体" w:cs="宋体"/>
                <w:sz w:val="18"/>
                <w:szCs w:val="18"/>
              </w:rPr>
              <w:t>104,614,059.63</w:t>
            </w:r>
          </w:p>
        </w:tc>
        <w:tc>
          <w:tcPr>
            <w:tcW w:w="1377" w:type="dxa"/>
            <w:tcBorders>
              <w:top w:val="single" w:sz="2" w:space="0" w:color="auto"/>
              <w:left w:val="single" w:sz="2" w:space="0" w:color="auto"/>
              <w:bottom w:val="single" w:sz="2" w:space="0" w:color="auto"/>
              <w:right w:val="single" w:sz="2" w:space="0" w:color="auto"/>
            </w:tcBorders>
            <w:vAlign w:val="center"/>
          </w:tcPr>
          <w:p w:rsidR="005C50EF" w:rsidRDefault="005C50EF" w:rsidP="001C7A81">
            <w:pPr>
              <w:spacing w:line="300" w:lineRule="exact"/>
              <w:jc w:val="right"/>
              <w:rPr>
                <w:rFonts w:ascii="宋体" w:eastAsia="宋体" w:hAnsi="宋体" w:cs="宋体"/>
                <w:sz w:val="18"/>
                <w:szCs w:val="18"/>
              </w:rPr>
            </w:pPr>
            <w:r>
              <w:rPr>
                <w:rFonts w:ascii="宋体" w:eastAsia="宋体" w:hAnsi="宋体" w:cs="宋体"/>
                <w:sz w:val="18"/>
                <w:szCs w:val="18"/>
              </w:rPr>
              <w:t>1,145,608,235.97</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150,093,678.81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150,093,678.81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144,494,018.90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144,494,018.90</w:t>
            </w:r>
          </w:p>
        </w:tc>
      </w:tr>
      <w:tr w:rsidR="00B1359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9B22BB" w:rsidP="001C7A81">
            <w:pPr>
              <w:spacing w:line="300" w:lineRule="exact"/>
              <w:jc w:val="right"/>
              <w:rPr>
                <w:rFonts w:ascii="宋体" w:eastAsia="宋体" w:hAnsi="宋体" w:cs="宋体"/>
                <w:sz w:val="18"/>
                <w:szCs w:val="18"/>
              </w:rPr>
            </w:pPr>
            <w:r w:rsidRPr="009B22BB">
              <w:rPr>
                <w:rFonts w:ascii="宋体" w:eastAsia="宋体" w:hAnsi="宋体" w:cs="宋体"/>
                <w:sz w:val="18"/>
                <w:szCs w:val="18"/>
              </w:rPr>
              <w:t>1,422,590,519.01</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5C50EF" w:rsidP="001C7A81">
            <w:pPr>
              <w:spacing w:line="300" w:lineRule="exact"/>
              <w:jc w:val="right"/>
              <w:rPr>
                <w:rFonts w:ascii="宋体" w:eastAsia="宋体" w:hAnsi="宋体" w:cs="宋体"/>
                <w:sz w:val="18"/>
                <w:szCs w:val="18"/>
              </w:rPr>
            </w:pPr>
            <w:r w:rsidRPr="00586BFC">
              <w:rPr>
                <w:rFonts w:ascii="宋体" w:eastAsia="宋体" w:hAnsi="宋体" w:cs="宋体"/>
                <w:sz w:val="18"/>
                <w:szCs w:val="18"/>
              </w:rPr>
              <w:t>104,614,059.63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9B22BB" w:rsidP="001C7A81">
            <w:pPr>
              <w:spacing w:line="300" w:lineRule="exact"/>
              <w:jc w:val="right"/>
              <w:rPr>
                <w:rFonts w:ascii="宋体" w:eastAsia="宋体" w:hAnsi="宋体" w:cs="宋体"/>
                <w:sz w:val="18"/>
                <w:szCs w:val="18"/>
              </w:rPr>
            </w:pPr>
            <w:r w:rsidRPr="009B22BB">
              <w:rPr>
                <w:rFonts w:ascii="宋体" w:eastAsia="宋体" w:hAnsi="宋体" w:cs="宋体"/>
                <w:sz w:val="18"/>
                <w:szCs w:val="18"/>
              </w:rPr>
              <w:t>1,317,976,459.38</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1,394,716,314.50</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104,614,059.63</w:t>
            </w:r>
          </w:p>
        </w:tc>
        <w:tc>
          <w:tcPr>
            <w:tcW w:w="1377"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1,290,102,254.87</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62" w:name="_Toc989251"/>
      <w:r w:rsidRPr="001C7A81">
        <w:rPr>
          <w:rFonts w:ascii="仿宋" w:eastAsia="仿宋" w:hAnsi="仿宋"/>
          <w:b/>
          <w:sz w:val="28"/>
          <w:szCs w:val="28"/>
        </w:rPr>
        <w:t>（1）对子公司投资</w:t>
      </w:r>
      <w:bookmarkEnd w:id="362"/>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04"/>
        <w:gridCol w:w="1314"/>
        <w:gridCol w:w="1276"/>
        <w:gridCol w:w="1025"/>
        <w:gridCol w:w="1205"/>
        <w:gridCol w:w="1205"/>
        <w:gridCol w:w="1205"/>
        <w:gridCol w:w="1205"/>
      </w:tblGrid>
      <w:tr w:rsidR="00B13593" w:rsidTr="0063261C">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被投资单位</w:t>
            </w:r>
          </w:p>
        </w:tc>
        <w:tc>
          <w:tcPr>
            <w:tcW w:w="131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4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本期增减变动</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B13593" w:rsidTr="0063261C">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31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追加投资</w:t>
            </w:r>
          </w:p>
        </w:tc>
        <w:tc>
          <w:tcPr>
            <w:tcW w:w="102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减少投资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计提减值准备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5C50EF"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rPr>
                <w:rFonts w:ascii="宋体" w:eastAsia="宋体" w:hAnsi="宋体" w:cs="宋体"/>
                <w:sz w:val="18"/>
                <w:szCs w:val="18"/>
              </w:rPr>
            </w:pPr>
            <w:r w:rsidRPr="00980BC4">
              <w:rPr>
                <w:rFonts w:ascii="宋体" w:eastAsia="宋体" w:hAnsi="宋体" w:cs="宋体"/>
                <w:sz w:val="18"/>
                <w:szCs w:val="18"/>
              </w:rPr>
              <w:t>江门机械厂</w:t>
            </w:r>
          </w:p>
        </w:tc>
        <w:tc>
          <w:tcPr>
            <w:tcW w:w="1314"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p>
        </w:tc>
        <w:tc>
          <w:tcPr>
            <w:tcW w:w="1025"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5C50EF" w:rsidRDefault="005C50EF" w:rsidP="005C50EF">
            <w:pPr>
              <w:spacing w:line="300" w:lineRule="exact"/>
              <w:jc w:val="right"/>
              <w:rPr>
                <w:rFonts w:ascii="宋体" w:eastAsia="宋体" w:hAnsi="宋体" w:cs="宋体"/>
                <w:sz w:val="18"/>
                <w:szCs w:val="18"/>
              </w:rPr>
            </w:pPr>
            <w:r w:rsidRPr="00980BC4">
              <w:rPr>
                <w:rFonts w:ascii="宋体" w:eastAsia="宋体" w:hAnsi="宋体" w:cs="宋体"/>
                <w:sz w:val="18"/>
                <w:szCs w:val="18"/>
              </w:rPr>
              <w:t>37,808,737.59</w:t>
            </w: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290,916,126.54</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418,377.84</w:t>
            </w: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291,334,504.38</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66,805,322.04</w:t>
            </w: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四川升华电源科技有限公司</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714,652,142.41</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9B22BB" w:rsidP="001C7A81">
            <w:pPr>
              <w:spacing w:line="300" w:lineRule="exact"/>
              <w:jc w:val="right"/>
              <w:rPr>
                <w:rFonts w:ascii="宋体" w:eastAsia="宋体" w:hAnsi="宋体" w:cs="宋体"/>
                <w:sz w:val="18"/>
                <w:szCs w:val="18"/>
              </w:rPr>
            </w:pPr>
            <w:r w:rsidRPr="009B22BB">
              <w:rPr>
                <w:rFonts w:ascii="宋体" w:eastAsia="宋体" w:hAnsi="宋体" w:cs="宋体"/>
                <w:sz w:val="18"/>
                <w:szCs w:val="18"/>
              </w:rPr>
              <w:t>1,247,688.88</w:t>
            </w: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9B22BB" w:rsidP="001C7A81">
            <w:pPr>
              <w:spacing w:line="300" w:lineRule="exact"/>
              <w:jc w:val="right"/>
              <w:rPr>
                <w:rFonts w:ascii="宋体" w:eastAsia="宋体" w:hAnsi="宋体" w:cs="宋体"/>
                <w:sz w:val="18"/>
                <w:szCs w:val="18"/>
              </w:rPr>
            </w:pPr>
            <w:r w:rsidRPr="009B22BB">
              <w:rPr>
                <w:rFonts w:ascii="宋体" w:eastAsia="宋体" w:hAnsi="宋体" w:cs="宋体"/>
                <w:sz w:val="18"/>
                <w:szCs w:val="18"/>
              </w:rPr>
              <w:t>715,899,831.29</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江门德钰隽龚股权投资合伙企业（有限合伙）</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38,000,000.00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38,000,000.00</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四川甘华电源科技有限公司</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19,539,967.02</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508,477.88</w:t>
            </w: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6917D1" w:rsidP="001C7A81">
            <w:pPr>
              <w:spacing w:line="300" w:lineRule="exact"/>
              <w:jc w:val="right"/>
              <w:rPr>
                <w:rFonts w:ascii="宋体" w:eastAsia="宋体" w:hAnsi="宋体" w:cs="宋体"/>
                <w:sz w:val="18"/>
                <w:szCs w:val="18"/>
              </w:rPr>
            </w:pPr>
            <w:r w:rsidRPr="006917D1">
              <w:rPr>
                <w:rFonts w:ascii="宋体" w:eastAsia="宋体" w:hAnsi="宋体" w:cs="宋体"/>
                <w:sz w:val="18"/>
                <w:szCs w:val="18"/>
              </w:rPr>
              <w:t>20,048,444.90</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江门甘科物业管理有限公司</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500,000.00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沈阳非晶金属材料制造</w:t>
            </w:r>
            <w:r>
              <w:rPr>
                <w:rFonts w:ascii="宋体" w:eastAsia="宋体" w:hAnsi="宋体" w:cs="宋体"/>
                <w:sz w:val="18"/>
                <w:szCs w:val="18"/>
              </w:rPr>
              <w:lastRenderedPageBreak/>
              <w:t>有限公司</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lastRenderedPageBreak/>
              <w:t>40,000,000.00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lastRenderedPageBreak/>
              <w:t>福建将乐卓越金属材料有限公司</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42,000,000.00</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42,000,000.00</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沈阳超能新材科技有限公司</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20,100,000.00</w:t>
            </w: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20,100,000.00</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rsidTr="0063261C">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1314"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1,145,608,235.97</w:t>
            </w:r>
          </w:p>
        </w:tc>
        <w:tc>
          <w:tcPr>
            <w:tcW w:w="1276" w:type="dxa"/>
            <w:tcBorders>
              <w:top w:val="single" w:sz="2" w:space="0" w:color="auto"/>
              <w:left w:val="single" w:sz="2" w:space="0" w:color="auto"/>
              <w:bottom w:val="single" w:sz="2" w:space="0" w:color="auto"/>
              <w:right w:val="single" w:sz="2" w:space="0" w:color="auto"/>
            </w:tcBorders>
            <w:vAlign w:val="center"/>
          </w:tcPr>
          <w:p w:rsidR="00B13593" w:rsidRDefault="009B22BB" w:rsidP="001C7A81">
            <w:pPr>
              <w:spacing w:line="300" w:lineRule="exact"/>
              <w:jc w:val="right"/>
              <w:rPr>
                <w:rFonts w:ascii="宋体" w:eastAsia="宋体" w:hAnsi="宋体" w:cs="宋体"/>
                <w:sz w:val="18"/>
                <w:szCs w:val="18"/>
              </w:rPr>
            </w:pPr>
            <w:r w:rsidRPr="009B22BB">
              <w:rPr>
                <w:rFonts w:ascii="宋体" w:eastAsia="宋体" w:hAnsi="宋体" w:cs="宋体"/>
                <w:sz w:val="18"/>
                <w:szCs w:val="18"/>
              </w:rPr>
              <w:t>22,274,544.60</w:t>
            </w:r>
          </w:p>
        </w:tc>
        <w:tc>
          <w:tcPr>
            <w:tcW w:w="102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9B22BB" w:rsidP="001C7A81">
            <w:pPr>
              <w:spacing w:line="300" w:lineRule="exact"/>
              <w:jc w:val="right"/>
              <w:rPr>
                <w:rFonts w:ascii="宋体" w:eastAsia="宋体" w:hAnsi="宋体" w:cs="宋体"/>
                <w:sz w:val="18"/>
                <w:szCs w:val="18"/>
              </w:rPr>
            </w:pPr>
            <w:r w:rsidRPr="009B22BB">
              <w:rPr>
                <w:rFonts w:ascii="宋体" w:eastAsia="宋体" w:hAnsi="宋体" w:cs="宋体"/>
                <w:sz w:val="18"/>
                <w:szCs w:val="18"/>
              </w:rPr>
              <w:t>1,167,882,780.57</w:t>
            </w:r>
          </w:p>
        </w:tc>
        <w:tc>
          <w:tcPr>
            <w:tcW w:w="1205" w:type="dxa"/>
            <w:tcBorders>
              <w:top w:val="single" w:sz="2" w:space="0" w:color="auto"/>
              <w:left w:val="single" w:sz="2" w:space="0" w:color="auto"/>
              <w:bottom w:val="single" w:sz="2" w:space="0" w:color="auto"/>
              <w:right w:val="single" w:sz="2" w:space="0" w:color="auto"/>
            </w:tcBorders>
            <w:vAlign w:val="center"/>
          </w:tcPr>
          <w:p w:rsidR="00B13593" w:rsidRDefault="005C50EF" w:rsidP="001C7A81">
            <w:pPr>
              <w:spacing w:line="300" w:lineRule="exact"/>
              <w:jc w:val="right"/>
              <w:rPr>
                <w:rFonts w:ascii="宋体" w:eastAsia="宋体" w:hAnsi="宋体" w:cs="宋体"/>
                <w:sz w:val="18"/>
                <w:szCs w:val="18"/>
              </w:rPr>
            </w:pPr>
            <w:r w:rsidRPr="00912261">
              <w:rPr>
                <w:rFonts w:ascii="宋体" w:eastAsia="宋体" w:hAnsi="宋体" w:cs="宋体"/>
                <w:sz w:val="18"/>
                <w:szCs w:val="18"/>
              </w:rPr>
              <w:t>104,614,059.63</w:t>
            </w: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63" w:name="_Toc989252"/>
      <w:r w:rsidRPr="001C7A81">
        <w:rPr>
          <w:rFonts w:ascii="仿宋" w:eastAsia="仿宋" w:hAnsi="仿宋"/>
          <w:b/>
          <w:sz w:val="28"/>
          <w:szCs w:val="28"/>
        </w:rPr>
        <w:t>（2） 对联营、合营企业投资</w:t>
      </w:r>
      <w:bookmarkEnd w:id="363"/>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3"/>
        <w:gridCol w:w="803"/>
        <w:gridCol w:w="803"/>
        <w:gridCol w:w="803"/>
        <w:gridCol w:w="803"/>
        <w:gridCol w:w="803"/>
        <w:gridCol w:w="803"/>
        <w:gridCol w:w="803"/>
        <w:gridCol w:w="803"/>
        <w:gridCol w:w="805"/>
        <w:gridCol w:w="803"/>
        <w:gridCol w:w="804"/>
      </w:tblGrid>
      <w:tr w:rsidR="00B13593">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B13593">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r>
      <w:tr w:rsidR="00B13593">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一、合营企业</w:t>
            </w:r>
          </w:p>
        </w:tc>
      </w:tr>
      <w:tr w:rsidR="00B13593">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二、联营企业</w:t>
            </w:r>
          </w:p>
        </w:tc>
      </w:tr>
      <w:tr w:rsidR="00B13593">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144,494,018.90</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5,599,659.91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150,093,678.81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144,494,018.90</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5,599,659.91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150,093,678.81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r w:rsidR="00B13593">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144,494,018.90</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5,599,659.91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150,093,678.81</w:t>
            </w:r>
          </w:p>
        </w:tc>
        <w:tc>
          <w:tcPr>
            <w:tcW w:w="803"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r>
    </w:tbl>
    <w:p w:rsidR="00B13593" w:rsidRPr="001C7A81" w:rsidRDefault="00B13F8C" w:rsidP="001C7A81">
      <w:pPr>
        <w:pStyle w:val="a3"/>
        <w:widowControl w:val="0"/>
        <w:spacing w:before="0" w:beforeAutospacing="0" w:after="0" w:afterAutospacing="0" w:line="560" w:lineRule="exact"/>
        <w:ind w:firstLine="480"/>
        <w:jc w:val="both"/>
        <w:rPr>
          <w:rFonts w:ascii="仿宋" w:eastAsia="仿宋" w:hAnsi="仿宋"/>
          <w:b/>
          <w:sz w:val="28"/>
          <w:szCs w:val="28"/>
        </w:rPr>
      </w:pPr>
      <w:bookmarkStart w:id="364" w:name="_Toc989253"/>
      <w:r w:rsidRPr="001C7A81">
        <w:rPr>
          <w:rFonts w:ascii="仿宋" w:eastAsia="仿宋" w:hAnsi="仿宋"/>
          <w:b/>
          <w:sz w:val="28"/>
          <w:szCs w:val="28"/>
        </w:rPr>
        <w:t>4、营业收入和营业成本</w:t>
      </w:r>
      <w:bookmarkEnd w:id="364"/>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1C7A81">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jc w:val="center"/>
              <w:rPr>
                <w:rFonts w:ascii="宋体" w:eastAsia="宋体" w:hAnsi="宋体" w:cs="宋体"/>
                <w:sz w:val="18"/>
                <w:szCs w:val="18"/>
              </w:rPr>
            </w:pPr>
            <w:r>
              <w:rPr>
                <w:rFonts w:ascii="宋体" w:eastAsia="宋体" w:hAnsi="宋体" w:cs="宋体"/>
                <w:sz w:val="18"/>
                <w:szCs w:val="18"/>
              </w:rPr>
              <w:t>成本</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1C7A81">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27,632,780.43</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27,296,882.28</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450,178.97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2,359,893.95</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465,501.76</w:t>
            </w:r>
          </w:p>
        </w:tc>
      </w:tr>
      <w:tr w:rsidR="00B1359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1C7A81">
            <w:pPr>
              <w:spacing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450,178.97</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29,992,674.38</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1C7A81">
            <w:pPr>
              <w:spacing w:line="300" w:lineRule="exact"/>
              <w:jc w:val="right"/>
              <w:rPr>
                <w:rFonts w:ascii="宋体" w:eastAsia="宋体" w:hAnsi="宋体" w:cs="宋体"/>
                <w:sz w:val="18"/>
                <w:szCs w:val="18"/>
              </w:rPr>
            </w:pPr>
            <w:r>
              <w:rPr>
                <w:rFonts w:ascii="宋体" w:eastAsia="宋体" w:hAnsi="宋体" w:cs="宋体"/>
                <w:sz w:val="18"/>
                <w:szCs w:val="18"/>
              </w:rPr>
              <w:t>27,762,384.04</w:t>
            </w:r>
          </w:p>
        </w:tc>
      </w:tr>
    </w:tbl>
    <w:p w:rsidR="00B13593" w:rsidRPr="00891183" w:rsidRDefault="00B13F8C" w:rsidP="00891183">
      <w:pPr>
        <w:pStyle w:val="a3"/>
        <w:widowControl w:val="0"/>
        <w:spacing w:before="0" w:beforeAutospacing="0" w:after="0" w:afterAutospacing="0" w:line="560" w:lineRule="exact"/>
        <w:ind w:firstLine="480"/>
        <w:jc w:val="both"/>
        <w:rPr>
          <w:rFonts w:ascii="仿宋" w:eastAsia="仿宋" w:hAnsi="仿宋"/>
          <w:b/>
          <w:sz w:val="28"/>
          <w:szCs w:val="28"/>
        </w:rPr>
      </w:pPr>
      <w:r w:rsidRPr="00891183">
        <w:rPr>
          <w:rFonts w:ascii="仿宋" w:eastAsia="仿宋" w:hAnsi="仿宋"/>
          <w:b/>
          <w:sz w:val="28"/>
          <w:szCs w:val="28"/>
        </w:rPr>
        <w:t>收入相关信息：</w:t>
      </w:r>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center"/>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jc w:val="center"/>
              <w:rPr>
                <w:rFonts w:ascii="宋体" w:eastAsia="宋体" w:hAnsi="宋体" w:cs="宋体"/>
                <w:sz w:val="18"/>
                <w:szCs w:val="18"/>
              </w:rPr>
            </w:pPr>
            <w:r>
              <w:rPr>
                <w:rFonts w:ascii="宋体" w:eastAsia="宋体" w:hAnsi="宋体" w:cs="宋体"/>
                <w:sz w:val="18"/>
                <w:szCs w:val="18"/>
              </w:rPr>
              <w:t>合计</w:t>
            </w:r>
          </w:p>
        </w:tc>
      </w:tr>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r>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r>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rPr>
                <w:rFonts w:ascii="宋体" w:eastAsia="宋体" w:hAnsi="宋体" w:cs="宋体"/>
                <w:sz w:val="18"/>
                <w:szCs w:val="18"/>
              </w:rPr>
            </w:pPr>
            <w:r>
              <w:rPr>
                <w:rFonts w:ascii="宋体" w:eastAsia="宋体" w:hAnsi="宋体" w:cs="宋体"/>
                <w:sz w:val="18"/>
                <w:szCs w:val="18"/>
              </w:rPr>
              <w:t>房屋租赁</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r>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r>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rPr>
                <w:rFonts w:ascii="宋体" w:eastAsia="宋体" w:hAnsi="宋体" w:cs="宋体"/>
                <w:sz w:val="18"/>
                <w:szCs w:val="18"/>
              </w:rPr>
            </w:pPr>
            <w:r>
              <w:rPr>
                <w:rFonts w:ascii="宋体" w:eastAsia="宋体" w:hAnsi="宋体" w:cs="宋体"/>
                <w:sz w:val="18"/>
                <w:szCs w:val="18"/>
              </w:rPr>
              <w:lastRenderedPageBreak/>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63261C">
            <w:pPr>
              <w:spacing w:line="280" w:lineRule="exact"/>
            </w:pPr>
          </w:p>
        </w:tc>
      </w:tr>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rPr>
                <w:rFonts w:ascii="宋体" w:eastAsia="宋体" w:hAnsi="宋体" w:cs="宋体"/>
                <w:sz w:val="18"/>
                <w:szCs w:val="18"/>
              </w:rPr>
            </w:pPr>
            <w:r>
              <w:rPr>
                <w:rFonts w:ascii="宋体" w:eastAsia="宋体" w:hAnsi="宋体" w:cs="宋体"/>
                <w:sz w:val="18"/>
                <w:szCs w:val="18"/>
              </w:rPr>
              <w:t>广东</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r>
      <w:tr w:rsidR="00B13593" w:rsidTr="0089118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63261C">
            <w:pPr>
              <w:spacing w:line="28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593" w:rsidP="0063261C">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13593" w:rsidRDefault="00B13F8C" w:rsidP="0063261C">
            <w:pPr>
              <w:spacing w:line="280" w:lineRule="exact"/>
              <w:jc w:val="right"/>
              <w:rPr>
                <w:rFonts w:ascii="宋体" w:eastAsia="宋体" w:hAnsi="宋体" w:cs="宋体"/>
                <w:sz w:val="18"/>
                <w:szCs w:val="18"/>
              </w:rPr>
            </w:pPr>
            <w:r>
              <w:rPr>
                <w:rFonts w:ascii="宋体" w:eastAsia="宋体" w:hAnsi="宋体" w:cs="宋体"/>
                <w:sz w:val="18"/>
                <w:szCs w:val="18"/>
              </w:rPr>
              <w:t>2,301,290.22</w:t>
            </w:r>
          </w:p>
        </w:tc>
      </w:tr>
    </w:tbl>
    <w:p w:rsidR="00B13593" w:rsidRPr="00891183" w:rsidRDefault="00B13F8C" w:rsidP="00891183">
      <w:pPr>
        <w:pStyle w:val="a3"/>
        <w:widowControl w:val="0"/>
        <w:spacing w:before="0" w:beforeAutospacing="0" w:after="0" w:afterAutospacing="0" w:line="560" w:lineRule="exact"/>
        <w:ind w:firstLine="480"/>
        <w:jc w:val="both"/>
        <w:rPr>
          <w:rFonts w:ascii="仿宋" w:eastAsia="仿宋" w:hAnsi="仿宋"/>
          <w:b/>
          <w:sz w:val="28"/>
          <w:szCs w:val="28"/>
        </w:rPr>
      </w:pPr>
      <w:bookmarkStart w:id="365" w:name="_Toc989254"/>
      <w:r w:rsidRPr="00891183">
        <w:rPr>
          <w:rFonts w:ascii="仿宋" w:eastAsia="仿宋" w:hAnsi="仿宋"/>
          <w:b/>
          <w:sz w:val="28"/>
          <w:szCs w:val="28"/>
        </w:rPr>
        <w:t>5、投资收益</w:t>
      </w:r>
      <w:bookmarkEnd w:id="365"/>
    </w:p>
    <w:p w:rsidR="00B13593" w:rsidRDefault="00B13F8C" w:rsidP="00054B0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510"/>
        <w:gridCol w:w="2916"/>
        <w:gridCol w:w="3213"/>
      </w:tblGrid>
      <w:tr w:rsidR="00B13593" w:rsidTr="00891183">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916"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B13593" w:rsidTr="00891183">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2916"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5,599,659.91</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7,037,438.08</w:t>
            </w:r>
          </w:p>
        </w:tc>
      </w:tr>
      <w:tr w:rsidR="00B13593" w:rsidTr="00891183">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2916"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3,808,178.83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3,434,816.51</w:t>
            </w:r>
          </w:p>
        </w:tc>
      </w:tr>
      <w:tr w:rsidR="00B13593" w:rsidTr="00891183">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处置其他债权投资取得的投资收益</w:t>
            </w:r>
          </w:p>
        </w:tc>
        <w:tc>
          <w:tcPr>
            <w:tcW w:w="2916"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-744,108.42</w:t>
            </w:r>
          </w:p>
        </w:tc>
      </w:tr>
      <w:tr w:rsidR="00B13593" w:rsidTr="00891183">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其他</w:t>
            </w:r>
          </w:p>
        </w:tc>
        <w:tc>
          <w:tcPr>
            <w:tcW w:w="2916"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5,181.63</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-26,991.12</w:t>
            </w:r>
          </w:p>
        </w:tc>
      </w:tr>
      <w:tr w:rsidR="00B13593" w:rsidTr="00891183">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合计</w:t>
            </w:r>
          </w:p>
        </w:tc>
        <w:tc>
          <w:tcPr>
            <w:tcW w:w="2916"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9,413,020.37</w:t>
            </w:r>
          </w:p>
        </w:tc>
        <w:tc>
          <w:tcPr>
            <w:tcW w:w="321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9,701,155.05</w:t>
            </w:r>
          </w:p>
        </w:tc>
      </w:tr>
    </w:tbl>
    <w:p w:rsidR="00B13593" w:rsidRPr="00891183" w:rsidRDefault="00B13F8C" w:rsidP="0063261C">
      <w:pPr>
        <w:pStyle w:val="a3"/>
        <w:widowControl w:val="0"/>
        <w:spacing w:before="0" w:beforeAutospacing="0" w:after="0" w:afterAutospacing="0" w:line="540" w:lineRule="exact"/>
        <w:ind w:firstLine="482"/>
        <w:jc w:val="both"/>
        <w:rPr>
          <w:b/>
          <w:bCs/>
          <w:sz w:val="28"/>
          <w:szCs w:val="28"/>
        </w:rPr>
      </w:pPr>
      <w:bookmarkStart w:id="366" w:name="_Toc989255"/>
      <w:r w:rsidRPr="00891183">
        <w:rPr>
          <w:b/>
          <w:bCs/>
          <w:sz w:val="28"/>
          <w:szCs w:val="28"/>
        </w:rPr>
        <w:t>十</w:t>
      </w:r>
      <w:r w:rsidR="007352C4">
        <w:rPr>
          <w:rFonts w:hint="eastAsia"/>
          <w:b/>
          <w:bCs/>
          <w:sz w:val="28"/>
          <w:szCs w:val="28"/>
        </w:rPr>
        <w:t>七</w:t>
      </w:r>
      <w:r w:rsidRPr="00891183">
        <w:rPr>
          <w:b/>
          <w:bCs/>
          <w:sz w:val="28"/>
          <w:szCs w:val="28"/>
        </w:rPr>
        <w:t>、补充资料</w:t>
      </w:r>
      <w:bookmarkEnd w:id="366"/>
    </w:p>
    <w:p w:rsidR="00B13593" w:rsidRPr="00891183"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bookmarkStart w:id="367" w:name="_Toc989256"/>
      <w:r w:rsidRPr="00891183">
        <w:rPr>
          <w:rFonts w:ascii="仿宋" w:eastAsia="仿宋" w:hAnsi="仿宋"/>
          <w:b/>
          <w:sz w:val="28"/>
          <w:szCs w:val="28"/>
        </w:rPr>
        <w:t>1、当期非经常性损益明细表</w:t>
      </w:r>
      <w:bookmarkEnd w:id="367"/>
    </w:p>
    <w:p w:rsidR="00B13593" w:rsidRPr="00891183" w:rsidRDefault="00B13F8C" w:rsidP="0063261C">
      <w:pPr>
        <w:pStyle w:val="a3"/>
        <w:widowControl w:val="0"/>
        <w:spacing w:before="0" w:beforeAutospacing="0" w:after="0" w:afterAutospacing="0" w:line="540" w:lineRule="exact"/>
        <w:ind w:firstLine="482"/>
        <w:jc w:val="both"/>
        <w:rPr>
          <w:rFonts w:ascii="仿宋" w:eastAsia="仿宋" w:hAnsi="仿宋"/>
          <w:sz w:val="28"/>
          <w:szCs w:val="28"/>
        </w:rPr>
      </w:pPr>
      <w:r w:rsidRPr="00891183">
        <w:rPr>
          <w:rFonts w:ascii="仿宋" w:eastAsia="仿宋" w:hAnsi="仿宋"/>
          <w:sz w:val="28"/>
          <w:szCs w:val="28"/>
        </w:rPr>
        <w:sym w:font="Wingdings 2" w:char="F052"/>
      </w:r>
      <w:r w:rsidRPr="00891183">
        <w:rPr>
          <w:rFonts w:ascii="仿宋" w:eastAsia="仿宋" w:hAnsi="仿宋"/>
          <w:sz w:val="28"/>
          <w:szCs w:val="28"/>
        </w:rPr>
        <w:t>适用</w:t>
      </w:r>
      <w:r w:rsidR="00891183" w:rsidRPr="00891183">
        <w:rPr>
          <w:rFonts w:ascii="仿宋" w:eastAsia="仿宋" w:hAnsi="仿宋" w:hint="eastAsia"/>
          <w:sz w:val="28"/>
          <w:szCs w:val="28"/>
        </w:rPr>
        <w:t xml:space="preserve"> </w:t>
      </w:r>
      <w:r w:rsidRPr="00891183">
        <w:rPr>
          <w:rFonts w:ascii="仿宋" w:eastAsia="仿宋" w:hAnsi="仿宋"/>
          <w:sz w:val="28"/>
          <w:szCs w:val="28"/>
        </w:rPr>
        <w:t xml:space="preserve"> □不适用</w:t>
      </w:r>
    </w:p>
    <w:p w:rsidR="00B13593" w:rsidRDefault="00B13F8C" w:rsidP="00054B0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062"/>
        <w:gridCol w:w="1843"/>
        <w:gridCol w:w="1734"/>
      </w:tblGrid>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说明</w:t>
            </w: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EB1463" w:rsidP="00891183">
            <w:pPr>
              <w:spacing w:line="300" w:lineRule="exact"/>
              <w:jc w:val="right"/>
              <w:rPr>
                <w:rFonts w:ascii="宋体" w:eastAsia="宋体" w:hAnsi="宋体" w:cs="宋体"/>
                <w:sz w:val="18"/>
                <w:szCs w:val="18"/>
              </w:rPr>
            </w:pPr>
            <w:r w:rsidRPr="000D3B58">
              <w:rPr>
                <w:rFonts w:ascii="宋体" w:eastAsia="宋体" w:hAnsi="宋体" w:cs="宋体"/>
                <w:sz w:val="18"/>
                <w:szCs w:val="18"/>
              </w:rPr>
              <w:t>-4,793.19</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越权审批或无正式批准文件的税收返还、减免</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1,412,764.84</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4,020,861.15</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主要系理财收益</w:t>
            </w: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-998,353.40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对外委托贷款取得的损益</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采用公允价值模式进行后续计量的投资性房地产公允价值变动产生的损益</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根据税收、会计等法律、法规的要求对当期损益进行一次性调整对当期损益的影响</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受托经营取得的托管费收入</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858.70</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262,458.18</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减：所得税影响额</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EB1463" w:rsidP="00891183">
            <w:pPr>
              <w:spacing w:line="300" w:lineRule="exact"/>
              <w:jc w:val="right"/>
              <w:rPr>
                <w:rFonts w:ascii="宋体" w:eastAsia="宋体" w:hAnsi="宋体" w:cs="宋体"/>
                <w:sz w:val="18"/>
                <w:szCs w:val="18"/>
              </w:rPr>
            </w:pPr>
            <w:r w:rsidRPr="000D3B58">
              <w:rPr>
                <w:rFonts w:ascii="宋体" w:eastAsia="宋体" w:hAnsi="宋体" w:cs="宋体"/>
                <w:sz w:val="18"/>
                <w:szCs w:val="18"/>
              </w:rPr>
              <w:t>806,108.</w:t>
            </w:r>
            <w:r>
              <w:rPr>
                <w:rFonts w:ascii="宋体" w:eastAsia="宋体" w:hAnsi="宋体" w:cs="宋体"/>
                <w:sz w:val="18"/>
                <w:szCs w:val="18"/>
              </w:rPr>
              <w:t>39</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52,825.14</w:t>
            </w:r>
          </w:p>
        </w:tc>
        <w:tc>
          <w:tcPr>
            <w:tcW w:w="1734" w:type="dxa"/>
            <w:tcBorders>
              <w:top w:val="single" w:sz="2" w:space="0" w:color="auto"/>
              <w:left w:val="single" w:sz="2" w:space="0" w:color="auto"/>
              <w:bottom w:val="single" w:sz="2" w:space="0" w:color="auto"/>
              <w:right w:val="single" w:sz="2" w:space="0" w:color="auto"/>
            </w:tcBorders>
            <w:vAlign w:val="center"/>
          </w:tcPr>
          <w:p w:rsidR="00B13593" w:rsidRDefault="00B13593" w:rsidP="00891183">
            <w:pPr>
              <w:spacing w:line="300" w:lineRule="exact"/>
              <w:rPr>
                <w:rFonts w:ascii="宋体" w:eastAsia="宋体" w:hAnsi="宋体" w:cs="宋体"/>
                <w:sz w:val="18"/>
                <w:szCs w:val="18"/>
              </w:rPr>
            </w:pPr>
          </w:p>
        </w:tc>
      </w:tr>
      <w:tr w:rsidR="00B13593" w:rsidTr="0063261C">
        <w:trPr>
          <w:trHeight w:val="240"/>
        </w:trPr>
        <w:tc>
          <w:tcPr>
            <w:tcW w:w="606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合计</w:t>
            </w:r>
          </w:p>
        </w:tc>
        <w:tc>
          <w:tcPr>
            <w:tcW w:w="1843" w:type="dxa"/>
            <w:tcBorders>
              <w:top w:val="single" w:sz="2" w:space="0" w:color="auto"/>
              <w:left w:val="single" w:sz="2" w:space="0" w:color="auto"/>
              <w:bottom w:val="single" w:sz="2" w:space="0" w:color="auto"/>
              <w:right w:val="single" w:sz="2" w:space="0" w:color="auto"/>
            </w:tcBorders>
            <w:vAlign w:val="center"/>
          </w:tcPr>
          <w:p w:rsidR="00B13593" w:rsidRDefault="00EB1463" w:rsidP="00891183">
            <w:pPr>
              <w:spacing w:line="300" w:lineRule="exact"/>
              <w:jc w:val="right"/>
              <w:rPr>
                <w:rFonts w:ascii="宋体" w:eastAsia="宋体" w:hAnsi="宋体" w:cs="宋体"/>
                <w:sz w:val="18"/>
                <w:szCs w:val="18"/>
              </w:rPr>
            </w:pPr>
            <w:r w:rsidRPr="000D3B58">
              <w:rPr>
                <w:rFonts w:ascii="宋体" w:eastAsia="宋体" w:hAnsi="宋体" w:cs="宋体"/>
                <w:sz w:val="18"/>
                <w:szCs w:val="18"/>
              </w:rPr>
              <w:t>3,834,862.75</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w:t>
            </w:r>
          </w:p>
        </w:tc>
      </w:tr>
    </w:tbl>
    <w:p w:rsidR="00B13593" w:rsidRPr="00891183" w:rsidRDefault="00B13F8C" w:rsidP="0063261C">
      <w:pPr>
        <w:pStyle w:val="a3"/>
        <w:widowControl w:val="0"/>
        <w:spacing w:before="0" w:beforeAutospacing="0" w:after="0" w:afterAutospacing="0" w:line="540" w:lineRule="exact"/>
        <w:ind w:firstLine="482"/>
        <w:jc w:val="both"/>
        <w:rPr>
          <w:rFonts w:ascii="仿宋" w:eastAsia="仿宋" w:hAnsi="仿宋"/>
          <w:b/>
          <w:sz w:val="28"/>
          <w:szCs w:val="28"/>
        </w:rPr>
      </w:pPr>
      <w:r w:rsidRPr="00891183">
        <w:rPr>
          <w:rFonts w:ascii="仿宋" w:eastAsia="仿宋" w:hAnsi="仿宋"/>
          <w:b/>
          <w:sz w:val="28"/>
          <w:szCs w:val="28"/>
        </w:rPr>
        <w:t>其他符合非经常性损益定义的损益项目的具体情况：</w:t>
      </w:r>
    </w:p>
    <w:p w:rsidR="00891183" w:rsidRDefault="00B13F8C" w:rsidP="0063261C">
      <w:pPr>
        <w:pStyle w:val="a3"/>
        <w:widowControl w:val="0"/>
        <w:spacing w:before="0" w:beforeAutospacing="0" w:after="0" w:afterAutospacing="0" w:line="540" w:lineRule="exact"/>
        <w:ind w:firstLine="482"/>
        <w:jc w:val="both"/>
        <w:rPr>
          <w:rFonts w:ascii="仿宋" w:eastAsia="仿宋" w:hAnsi="仿宋"/>
          <w:sz w:val="28"/>
          <w:szCs w:val="28"/>
        </w:rPr>
      </w:pPr>
      <w:r w:rsidRPr="00891183">
        <w:rPr>
          <w:rFonts w:ascii="仿宋" w:eastAsia="仿宋" w:hAnsi="仿宋"/>
          <w:sz w:val="28"/>
          <w:szCs w:val="28"/>
        </w:rPr>
        <w:sym w:font="Wingdings 2" w:char="F052"/>
      </w:r>
      <w:r w:rsidRPr="00891183">
        <w:rPr>
          <w:rFonts w:ascii="仿宋" w:eastAsia="仿宋" w:hAnsi="仿宋"/>
          <w:sz w:val="28"/>
          <w:szCs w:val="28"/>
        </w:rPr>
        <w:t xml:space="preserve">适用 </w:t>
      </w:r>
      <w:r w:rsidR="00891183" w:rsidRPr="00891183">
        <w:rPr>
          <w:rFonts w:ascii="仿宋" w:eastAsia="仿宋" w:hAnsi="仿宋" w:hint="eastAsia"/>
          <w:sz w:val="28"/>
          <w:szCs w:val="28"/>
        </w:rPr>
        <w:t xml:space="preserve"> </w:t>
      </w:r>
      <w:r w:rsidRPr="00891183">
        <w:rPr>
          <w:rFonts w:ascii="仿宋" w:eastAsia="仿宋" w:hAnsi="仿宋"/>
          <w:sz w:val="28"/>
          <w:szCs w:val="28"/>
        </w:rPr>
        <w:t>□不适用</w:t>
      </w:r>
    </w:p>
    <w:p w:rsidR="00B13593" w:rsidRPr="00891183" w:rsidRDefault="00B13593" w:rsidP="0063261C">
      <w:pPr>
        <w:pStyle w:val="a3"/>
        <w:widowControl w:val="0"/>
        <w:spacing w:before="0" w:beforeAutospacing="0" w:after="0" w:afterAutospacing="0" w:line="540" w:lineRule="exact"/>
        <w:ind w:firstLine="482"/>
        <w:jc w:val="both"/>
        <w:rPr>
          <w:rFonts w:ascii="仿宋" w:eastAsia="仿宋" w:hAnsi="仿宋"/>
          <w:sz w:val="28"/>
          <w:szCs w:val="28"/>
        </w:rPr>
      </w:pPr>
      <w:r w:rsidRPr="00891183">
        <w:rPr>
          <w:rFonts w:ascii="仿宋" w:eastAsia="仿宋" w:hAnsi="仿宋" w:hint="eastAsia"/>
          <w:sz w:val="28"/>
          <w:szCs w:val="28"/>
        </w:rPr>
        <w:t>其他符合非经常性损益定义的损益项目为个人所得税手续费返还262,458.18元。</w:t>
      </w:r>
    </w:p>
    <w:p w:rsidR="00B13593" w:rsidRPr="00891183" w:rsidRDefault="00B13F8C" w:rsidP="00891183">
      <w:pPr>
        <w:pStyle w:val="a3"/>
        <w:widowControl w:val="0"/>
        <w:spacing w:before="0" w:beforeAutospacing="0" w:after="0" w:afterAutospacing="0" w:line="560" w:lineRule="exact"/>
        <w:ind w:firstLine="480"/>
        <w:jc w:val="both"/>
        <w:rPr>
          <w:rFonts w:ascii="仿宋" w:eastAsia="仿宋" w:hAnsi="仿宋"/>
          <w:b/>
          <w:sz w:val="28"/>
          <w:szCs w:val="28"/>
        </w:rPr>
      </w:pPr>
      <w:r w:rsidRPr="00891183">
        <w:rPr>
          <w:rFonts w:ascii="仿宋" w:eastAsia="仿宋" w:hAnsi="仿宋"/>
          <w:b/>
          <w:sz w:val="28"/>
          <w:szCs w:val="28"/>
        </w:rPr>
        <w:lastRenderedPageBreak/>
        <w:t>将《公开发行证券的公司信息披露解释性公告第1号——非经常性损益》中列举的非经常性损益项目界定为经常性损益项目的情况说明</w:t>
      </w:r>
    </w:p>
    <w:p w:rsidR="00B13593" w:rsidRPr="00891183" w:rsidRDefault="00B13F8C" w:rsidP="00891183">
      <w:pPr>
        <w:pStyle w:val="a3"/>
        <w:widowControl w:val="0"/>
        <w:spacing w:before="0" w:beforeAutospacing="0" w:after="0" w:afterAutospacing="0" w:line="560" w:lineRule="exact"/>
        <w:ind w:firstLine="480"/>
        <w:jc w:val="both"/>
        <w:rPr>
          <w:rFonts w:ascii="仿宋" w:eastAsia="仿宋" w:hAnsi="仿宋"/>
          <w:sz w:val="28"/>
          <w:szCs w:val="28"/>
        </w:rPr>
      </w:pPr>
      <w:r w:rsidRPr="00891183">
        <w:rPr>
          <w:rFonts w:ascii="仿宋" w:eastAsia="仿宋" w:hAnsi="仿宋"/>
          <w:sz w:val="28"/>
          <w:szCs w:val="28"/>
        </w:rPr>
        <w:t xml:space="preserve">□适用 </w:t>
      </w:r>
      <w:r w:rsidR="00891183" w:rsidRPr="00891183">
        <w:rPr>
          <w:rFonts w:ascii="仿宋" w:eastAsia="仿宋" w:hAnsi="仿宋" w:hint="eastAsia"/>
          <w:sz w:val="28"/>
          <w:szCs w:val="28"/>
        </w:rPr>
        <w:t xml:space="preserve"> </w:t>
      </w:r>
      <w:r w:rsidRPr="00891183">
        <w:rPr>
          <w:rFonts w:ascii="仿宋" w:eastAsia="仿宋" w:hAnsi="仿宋"/>
          <w:sz w:val="28"/>
          <w:szCs w:val="28"/>
        </w:rPr>
        <w:sym w:font="Wingdings 2" w:char="F052"/>
      </w:r>
      <w:r w:rsidRPr="00891183">
        <w:rPr>
          <w:rFonts w:ascii="仿宋" w:eastAsia="仿宋" w:hAnsi="仿宋"/>
          <w:sz w:val="28"/>
          <w:szCs w:val="28"/>
        </w:rPr>
        <w:t>不适用</w:t>
      </w:r>
    </w:p>
    <w:p w:rsidR="00B13593" w:rsidRPr="00891183" w:rsidRDefault="00B13F8C" w:rsidP="00891183">
      <w:pPr>
        <w:pStyle w:val="a3"/>
        <w:widowControl w:val="0"/>
        <w:spacing w:before="0" w:beforeAutospacing="0" w:after="0" w:afterAutospacing="0" w:line="560" w:lineRule="exact"/>
        <w:ind w:firstLine="480"/>
        <w:jc w:val="both"/>
        <w:rPr>
          <w:rFonts w:ascii="仿宋" w:eastAsia="仿宋" w:hAnsi="仿宋"/>
          <w:b/>
          <w:sz w:val="28"/>
          <w:szCs w:val="28"/>
        </w:rPr>
      </w:pPr>
      <w:bookmarkStart w:id="368" w:name="_Toc989257"/>
      <w:r w:rsidRPr="00891183">
        <w:rPr>
          <w:rFonts w:ascii="仿宋" w:eastAsia="仿宋" w:hAnsi="仿宋"/>
          <w:b/>
          <w:sz w:val="28"/>
          <w:szCs w:val="28"/>
        </w:rPr>
        <w:t>2、净资产收益率及每股收益</w:t>
      </w:r>
      <w:bookmarkEnd w:id="36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802"/>
        <w:gridCol w:w="2017"/>
        <w:gridCol w:w="2410"/>
        <w:gridCol w:w="2410"/>
      </w:tblGrid>
      <w:tr w:rsidR="00B13593" w:rsidTr="0042353C">
        <w:trPr>
          <w:trHeight w:val="240"/>
        </w:trPr>
        <w:tc>
          <w:tcPr>
            <w:tcW w:w="28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报告期利润</w:t>
            </w:r>
          </w:p>
        </w:tc>
        <w:tc>
          <w:tcPr>
            <w:tcW w:w="20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每股收益</w:t>
            </w:r>
          </w:p>
        </w:tc>
      </w:tr>
      <w:tr w:rsidR="00B13593" w:rsidTr="0042353C">
        <w:trPr>
          <w:trHeight w:val="240"/>
        </w:trPr>
        <w:tc>
          <w:tcPr>
            <w:tcW w:w="28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91183">
            <w:pPr>
              <w:spacing w:line="300" w:lineRule="exact"/>
            </w:pPr>
          </w:p>
        </w:tc>
        <w:tc>
          <w:tcPr>
            <w:tcW w:w="20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593" w:rsidP="00891183">
            <w:pPr>
              <w:spacing w:line="30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B13593" w:rsidTr="0042353C">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017" w:type="dxa"/>
            <w:tcBorders>
              <w:top w:val="single" w:sz="2" w:space="0" w:color="auto"/>
              <w:left w:val="single" w:sz="2" w:space="0" w:color="auto"/>
              <w:bottom w:val="single" w:sz="2" w:space="0" w:color="auto"/>
              <w:right w:val="single" w:sz="2" w:space="0" w:color="auto"/>
            </w:tcBorders>
            <w:vAlign w:val="center"/>
          </w:tcPr>
          <w:p w:rsidR="00B13593" w:rsidRDefault="00620665" w:rsidP="00EB1463">
            <w:pPr>
              <w:spacing w:line="300" w:lineRule="exact"/>
              <w:jc w:val="right"/>
              <w:rPr>
                <w:rFonts w:ascii="宋体" w:eastAsia="宋体" w:hAnsi="宋体" w:cs="宋体"/>
                <w:sz w:val="18"/>
                <w:szCs w:val="18"/>
              </w:rPr>
            </w:pPr>
            <w:r>
              <w:rPr>
                <w:rFonts w:ascii="宋体" w:eastAsia="宋体" w:hAnsi="宋体" w:cs="宋体"/>
                <w:sz w:val="18"/>
                <w:szCs w:val="18"/>
              </w:rPr>
              <w:t>2.0</w:t>
            </w:r>
            <w:r w:rsidR="00EB1463">
              <w:rPr>
                <w:rFonts w:ascii="宋体" w:eastAsia="宋体" w:hAnsi="宋体" w:cs="宋体" w:hint="eastAsia"/>
                <w:sz w:val="18"/>
                <w:szCs w:val="18"/>
              </w:rPr>
              <w:t>6</w:t>
            </w:r>
            <w:r w:rsidR="00B13F8C">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0.0839</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0.0836</w:t>
            </w:r>
          </w:p>
        </w:tc>
      </w:tr>
      <w:tr w:rsidR="00B13593" w:rsidTr="0042353C">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B13593" w:rsidRDefault="00B13F8C" w:rsidP="00891183">
            <w:pPr>
              <w:spacing w:line="30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017"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1.84%</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0.0750</w:t>
            </w:r>
          </w:p>
        </w:tc>
        <w:tc>
          <w:tcPr>
            <w:tcW w:w="2410" w:type="dxa"/>
            <w:tcBorders>
              <w:top w:val="single" w:sz="2" w:space="0" w:color="auto"/>
              <w:left w:val="single" w:sz="2" w:space="0" w:color="auto"/>
              <w:bottom w:val="single" w:sz="2" w:space="0" w:color="auto"/>
              <w:right w:val="single" w:sz="2" w:space="0" w:color="auto"/>
            </w:tcBorders>
            <w:vAlign w:val="center"/>
          </w:tcPr>
          <w:p w:rsidR="00B13593" w:rsidRDefault="00B13F8C" w:rsidP="00891183">
            <w:pPr>
              <w:spacing w:line="300" w:lineRule="exact"/>
              <w:jc w:val="right"/>
              <w:rPr>
                <w:rFonts w:ascii="宋体" w:eastAsia="宋体" w:hAnsi="宋体" w:cs="宋体"/>
                <w:sz w:val="18"/>
                <w:szCs w:val="18"/>
              </w:rPr>
            </w:pPr>
            <w:r>
              <w:rPr>
                <w:rFonts w:ascii="宋体" w:eastAsia="宋体" w:hAnsi="宋体" w:cs="宋体"/>
                <w:sz w:val="18"/>
                <w:szCs w:val="18"/>
              </w:rPr>
              <w:t>0.0748</w:t>
            </w:r>
          </w:p>
        </w:tc>
      </w:tr>
    </w:tbl>
    <w:p w:rsidR="00B13593" w:rsidRPr="0042353C" w:rsidRDefault="00B13F8C" w:rsidP="0042353C">
      <w:pPr>
        <w:pStyle w:val="a3"/>
        <w:widowControl w:val="0"/>
        <w:spacing w:before="0" w:beforeAutospacing="0" w:after="0" w:afterAutospacing="0" w:line="560" w:lineRule="exact"/>
        <w:ind w:firstLine="480"/>
        <w:jc w:val="both"/>
        <w:rPr>
          <w:rFonts w:ascii="仿宋" w:eastAsia="仿宋" w:hAnsi="仿宋"/>
          <w:b/>
          <w:sz w:val="28"/>
          <w:szCs w:val="28"/>
        </w:rPr>
      </w:pPr>
      <w:bookmarkStart w:id="369" w:name="_Toc989258"/>
      <w:r w:rsidRPr="0042353C">
        <w:rPr>
          <w:rFonts w:ascii="仿宋" w:eastAsia="仿宋" w:hAnsi="仿宋"/>
          <w:b/>
          <w:sz w:val="28"/>
          <w:szCs w:val="28"/>
        </w:rPr>
        <w:t>3、境内外会计准则下会计数据差异</w:t>
      </w:r>
      <w:bookmarkEnd w:id="369"/>
    </w:p>
    <w:p w:rsidR="00B13593" w:rsidRPr="0042353C" w:rsidRDefault="00B13F8C" w:rsidP="0042353C">
      <w:pPr>
        <w:pStyle w:val="a3"/>
        <w:widowControl w:val="0"/>
        <w:spacing w:before="0" w:beforeAutospacing="0" w:after="0" w:afterAutospacing="0" w:line="560" w:lineRule="exact"/>
        <w:ind w:firstLine="480"/>
        <w:jc w:val="both"/>
        <w:rPr>
          <w:rFonts w:ascii="仿宋" w:eastAsia="仿宋" w:hAnsi="仿宋"/>
          <w:b/>
          <w:sz w:val="28"/>
          <w:szCs w:val="28"/>
        </w:rPr>
      </w:pPr>
      <w:bookmarkStart w:id="370" w:name="_Toc989259"/>
      <w:r w:rsidRPr="0042353C">
        <w:rPr>
          <w:rFonts w:ascii="仿宋" w:eastAsia="仿宋" w:hAnsi="仿宋"/>
          <w:b/>
          <w:sz w:val="28"/>
          <w:szCs w:val="28"/>
        </w:rPr>
        <w:t>（1）同时按照国际会计准则与按中国会计准则披露的财务报告中净利润和净资产差异情况</w:t>
      </w:r>
      <w:bookmarkEnd w:id="370"/>
    </w:p>
    <w:p w:rsidR="00B13593" w:rsidRPr="0042353C" w:rsidRDefault="00B13F8C" w:rsidP="0042353C">
      <w:pPr>
        <w:pStyle w:val="a3"/>
        <w:widowControl w:val="0"/>
        <w:spacing w:before="0" w:beforeAutospacing="0" w:after="0" w:afterAutospacing="0" w:line="560" w:lineRule="exact"/>
        <w:ind w:firstLine="480"/>
        <w:jc w:val="both"/>
        <w:rPr>
          <w:rFonts w:ascii="仿宋" w:eastAsia="仿宋" w:hAnsi="仿宋"/>
          <w:sz w:val="28"/>
          <w:szCs w:val="28"/>
        </w:rPr>
      </w:pPr>
      <w:r w:rsidRPr="0042353C">
        <w:rPr>
          <w:rFonts w:ascii="仿宋" w:eastAsia="仿宋" w:hAnsi="仿宋"/>
          <w:sz w:val="28"/>
          <w:szCs w:val="28"/>
        </w:rPr>
        <w:t xml:space="preserve">□适用 </w:t>
      </w:r>
      <w:r w:rsidR="0042353C">
        <w:rPr>
          <w:rFonts w:ascii="仿宋" w:eastAsia="仿宋" w:hAnsi="仿宋" w:hint="eastAsia"/>
          <w:sz w:val="28"/>
          <w:szCs w:val="28"/>
        </w:rPr>
        <w:t xml:space="preserve"> </w:t>
      </w:r>
      <w:r w:rsidRPr="0042353C">
        <w:rPr>
          <w:rFonts w:ascii="仿宋" w:eastAsia="仿宋" w:hAnsi="仿宋"/>
          <w:sz w:val="28"/>
          <w:szCs w:val="28"/>
        </w:rPr>
        <w:sym w:font="Wingdings 2" w:char="F052"/>
      </w:r>
      <w:r w:rsidRPr="0042353C">
        <w:rPr>
          <w:rFonts w:ascii="仿宋" w:eastAsia="仿宋" w:hAnsi="仿宋"/>
          <w:sz w:val="28"/>
          <w:szCs w:val="28"/>
        </w:rPr>
        <w:t>不适用</w:t>
      </w:r>
    </w:p>
    <w:p w:rsidR="00B13593" w:rsidRPr="0042353C" w:rsidRDefault="00B13F8C" w:rsidP="0042353C">
      <w:pPr>
        <w:pStyle w:val="a3"/>
        <w:widowControl w:val="0"/>
        <w:spacing w:before="0" w:beforeAutospacing="0" w:after="0" w:afterAutospacing="0" w:line="560" w:lineRule="exact"/>
        <w:ind w:firstLine="480"/>
        <w:jc w:val="both"/>
        <w:rPr>
          <w:rFonts w:ascii="仿宋" w:eastAsia="仿宋" w:hAnsi="仿宋"/>
          <w:b/>
          <w:sz w:val="28"/>
          <w:szCs w:val="28"/>
        </w:rPr>
      </w:pPr>
      <w:bookmarkStart w:id="371" w:name="_Toc989260"/>
      <w:r w:rsidRPr="0042353C">
        <w:rPr>
          <w:rFonts w:ascii="仿宋" w:eastAsia="仿宋" w:hAnsi="仿宋"/>
          <w:b/>
          <w:sz w:val="28"/>
          <w:szCs w:val="28"/>
        </w:rPr>
        <w:t>（2）同时按照境外会计准则与按中国会计准则披露的财务报告中净利润和净资产差异情况</w:t>
      </w:r>
      <w:bookmarkEnd w:id="371"/>
    </w:p>
    <w:p w:rsidR="00B13593" w:rsidRDefault="00B13F8C" w:rsidP="0042353C">
      <w:pPr>
        <w:pStyle w:val="a3"/>
        <w:widowControl w:val="0"/>
        <w:spacing w:before="0" w:beforeAutospacing="0" w:after="0" w:afterAutospacing="0" w:line="560" w:lineRule="exact"/>
        <w:ind w:firstLine="480"/>
        <w:jc w:val="both"/>
        <w:rPr>
          <w:rFonts w:ascii="仿宋" w:eastAsia="仿宋" w:hAnsi="仿宋"/>
          <w:sz w:val="28"/>
          <w:szCs w:val="28"/>
        </w:rPr>
      </w:pPr>
      <w:r w:rsidRPr="0042353C">
        <w:rPr>
          <w:rFonts w:ascii="仿宋" w:eastAsia="仿宋" w:hAnsi="仿宋"/>
          <w:sz w:val="28"/>
          <w:szCs w:val="28"/>
        </w:rPr>
        <w:t>□适用</w:t>
      </w:r>
      <w:r w:rsidR="0042353C">
        <w:rPr>
          <w:rFonts w:ascii="仿宋" w:eastAsia="仿宋" w:hAnsi="仿宋" w:hint="eastAsia"/>
          <w:sz w:val="28"/>
          <w:szCs w:val="28"/>
        </w:rPr>
        <w:t xml:space="preserve"> </w:t>
      </w:r>
      <w:r w:rsidRPr="0042353C">
        <w:rPr>
          <w:rFonts w:ascii="仿宋" w:eastAsia="仿宋" w:hAnsi="仿宋"/>
          <w:sz w:val="28"/>
          <w:szCs w:val="28"/>
        </w:rPr>
        <w:t xml:space="preserve"> </w:t>
      </w:r>
      <w:r w:rsidRPr="0042353C">
        <w:rPr>
          <w:rFonts w:ascii="仿宋" w:eastAsia="仿宋" w:hAnsi="仿宋"/>
          <w:sz w:val="28"/>
          <w:szCs w:val="28"/>
        </w:rPr>
        <w:sym w:font="Wingdings 2" w:char="F052"/>
      </w:r>
      <w:r w:rsidRPr="0042353C">
        <w:rPr>
          <w:rFonts w:ascii="仿宋" w:eastAsia="仿宋" w:hAnsi="仿宋"/>
          <w:sz w:val="28"/>
          <w:szCs w:val="28"/>
        </w:rPr>
        <w:t>不适用</w:t>
      </w:r>
    </w:p>
    <w:p w:rsidR="0042353C" w:rsidRDefault="0042353C" w:rsidP="0042353C">
      <w:pPr>
        <w:pStyle w:val="a3"/>
        <w:widowControl w:val="0"/>
        <w:spacing w:before="0" w:beforeAutospacing="0" w:after="0" w:afterAutospacing="0" w:line="560" w:lineRule="exact"/>
        <w:ind w:firstLine="480"/>
        <w:jc w:val="both"/>
        <w:rPr>
          <w:rFonts w:ascii="仿宋" w:eastAsia="仿宋" w:hAnsi="仿宋"/>
          <w:sz w:val="28"/>
          <w:szCs w:val="28"/>
        </w:rPr>
      </w:pPr>
    </w:p>
    <w:p w:rsidR="002C22E7" w:rsidRPr="002C22E7" w:rsidRDefault="002C22E7" w:rsidP="0042353C">
      <w:pPr>
        <w:pStyle w:val="a3"/>
        <w:widowControl w:val="0"/>
        <w:spacing w:before="0" w:beforeAutospacing="0" w:after="0" w:afterAutospacing="0" w:line="560" w:lineRule="exact"/>
        <w:ind w:firstLine="480"/>
        <w:jc w:val="both"/>
        <w:rPr>
          <w:rFonts w:ascii="仿宋" w:eastAsia="仿宋" w:hAnsi="仿宋"/>
          <w:sz w:val="28"/>
          <w:szCs w:val="28"/>
        </w:rPr>
      </w:pPr>
    </w:p>
    <w:p w:rsidR="0042353C" w:rsidRPr="00F2670C" w:rsidRDefault="0042353C" w:rsidP="0042353C">
      <w:pPr>
        <w:autoSpaceDE w:val="0"/>
        <w:autoSpaceDN w:val="0"/>
        <w:adjustRightInd w:val="0"/>
        <w:ind w:firstLineChars="400" w:firstLine="1124"/>
        <w:rPr>
          <w:rFonts w:ascii="仿宋" w:eastAsia="仿宋" w:hAnsi="仿宋"/>
          <w:sz w:val="28"/>
          <w:szCs w:val="28"/>
        </w:rPr>
      </w:pPr>
      <w:r>
        <w:rPr>
          <w:rFonts w:ascii="宋体" w:hAnsi="宋体" w:cs="宋体" w:hint="eastAsia"/>
          <w:b/>
          <w:kern w:val="0"/>
          <w:sz w:val="28"/>
          <w:szCs w:val="24"/>
          <w:lang w:val="zh-CN"/>
        </w:rPr>
        <w:t>法定代表人</w:t>
      </w:r>
      <w:r>
        <w:rPr>
          <w:rFonts w:ascii="宋体" w:hAnsi="宋体" w:cs="宋体" w:hint="eastAsia"/>
          <w:b/>
          <w:kern w:val="0"/>
          <w:sz w:val="28"/>
          <w:szCs w:val="24"/>
        </w:rPr>
        <w:t>：</w:t>
      </w:r>
      <w:r w:rsidRPr="008370DA">
        <w:rPr>
          <w:rFonts w:eastAsia="Times New Roman"/>
          <w:kern w:val="0"/>
          <w:sz w:val="28"/>
          <w:szCs w:val="24"/>
        </w:rPr>
        <w:t xml:space="preserve"> </w:t>
      </w:r>
      <w:r w:rsidRPr="00F2670C">
        <w:rPr>
          <w:rFonts w:ascii="仿宋" w:eastAsia="仿宋" w:hAnsi="仿宋" w:hint="eastAsia"/>
          <w:sz w:val="28"/>
          <w:szCs w:val="28"/>
        </w:rPr>
        <w:t xml:space="preserve">黄 </w:t>
      </w:r>
      <w:r w:rsidR="00D272FB">
        <w:rPr>
          <w:rFonts w:ascii="仿宋" w:eastAsia="仿宋" w:hAnsi="仿宋" w:hint="eastAsia"/>
          <w:sz w:val="28"/>
          <w:szCs w:val="28"/>
        </w:rPr>
        <w:t xml:space="preserve"> </w:t>
      </w:r>
      <w:r w:rsidRPr="00F2670C">
        <w:rPr>
          <w:rFonts w:ascii="仿宋" w:eastAsia="仿宋" w:hAnsi="仿宋" w:hint="eastAsia"/>
          <w:sz w:val="28"/>
          <w:szCs w:val="28"/>
        </w:rPr>
        <w:t>克</w:t>
      </w:r>
    </w:p>
    <w:p w:rsidR="0042353C" w:rsidRDefault="0042353C" w:rsidP="0042353C">
      <w:pPr>
        <w:snapToGrid w:val="0"/>
        <w:spacing w:line="560" w:lineRule="exact"/>
        <w:ind w:right="140" w:firstLineChars="200" w:firstLine="560"/>
        <w:jc w:val="right"/>
        <w:rPr>
          <w:rFonts w:ascii="仿宋" w:eastAsia="仿宋" w:hAnsi="仿宋"/>
          <w:sz w:val="28"/>
          <w:szCs w:val="28"/>
        </w:rPr>
      </w:pPr>
    </w:p>
    <w:p w:rsidR="0042353C" w:rsidRDefault="0042353C" w:rsidP="0042353C">
      <w:pPr>
        <w:snapToGrid w:val="0"/>
        <w:spacing w:line="560" w:lineRule="exact"/>
        <w:ind w:right="140" w:firstLineChars="200" w:firstLine="560"/>
        <w:jc w:val="right"/>
        <w:rPr>
          <w:rFonts w:ascii="仿宋" w:eastAsia="仿宋" w:hAnsi="仿宋"/>
          <w:sz w:val="28"/>
          <w:szCs w:val="28"/>
        </w:rPr>
      </w:pPr>
    </w:p>
    <w:p w:rsidR="002C22E7" w:rsidRDefault="002C22E7" w:rsidP="0042353C">
      <w:pPr>
        <w:snapToGrid w:val="0"/>
        <w:spacing w:line="560" w:lineRule="exact"/>
        <w:ind w:right="140" w:firstLineChars="200" w:firstLine="560"/>
        <w:jc w:val="right"/>
        <w:rPr>
          <w:rFonts w:ascii="仿宋" w:eastAsia="仿宋" w:hAnsi="仿宋"/>
          <w:sz w:val="28"/>
          <w:szCs w:val="28"/>
        </w:rPr>
      </w:pPr>
    </w:p>
    <w:p w:rsidR="0042353C" w:rsidRDefault="0042353C" w:rsidP="0042353C">
      <w:pPr>
        <w:snapToGrid w:val="0"/>
        <w:spacing w:line="560" w:lineRule="exact"/>
        <w:ind w:right="140" w:firstLineChars="200" w:firstLine="560"/>
        <w:jc w:val="right"/>
        <w:rPr>
          <w:rFonts w:ascii="仿宋" w:eastAsia="仿宋" w:hAnsi="仿宋"/>
          <w:sz w:val="28"/>
          <w:szCs w:val="28"/>
        </w:rPr>
      </w:pPr>
      <w:r>
        <w:rPr>
          <w:rFonts w:ascii="仿宋" w:eastAsia="仿宋" w:hAnsi="仿宋" w:hint="eastAsia"/>
          <w:sz w:val="28"/>
          <w:szCs w:val="28"/>
        </w:rPr>
        <w:t>广东甘化科工股份有限公司董事会</w:t>
      </w:r>
    </w:p>
    <w:p w:rsidR="0042353C" w:rsidRDefault="0042353C" w:rsidP="0042353C">
      <w:pPr>
        <w:snapToGrid w:val="0"/>
        <w:spacing w:line="560" w:lineRule="exact"/>
        <w:ind w:right="700" w:firstLineChars="200" w:firstLine="560"/>
        <w:jc w:val="center"/>
        <w:rPr>
          <w:rFonts w:ascii="仿宋" w:eastAsia="仿宋" w:hAnsi="仿宋"/>
          <w:sz w:val="28"/>
          <w:szCs w:val="28"/>
        </w:rPr>
      </w:pPr>
      <w:r>
        <w:rPr>
          <w:rFonts w:ascii="仿宋" w:eastAsia="仿宋" w:hAnsi="仿宋" w:hint="eastAsia"/>
          <w:sz w:val="28"/>
          <w:szCs w:val="28"/>
        </w:rPr>
        <w:t xml:space="preserve">                                 二〇二三年八月二十四日</w:t>
      </w:r>
    </w:p>
    <w:p w:rsidR="0042353C" w:rsidRDefault="0042353C" w:rsidP="0042353C">
      <w:pPr>
        <w:autoSpaceDE w:val="0"/>
        <w:autoSpaceDN w:val="0"/>
        <w:adjustRightInd w:val="0"/>
        <w:ind w:firstLineChars="400" w:firstLine="1120"/>
        <w:rPr>
          <w:rFonts w:ascii="仿宋" w:eastAsia="仿宋" w:hAnsi="仿宋"/>
          <w:sz w:val="28"/>
          <w:szCs w:val="28"/>
        </w:rPr>
      </w:pPr>
    </w:p>
    <w:sectPr w:rsidR="0042353C" w:rsidSect="00DF77DD">
      <w:pgSz w:w="11905" w:h="16840"/>
      <w:pgMar w:top="1440" w:right="1134" w:bottom="1440" w:left="1134" w:header="850"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D0F" w:rsidRDefault="004A1D0F" w:rsidP="00B13593">
      <w:r>
        <w:separator/>
      </w:r>
    </w:p>
  </w:endnote>
  <w:endnote w:type="continuationSeparator" w:id="0">
    <w:p w:rsidR="004A1D0F" w:rsidRDefault="004A1D0F" w:rsidP="00B135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79810"/>
      <w:docPartObj>
        <w:docPartGallery w:val="Page Numbers (Bottom of Page)"/>
        <w:docPartUnique/>
      </w:docPartObj>
    </w:sdtPr>
    <w:sdtContent>
      <w:p w:rsidR="008B420D" w:rsidRDefault="00A7088E">
        <w:pPr>
          <w:pStyle w:val="a7"/>
          <w:jc w:val="center"/>
        </w:pPr>
        <w:r w:rsidRPr="00A7088E">
          <w:fldChar w:fldCharType="begin"/>
        </w:r>
        <w:r w:rsidR="008B420D">
          <w:instrText xml:space="preserve"> PAGE   \* MERGEFORMAT </w:instrText>
        </w:r>
        <w:r w:rsidRPr="00A7088E">
          <w:fldChar w:fldCharType="separate"/>
        </w:r>
        <w:r w:rsidR="0063261C" w:rsidRPr="0063261C">
          <w:rPr>
            <w:noProof/>
            <w:lang w:val="zh-CN"/>
          </w:rPr>
          <w:t>164</w:t>
        </w:r>
        <w:r>
          <w:rPr>
            <w:noProof/>
            <w:lang w:val="zh-CN"/>
          </w:rPr>
          <w:fldChar w:fldCharType="end"/>
        </w:r>
      </w:p>
    </w:sdtContent>
  </w:sdt>
  <w:p w:rsidR="008B420D" w:rsidRDefault="008B420D">
    <w:pPr>
      <w:pStyle w:val="fot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D0F" w:rsidRDefault="004A1D0F" w:rsidP="00B13593">
      <w:r>
        <w:separator/>
      </w:r>
    </w:p>
  </w:footnote>
  <w:footnote w:type="continuationSeparator" w:id="0">
    <w:p w:rsidR="004A1D0F" w:rsidRDefault="004A1D0F" w:rsidP="00B13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0D" w:rsidRDefault="008B420D">
    <w:pPr>
      <w:pStyle w:val="Header1"/>
      <w:pBdr>
        <w:bottom w:val="single" w:sz="6" w:space="1" w:color="auto"/>
      </w:pBdr>
    </w:pPr>
    <w:r>
      <w:t>广东甘化科工股份有限公司2023年半年度报告全文</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useFELayout/>
  </w:compat>
  <w:rsids>
    <w:rsidRoot w:val="00B13593"/>
    <w:rsid w:val="00021E26"/>
    <w:rsid w:val="00054B06"/>
    <w:rsid w:val="00075E18"/>
    <w:rsid w:val="00076208"/>
    <w:rsid w:val="000A3194"/>
    <w:rsid w:val="000B2DAF"/>
    <w:rsid w:val="000B369C"/>
    <w:rsid w:val="000C1BED"/>
    <w:rsid w:val="000F2F8A"/>
    <w:rsid w:val="000F3CD1"/>
    <w:rsid w:val="001166E3"/>
    <w:rsid w:val="00121252"/>
    <w:rsid w:val="00130A6C"/>
    <w:rsid w:val="0013106D"/>
    <w:rsid w:val="00131330"/>
    <w:rsid w:val="0013339A"/>
    <w:rsid w:val="00162554"/>
    <w:rsid w:val="001650F7"/>
    <w:rsid w:val="00167391"/>
    <w:rsid w:val="001C1520"/>
    <w:rsid w:val="001C4FC3"/>
    <w:rsid w:val="001C6A30"/>
    <w:rsid w:val="001C7A81"/>
    <w:rsid w:val="001D4EF4"/>
    <w:rsid w:val="001E5987"/>
    <w:rsid w:val="00213027"/>
    <w:rsid w:val="00270DD9"/>
    <w:rsid w:val="002805B4"/>
    <w:rsid w:val="00284489"/>
    <w:rsid w:val="002A0837"/>
    <w:rsid w:val="002C22E7"/>
    <w:rsid w:val="002C688A"/>
    <w:rsid w:val="002D3A47"/>
    <w:rsid w:val="002D7E8F"/>
    <w:rsid w:val="002E342F"/>
    <w:rsid w:val="002E39AD"/>
    <w:rsid w:val="002E4EF4"/>
    <w:rsid w:val="003056A7"/>
    <w:rsid w:val="003248AD"/>
    <w:rsid w:val="00347B31"/>
    <w:rsid w:val="0036295D"/>
    <w:rsid w:val="003B729E"/>
    <w:rsid w:val="003D3002"/>
    <w:rsid w:val="003E03C5"/>
    <w:rsid w:val="00401672"/>
    <w:rsid w:val="00403C9D"/>
    <w:rsid w:val="00403D7E"/>
    <w:rsid w:val="00420EE3"/>
    <w:rsid w:val="00421C7D"/>
    <w:rsid w:val="0042353C"/>
    <w:rsid w:val="004308B8"/>
    <w:rsid w:val="004369B8"/>
    <w:rsid w:val="00442F6E"/>
    <w:rsid w:val="00451EE5"/>
    <w:rsid w:val="0045490F"/>
    <w:rsid w:val="004563E3"/>
    <w:rsid w:val="00475D0F"/>
    <w:rsid w:val="00485536"/>
    <w:rsid w:val="004A1D0F"/>
    <w:rsid w:val="004C3D6D"/>
    <w:rsid w:val="004D0E35"/>
    <w:rsid w:val="004F34C9"/>
    <w:rsid w:val="004F4878"/>
    <w:rsid w:val="00500ED9"/>
    <w:rsid w:val="00526383"/>
    <w:rsid w:val="005339F9"/>
    <w:rsid w:val="005404AF"/>
    <w:rsid w:val="005859ED"/>
    <w:rsid w:val="00595C4E"/>
    <w:rsid w:val="005B23B7"/>
    <w:rsid w:val="005B2777"/>
    <w:rsid w:val="005B56C6"/>
    <w:rsid w:val="005C50EF"/>
    <w:rsid w:val="005D6FAB"/>
    <w:rsid w:val="005D7EA8"/>
    <w:rsid w:val="00620665"/>
    <w:rsid w:val="00622769"/>
    <w:rsid w:val="0063261C"/>
    <w:rsid w:val="00646D1B"/>
    <w:rsid w:val="006565C4"/>
    <w:rsid w:val="006620E3"/>
    <w:rsid w:val="00670541"/>
    <w:rsid w:val="006729AC"/>
    <w:rsid w:val="00681467"/>
    <w:rsid w:val="006815ED"/>
    <w:rsid w:val="006917D1"/>
    <w:rsid w:val="0069695C"/>
    <w:rsid w:val="006B2033"/>
    <w:rsid w:val="006B7DF4"/>
    <w:rsid w:val="006D2ACB"/>
    <w:rsid w:val="006E7405"/>
    <w:rsid w:val="006F2C00"/>
    <w:rsid w:val="006F3A16"/>
    <w:rsid w:val="00705C45"/>
    <w:rsid w:val="00711DB2"/>
    <w:rsid w:val="00712E09"/>
    <w:rsid w:val="00714BD8"/>
    <w:rsid w:val="00714E16"/>
    <w:rsid w:val="00717233"/>
    <w:rsid w:val="007352C4"/>
    <w:rsid w:val="00740EA7"/>
    <w:rsid w:val="00741379"/>
    <w:rsid w:val="00791288"/>
    <w:rsid w:val="007C4B1C"/>
    <w:rsid w:val="007E63B1"/>
    <w:rsid w:val="007F5A5A"/>
    <w:rsid w:val="007F6CC3"/>
    <w:rsid w:val="00801C59"/>
    <w:rsid w:val="008056D9"/>
    <w:rsid w:val="0081012C"/>
    <w:rsid w:val="00812EA2"/>
    <w:rsid w:val="008456FE"/>
    <w:rsid w:val="008458FF"/>
    <w:rsid w:val="00846729"/>
    <w:rsid w:val="0086072F"/>
    <w:rsid w:val="00876E1F"/>
    <w:rsid w:val="0088784C"/>
    <w:rsid w:val="00891183"/>
    <w:rsid w:val="008A1168"/>
    <w:rsid w:val="008B1188"/>
    <w:rsid w:val="008B420D"/>
    <w:rsid w:val="008B60FC"/>
    <w:rsid w:val="008B66FB"/>
    <w:rsid w:val="008D0AD1"/>
    <w:rsid w:val="008D136D"/>
    <w:rsid w:val="008D7FE1"/>
    <w:rsid w:val="008E03E9"/>
    <w:rsid w:val="009032E8"/>
    <w:rsid w:val="0090763F"/>
    <w:rsid w:val="00937A2D"/>
    <w:rsid w:val="0094642A"/>
    <w:rsid w:val="00964D12"/>
    <w:rsid w:val="00966497"/>
    <w:rsid w:val="009870DE"/>
    <w:rsid w:val="009937C0"/>
    <w:rsid w:val="00996D5F"/>
    <w:rsid w:val="009A14ED"/>
    <w:rsid w:val="009A1AB8"/>
    <w:rsid w:val="009B22BB"/>
    <w:rsid w:val="009B7CD0"/>
    <w:rsid w:val="009D4540"/>
    <w:rsid w:val="009F7711"/>
    <w:rsid w:val="00A02D1E"/>
    <w:rsid w:val="00A2603C"/>
    <w:rsid w:val="00A27D9D"/>
    <w:rsid w:val="00A4258B"/>
    <w:rsid w:val="00A46EBD"/>
    <w:rsid w:val="00A60866"/>
    <w:rsid w:val="00A65A49"/>
    <w:rsid w:val="00A66407"/>
    <w:rsid w:val="00A702C8"/>
    <w:rsid w:val="00A7088E"/>
    <w:rsid w:val="00A838A0"/>
    <w:rsid w:val="00AB2601"/>
    <w:rsid w:val="00AE1493"/>
    <w:rsid w:val="00AE3180"/>
    <w:rsid w:val="00B074BC"/>
    <w:rsid w:val="00B13593"/>
    <w:rsid w:val="00B13F8C"/>
    <w:rsid w:val="00B35101"/>
    <w:rsid w:val="00B54771"/>
    <w:rsid w:val="00B63938"/>
    <w:rsid w:val="00B72E04"/>
    <w:rsid w:val="00B742A4"/>
    <w:rsid w:val="00B8235E"/>
    <w:rsid w:val="00BA0A17"/>
    <w:rsid w:val="00BC1314"/>
    <w:rsid w:val="00BC7035"/>
    <w:rsid w:val="00BF6C38"/>
    <w:rsid w:val="00C652FE"/>
    <w:rsid w:val="00C742FF"/>
    <w:rsid w:val="00C87517"/>
    <w:rsid w:val="00CB30C5"/>
    <w:rsid w:val="00CD6CC1"/>
    <w:rsid w:val="00CE36A1"/>
    <w:rsid w:val="00CF65E6"/>
    <w:rsid w:val="00CF67AE"/>
    <w:rsid w:val="00D10696"/>
    <w:rsid w:val="00D272FB"/>
    <w:rsid w:val="00D3128B"/>
    <w:rsid w:val="00D47A35"/>
    <w:rsid w:val="00D71E8E"/>
    <w:rsid w:val="00D857D0"/>
    <w:rsid w:val="00D9569D"/>
    <w:rsid w:val="00DA67FD"/>
    <w:rsid w:val="00DB0E26"/>
    <w:rsid w:val="00DB1928"/>
    <w:rsid w:val="00DC03A4"/>
    <w:rsid w:val="00DD4CC2"/>
    <w:rsid w:val="00DE181D"/>
    <w:rsid w:val="00DE1FC4"/>
    <w:rsid w:val="00DE41C5"/>
    <w:rsid w:val="00DF1965"/>
    <w:rsid w:val="00DF44DC"/>
    <w:rsid w:val="00DF4EBA"/>
    <w:rsid w:val="00DF77DD"/>
    <w:rsid w:val="00E152AF"/>
    <w:rsid w:val="00E345F7"/>
    <w:rsid w:val="00E57F43"/>
    <w:rsid w:val="00E604DF"/>
    <w:rsid w:val="00E7366C"/>
    <w:rsid w:val="00E76791"/>
    <w:rsid w:val="00E80BEC"/>
    <w:rsid w:val="00E86241"/>
    <w:rsid w:val="00E91397"/>
    <w:rsid w:val="00EB1463"/>
    <w:rsid w:val="00EC0D5D"/>
    <w:rsid w:val="00EC1B82"/>
    <w:rsid w:val="00EF18CE"/>
    <w:rsid w:val="00EF1FB2"/>
    <w:rsid w:val="00F00017"/>
    <w:rsid w:val="00F04695"/>
    <w:rsid w:val="00F06150"/>
    <w:rsid w:val="00F109A3"/>
    <w:rsid w:val="00F15A70"/>
    <w:rsid w:val="00F17CD5"/>
    <w:rsid w:val="00F226FC"/>
    <w:rsid w:val="00F243FF"/>
    <w:rsid w:val="00F40BA3"/>
    <w:rsid w:val="00F5200D"/>
    <w:rsid w:val="00F54AC2"/>
    <w:rsid w:val="00F66490"/>
    <w:rsid w:val="00FB41E2"/>
    <w:rsid w:val="00FC5983"/>
    <w:rsid w:val="00FC7E12"/>
    <w:rsid w:val="00FE3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93"/>
    <w:pPr>
      <w:widowControl w:val="0"/>
    </w:pPr>
  </w:style>
  <w:style w:type="paragraph" w:styleId="2">
    <w:name w:val="heading 2"/>
    <w:basedOn w:val="a"/>
    <w:next w:val="a"/>
    <w:uiPriority w:val="9"/>
    <w:unhideWhenUsed/>
    <w:qFormat/>
    <w:rsid w:val="00B13593"/>
    <w:pPr>
      <w:keepNext/>
      <w:keepLines/>
      <w:spacing w:before="156" w:after="156"/>
      <w:outlineLvl w:val="1"/>
    </w:pPr>
    <w:rPr>
      <w:szCs w:val="21"/>
    </w:rPr>
  </w:style>
  <w:style w:type="paragraph" w:styleId="3">
    <w:name w:val="heading 3"/>
    <w:basedOn w:val="a"/>
    <w:next w:val="a"/>
    <w:link w:val="3Char"/>
    <w:uiPriority w:val="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B13593"/>
    <w:pPr>
      <w:jc w:val="right"/>
    </w:pPr>
    <w:rPr>
      <w:rFonts w:ascii="宋体" w:eastAsia="宋体"/>
      <w:sz w:val="18"/>
      <w:szCs w:val="18"/>
    </w:rPr>
  </w:style>
  <w:style w:type="paragraph" w:customStyle="1" w:styleId="headingh1">
    <w:name w:val="heading h1"/>
    <w:basedOn w:val="a"/>
    <w:next w:val="a"/>
    <w:uiPriority w:val="9"/>
    <w:qFormat/>
    <w:rsid w:val="00B13593"/>
    <w:pPr>
      <w:keepNext/>
      <w:keepLines/>
      <w:spacing w:before="240" w:after="240" w:line="578" w:lineRule="auto"/>
      <w:outlineLvl w:val="0"/>
    </w:pPr>
    <w:rPr>
      <w:kern w:val="44"/>
      <w:sz w:val="44"/>
      <w:szCs w:val="44"/>
    </w:rPr>
  </w:style>
  <w:style w:type="paragraph" w:customStyle="1" w:styleId="fotter1">
    <w:name w:val="fotter 1"/>
    <w:rsid w:val="00B13593"/>
    <w:pPr>
      <w:jc w:val="right"/>
    </w:pPr>
    <w:rPr>
      <w:rFonts w:ascii="宋体" w:eastAsia="宋体"/>
      <w:sz w:val="18"/>
      <w:szCs w:val="18"/>
    </w:rPr>
  </w:style>
  <w:style w:type="paragraph" w:styleId="1">
    <w:name w:val="toc 1"/>
    <w:basedOn w:val="a"/>
    <w:next w:val="a"/>
    <w:autoRedefine/>
    <w:uiPriority w:val="39"/>
    <w:rsid w:val="00B13593"/>
  </w:style>
  <w:style w:type="paragraph" w:styleId="20">
    <w:name w:val="toc 2"/>
    <w:basedOn w:val="a"/>
    <w:next w:val="a"/>
    <w:autoRedefine/>
    <w:uiPriority w:val="39"/>
    <w:unhideWhenUsed/>
    <w:rsid w:val="00B13593"/>
    <w:pPr>
      <w:ind w:leftChars="200" w:left="420"/>
    </w:pPr>
  </w:style>
  <w:style w:type="paragraph" w:styleId="a3">
    <w:name w:val="Normal (Web)"/>
    <w:basedOn w:val="a"/>
    <w:uiPriority w:val="99"/>
    <w:unhideWhenUsed/>
    <w:rsid w:val="00B13593"/>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B13593"/>
    <w:rPr>
      <w:b/>
      <w:bCs/>
    </w:rPr>
  </w:style>
  <w:style w:type="character" w:styleId="a5">
    <w:name w:val="Hyperlink"/>
    <w:basedOn w:val="a0"/>
    <w:uiPriority w:val="99"/>
    <w:unhideWhenUsed/>
    <w:rsid w:val="00B13593"/>
    <w:rPr>
      <w:color w:val="0000FF"/>
      <w:u w:val="single"/>
    </w:rPr>
  </w:style>
  <w:style w:type="character" w:customStyle="1" w:styleId="3Char">
    <w:name w:val="标题 3 Char"/>
    <w:basedOn w:val="a0"/>
    <w:link w:val="3"/>
    <w:uiPriority w:val="9"/>
    <w:rsid w:val="00B13593"/>
    <w:rPr>
      <w:rFonts w:eastAsia="宋体"/>
      <w:szCs w:val="21"/>
    </w:rPr>
  </w:style>
  <w:style w:type="paragraph" w:styleId="a6">
    <w:name w:val="header"/>
    <w:basedOn w:val="a"/>
    <w:link w:val="Char"/>
    <w:uiPriority w:val="99"/>
    <w:unhideWhenUsed/>
    <w:rsid w:val="00C65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652FE"/>
    <w:rPr>
      <w:sz w:val="18"/>
      <w:szCs w:val="18"/>
    </w:rPr>
  </w:style>
  <w:style w:type="paragraph" w:styleId="a7">
    <w:name w:val="footer"/>
    <w:basedOn w:val="a"/>
    <w:link w:val="Char0"/>
    <w:uiPriority w:val="99"/>
    <w:unhideWhenUsed/>
    <w:rsid w:val="00C652FE"/>
    <w:pPr>
      <w:tabs>
        <w:tab w:val="center" w:pos="4153"/>
        <w:tab w:val="right" w:pos="8306"/>
      </w:tabs>
      <w:snapToGrid w:val="0"/>
    </w:pPr>
    <w:rPr>
      <w:sz w:val="18"/>
      <w:szCs w:val="18"/>
    </w:rPr>
  </w:style>
  <w:style w:type="character" w:customStyle="1" w:styleId="Char0">
    <w:name w:val="页脚 Char"/>
    <w:basedOn w:val="a0"/>
    <w:link w:val="a7"/>
    <w:uiPriority w:val="99"/>
    <w:rsid w:val="00C652FE"/>
    <w:rPr>
      <w:sz w:val="18"/>
      <w:szCs w:val="18"/>
    </w:rPr>
  </w:style>
  <w:style w:type="paragraph" w:styleId="a8">
    <w:name w:val="Balloon Text"/>
    <w:basedOn w:val="a"/>
    <w:link w:val="Char1"/>
    <w:uiPriority w:val="99"/>
    <w:semiHidden/>
    <w:unhideWhenUsed/>
    <w:rsid w:val="00C652FE"/>
    <w:rPr>
      <w:sz w:val="18"/>
      <w:szCs w:val="18"/>
    </w:rPr>
  </w:style>
  <w:style w:type="character" w:customStyle="1" w:styleId="Char1">
    <w:name w:val="批注框文本 Char"/>
    <w:basedOn w:val="a0"/>
    <w:link w:val="a8"/>
    <w:uiPriority w:val="99"/>
    <w:semiHidden/>
    <w:rsid w:val="00C652FE"/>
    <w:rPr>
      <w:sz w:val="18"/>
      <w:szCs w:val="18"/>
    </w:rPr>
  </w:style>
  <w:style w:type="character" w:styleId="a9">
    <w:name w:val="annotation reference"/>
    <w:basedOn w:val="a0"/>
    <w:uiPriority w:val="99"/>
    <w:semiHidden/>
    <w:unhideWhenUsed/>
    <w:rsid w:val="00620665"/>
    <w:rPr>
      <w:sz w:val="21"/>
      <w:szCs w:val="21"/>
    </w:rPr>
  </w:style>
  <w:style w:type="paragraph" w:styleId="aa">
    <w:name w:val="annotation text"/>
    <w:basedOn w:val="a"/>
    <w:link w:val="Char2"/>
    <w:uiPriority w:val="99"/>
    <w:semiHidden/>
    <w:unhideWhenUsed/>
    <w:rsid w:val="00620665"/>
  </w:style>
  <w:style w:type="character" w:customStyle="1" w:styleId="Char2">
    <w:name w:val="批注文字 Char"/>
    <w:basedOn w:val="a0"/>
    <w:link w:val="aa"/>
    <w:uiPriority w:val="99"/>
    <w:semiHidden/>
    <w:rsid w:val="00620665"/>
  </w:style>
  <w:style w:type="paragraph" w:styleId="ab">
    <w:name w:val="annotation subject"/>
    <w:basedOn w:val="aa"/>
    <w:next w:val="aa"/>
    <w:link w:val="Char3"/>
    <w:uiPriority w:val="99"/>
    <w:semiHidden/>
    <w:unhideWhenUsed/>
    <w:rsid w:val="00620665"/>
    <w:rPr>
      <w:b/>
      <w:bCs/>
    </w:rPr>
  </w:style>
  <w:style w:type="character" w:customStyle="1" w:styleId="Char3">
    <w:name w:val="批注主题 Char"/>
    <w:basedOn w:val="Char2"/>
    <w:link w:val="ab"/>
    <w:uiPriority w:val="99"/>
    <w:semiHidden/>
    <w:rsid w:val="00620665"/>
    <w:rPr>
      <w:b/>
      <w:bCs/>
    </w:rPr>
  </w:style>
  <w:style w:type="paragraph" w:customStyle="1" w:styleId="Section">
    <w:name w:val="Section"/>
    <w:next w:val="a"/>
    <w:uiPriority w:val="99"/>
    <w:rsid w:val="00FE3ECA"/>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c">
    <w:name w:val="List Paragraph"/>
    <w:basedOn w:val="a"/>
    <w:uiPriority w:val="34"/>
    <w:qFormat/>
    <w:rsid w:val="00FE3ECA"/>
    <w:pPr>
      <w:ind w:firstLineChars="200" w:firstLine="420"/>
      <w:jc w:val="both"/>
    </w:pPr>
  </w:style>
</w:styles>
</file>

<file path=word/webSettings.xml><?xml version="1.0" encoding="utf-8"?>
<w:webSettings xmlns:r="http://schemas.openxmlformats.org/officeDocument/2006/relationships" xmlns:w="http://schemas.openxmlformats.org/wordprocessingml/2006/main">
  <w:divs>
    <w:div w:id="33041537">
      <w:bodyDiv w:val="1"/>
      <w:marLeft w:val="0"/>
      <w:marRight w:val="0"/>
      <w:marTop w:val="0"/>
      <w:marBottom w:val="0"/>
      <w:divBdr>
        <w:top w:val="none" w:sz="0" w:space="0" w:color="auto"/>
        <w:left w:val="none" w:sz="0" w:space="0" w:color="auto"/>
        <w:bottom w:val="none" w:sz="0" w:space="0" w:color="auto"/>
        <w:right w:val="none" w:sz="0" w:space="0" w:color="auto"/>
      </w:divBdr>
    </w:div>
    <w:div w:id="39864215">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82531441">
      <w:bodyDiv w:val="1"/>
      <w:marLeft w:val="0"/>
      <w:marRight w:val="0"/>
      <w:marTop w:val="0"/>
      <w:marBottom w:val="0"/>
      <w:divBdr>
        <w:top w:val="none" w:sz="0" w:space="0" w:color="auto"/>
        <w:left w:val="none" w:sz="0" w:space="0" w:color="auto"/>
        <w:bottom w:val="none" w:sz="0" w:space="0" w:color="auto"/>
        <w:right w:val="none" w:sz="0" w:space="0" w:color="auto"/>
      </w:divBdr>
    </w:div>
    <w:div w:id="135534416">
      <w:bodyDiv w:val="1"/>
      <w:marLeft w:val="0"/>
      <w:marRight w:val="0"/>
      <w:marTop w:val="0"/>
      <w:marBottom w:val="0"/>
      <w:divBdr>
        <w:top w:val="none" w:sz="0" w:space="0" w:color="auto"/>
        <w:left w:val="none" w:sz="0" w:space="0" w:color="auto"/>
        <w:bottom w:val="none" w:sz="0" w:space="0" w:color="auto"/>
        <w:right w:val="none" w:sz="0" w:space="0" w:color="auto"/>
      </w:divBdr>
    </w:div>
    <w:div w:id="137190988">
      <w:bodyDiv w:val="1"/>
      <w:marLeft w:val="0"/>
      <w:marRight w:val="0"/>
      <w:marTop w:val="0"/>
      <w:marBottom w:val="0"/>
      <w:divBdr>
        <w:top w:val="none" w:sz="0" w:space="0" w:color="auto"/>
        <w:left w:val="none" w:sz="0" w:space="0" w:color="auto"/>
        <w:bottom w:val="none" w:sz="0" w:space="0" w:color="auto"/>
        <w:right w:val="none" w:sz="0" w:space="0" w:color="auto"/>
      </w:divBdr>
    </w:div>
    <w:div w:id="139425637">
      <w:bodyDiv w:val="1"/>
      <w:marLeft w:val="0"/>
      <w:marRight w:val="0"/>
      <w:marTop w:val="0"/>
      <w:marBottom w:val="0"/>
      <w:divBdr>
        <w:top w:val="none" w:sz="0" w:space="0" w:color="auto"/>
        <w:left w:val="none" w:sz="0" w:space="0" w:color="auto"/>
        <w:bottom w:val="none" w:sz="0" w:space="0" w:color="auto"/>
        <w:right w:val="none" w:sz="0" w:space="0" w:color="auto"/>
      </w:divBdr>
      <w:divsChild>
        <w:div w:id="1547373815">
          <w:marLeft w:val="0"/>
          <w:marRight w:val="0"/>
          <w:marTop w:val="0"/>
          <w:marBottom w:val="0"/>
          <w:divBdr>
            <w:top w:val="none" w:sz="0" w:space="0" w:color="auto"/>
            <w:left w:val="none" w:sz="0" w:space="0" w:color="auto"/>
            <w:bottom w:val="none" w:sz="0" w:space="0" w:color="auto"/>
            <w:right w:val="none" w:sz="0" w:space="0" w:color="auto"/>
          </w:divBdr>
        </w:div>
      </w:divsChild>
    </w:div>
    <w:div w:id="140777502">
      <w:bodyDiv w:val="1"/>
      <w:marLeft w:val="0"/>
      <w:marRight w:val="0"/>
      <w:marTop w:val="0"/>
      <w:marBottom w:val="0"/>
      <w:divBdr>
        <w:top w:val="none" w:sz="0" w:space="0" w:color="auto"/>
        <w:left w:val="none" w:sz="0" w:space="0" w:color="auto"/>
        <w:bottom w:val="none" w:sz="0" w:space="0" w:color="auto"/>
        <w:right w:val="none" w:sz="0" w:space="0" w:color="auto"/>
      </w:divBdr>
    </w:div>
    <w:div w:id="156265013">
      <w:bodyDiv w:val="1"/>
      <w:marLeft w:val="0"/>
      <w:marRight w:val="0"/>
      <w:marTop w:val="0"/>
      <w:marBottom w:val="0"/>
      <w:divBdr>
        <w:top w:val="none" w:sz="0" w:space="0" w:color="auto"/>
        <w:left w:val="none" w:sz="0" w:space="0" w:color="auto"/>
        <w:bottom w:val="none" w:sz="0" w:space="0" w:color="auto"/>
        <w:right w:val="none" w:sz="0" w:space="0" w:color="auto"/>
      </w:divBdr>
    </w:div>
    <w:div w:id="167185554">
      <w:bodyDiv w:val="1"/>
      <w:marLeft w:val="0"/>
      <w:marRight w:val="0"/>
      <w:marTop w:val="0"/>
      <w:marBottom w:val="0"/>
      <w:divBdr>
        <w:top w:val="none" w:sz="0" w:space="0" w:color="auto"/>
        <w:left w:val="none" w:sz="0" w:space="0" w:color="auto"/>
        <w:bottom w:val="none" w:sz="0" w:space="0" w:color="auto"/>
        <w:right w:val="none" w:sz="0" w:space="0" w:color="auto"/>
      </w:divBdr>
    </w:div>
    <w:div w:id="177813452">
      <w:bodyDiv w:val="1"/>
      <w:marLeft w:val="0"/>
      <w:marRight w:val="0"/>
      <w:marTop w:val="0"/>
      <w:marBottom w:val="0"/>
      <w:divBdr>
        <w:top w:val="none" w:sz="0" w:space="0" w:color="auto"/>
        <w:left w:val="none" w:sz="0" w:space="0" w:color="auto"/>
        <w:bottom w:val="none" w:sz="0" w:space="0" w:color="auto"/>
        <w:right w:val="none" w:sz="0" w:space="0" w:color="auto"/>
      </w:divBdr>
    </w:div>
    <w:div w:id="184904188">
      <w:bodyDiv w:val="1"/>
      <w:marLeft w:val="0"/>
      <w:marRight w:val="0"/>
      <w:marTop w:val="0"/>
      <w:marBottom w:val="0"/>
      <w:divBdr>
        <w:top w:val="none" w:sz="0" w:space="0" w:color="auto"/>
        <w:left w:val="none" w:sz="0" w:space="0" w:color="auto"/>
        <w:bottom w:val="none" w:sz="0" w:space="0" w:color="auto"/>
        <w:right w:val="none" w:sz="0" w:space="0" w:color="auto"/>
      </w:divBdr>
    </w:div>
    <w:div w:id="190806268">
      <w:bodyDiv w:val="1"/>
      <w:marLeft w:val="0"/>
      <w:marRight w:val="0"/>
      <w:marTop w:val="0"/>
      <w:marBottom w:val="0"/>
      <w:divBdr>
        <w:top w:val="none" w:sz="0" w:space="0" w:color="auto"/>
        <w:left w:val="none" w:sz="0" w:space="0" w:color="auto"/>
        <w:bottom w:val="none" w:sz="0" w:space="0" w:color="auto"/>
        <w:right w:val="none" w:sz="0" w:space="0" w:color="auto"/>
      </w:divBdr>
    </w:div>
    <w:div w:id="202519569">
      <w:bodyDiv w:val="1"/>
      <w:marLeft w:val="0"/>
      <w:marRight w:val="0"/>
      <w:marTop w:val="0"/>
      <w:marBottom w:val="0"/>
      <w:divBdr>
        <w:top w:val="none" w:sz="0" w:space="0" w:color="auto"/>
        <w:left w:val="none" w:sz="0" w:space="0" w:color="auto"/>
        <w:bottom w:val="none" w:sz="0" w:space="0" w:color="auto"/>
        <w:right w:val="none" w:sz="0" w:space="0" w:color="auto"/>
      </w:divBdr>
    </w:div>
    <w:div w:id="203519175">
      <w:bodyDiv w:val="1"/>
      <w:marLeft w:val="0"/>
      <w:marRight w:val="0"/>
      <w:marTop w:val="0"/>
      <w:marBottom w:val="0"/>
      <w:divBdr>
        <w:top w:val="none" w:sz="0" w:space="0" w:color="auto"/>
        <w:left w:val="none" w:sz="0" w:space="0" w:color="auto"/>
        <w:bottom w:val="none" w:sz="0" w:space="0" w:color="auto"/>
        <w:right w:val="none" w:sz="0" w:space="0" w:color="auto"/>
      </w:divBdr>
    </w:div>
    <w:div w:id="223958127">
      <w:bodyDiv w:val="1"/>
      <w:marLeft w:val="0"/>
      <w:marRight w:val="0"/>
      <w:marTop w:val="0"/>
      <w:marBottom w:val="0"/>
      <w:divBdr>
        <w:top w:val="none" w:sz="0" w:space="0" w:color="auto"/>
        <w:left w:val="none" w:sz="0" w:space="0" w:color="auto"/>
        <w:bottom w:val="none" w:sz="0" w:space="0" w:color="auto"/>
        <w:right w:val="none" w:sz="0" w:space="0" w:color="auto"/>
      </w:divBdr>
    </w:div>
    <w:div w:id="226112742">
      <w:bodyDiv w:val="1"/>
      <w:marLeft w:val="0"/>
      <w:marRight w:val="0"/>
      <w:marTop w:val="0"/>
      <w:marBottom w:val="0"/>
      <w:divBdr>
        <w:top w:val="none" w:sz="0" w:space="0" w:color="auto"/>
        <w:left w:val="none" w:sz="0" w:space="0" w:color="auto"/>
        <w:bottom w:val="none" w:sz="0" w:space="0" w:color="auto"/>
        <w:right w:val="none" w:sz="0" w:space="0" w:color="auto"/>
      </w:divBdr>
    </w:div>
    <w:div w:id="228149347">
      <w:bodyDiv w:val="1"/>
      <w:marLeft w:val="0"/>
      <w:marRight w:val="0"/>
      <w:marTop w:val="0"/>
      <w:marBottom w:val="0"/>
      <w:divBdr>
        <w:top w:val="none" w:sz="0" w:space="0" w:color="auto"/>
        <w:left w:val="none" w:sz="0" w:space="0" w:color="auto"/>
        <w:bottom w:val="none" w:sz="0" w:space="0" w:color="auto"/>
        <w:right w:val="none" w:sz="0" w:space="0" w:color="auto"/>
      </w:divBdr>
    </w:div>
    <w:div w:id="242835014">
      <w:bodyDiv w:val="1"/>
      <w:marLeft w:val="0"/>
      <w:marRight w:val="0"/>
      <w:marTop w:val="0"/>
      <w:marBottom w:val="0"/>
      <w:divBdr>
        <w:top w:val="none" w:sz="0" w:space="0" w:color="auto"/>
        <w:left w:val="none" w:sz="0" w:space="0" w:color="auto"/>
        <w:bottom w:val="none" w:sz="0" w:space="0" w:color="auto"/>
        <w:right w:val="none" w:sz="0" w:space="0" w:color="auto"/>
      </w:divBdr>
    </w:div>
    <w:div w:id="243806321">
      <w:bodyDiv w:val="1"/>
      <w:marLeft w:val="0"/>
      <w:marRight w:val="0"/>
      <w:marTop w:val="0"/>
      <w:marBottom w:val="0"/>
      <w:divBdr>
        <w:top w:val="none" w:sz="0" w:space="0" w:color="auto"/>
        <w:left w:val="none" w:sz="0" w:space="0" w:color="auto"/>
        <w:bottom w:val="none" w:sz="0" w:space="0" w:color="auto"/>
        <w:right w:val="none" w:sz="0" w:space="0" w:color="auto"/>
      </w:divBdr>
    </w:div>
    <w:div w:id="245578782">
      <w:bodyDiv w:val="1"/>
      <w:marLeft w:val="0"/>
      <w:marRight w:val="0"/>
      <w:marTop w:val="0"/>
      <w:marBottom w:val="0"/>
      <w:divBdr>
        <w:top w:val="none" w:sz="0" w:space="0" w:color="auto"/>
        <w:left w:val="none" w:sz="0" w:space="0" w:color="auto"/>
        <w:bottom w:val="none" w:sz="0" w:space="0" w:color="auto"/>
        <w:right w:val="none" w:sz="0" w:space="0" w:color="auto"/>
      </w:divBdr>
    </w:div>
    <w:div w:id="255670851">
      <w:bodyDiv w:val="1"/>
      <w:marLeft w:val="0"/>
      <w:marRight w:val="0"/>
      <w:marTop w:val="0"/>
      <w:marBottom w:val="0"/>
      <w:divBdr>
        <w:top w:val="none" w:sz="0" w:space="0" w:color="auto"/>
        <w:left w:val="none" w:sz="0" w:space="0" w:color="auto"/>
        <w:bottom w:val="none" w:sz="0" w:space="0" w:color="auto"/>
        <w:right w:val="none" w:sz="0" w:space="0" w:color="auto"/>
      </w:divBdr>
    </w:div>
    <w:div w:id="256789364">
      <w:bodyDiv w:val="1"/>
      <w:marLeft w:val="0"/>
      <w:marRight w:val="0"/>
      <w:marTop w:val="0"/>
      <w:marBottom w:val="0"/>
      <w:divBdr>
        <w:top w:val="none" w:sz="0" w:space="0" w:color="auto"/>
        <w:left w:val="none" w:sz="0" w:space="0" w:color="auto"/>
        <w:bottom w:val="none" w:sz="0" w:space="0" w:color="auto"/>
        <w:right w:val="none" w:sz="0" w:space="0" w:color="auto"/>
      </w:divBdr>
    </w:div>
    <w:div w:id="264506658">
      <w:bodyDiv w:val="1"/>
      <w:marLeft w:val="0"/>
      <w:marRight w:val="0"/>
      <w:marTop w:val="0"/>
      <w:marBottom w:val="0"/>
      <w:divBdr>
        <w:top w:val="none" w:sz="0" w:space="0" w:color="auto"/>
        <w:left w:val="none" w:sz="0" w:space="0" w:color="auto"/>
        <w:bottom w:val="none" w:sz="0" w:space="0" w:color="auto"/>
        <w:right w:val="none" w:sz="0" w:space="0" w:color="auto"/>
      </w:divBdr>
    </w:div>
    <w:div w:id="268392971">
      <w:bodyDiv w:val="1"/>
      <w:marLeft w:val="0"/>
      <w:marRight w:val="0"/>
      <w:marTop w:val="0"/>
      <w:marBottom w:val="0"/>
      <w:divBdr>
        <w:top w:val="none" w:sz="0" w:space="0" w:color="auto"/>
        <w:left w:val="none" w:sz="0" w:space="0" w:color="auto"/>
        <w:bottom w:val="none" w:sz="0" w:space="0" w:color="auto"/>
        <w:right w:val="none" w:sz="0" w:space="0" w:color="auto"/>
      </w:divBdr>
    </w:div>
    <w:div w:id="294680873">
      <w:bodyDiv w:val="1"/>
      <w:marLeft w:val="0"/>
      <w:marRight w:val="0"/>
      <w:marTop w:val="0"/>
      <w:marBottom w:val="0"/>
      <w:divBdr>
        <w:top w:val="none" w:sz="0" w:space="0" w:color="auto"/>
        <w:left w:val="none" w:sz="0" w:space="0" w:color="auto"/>
        <w:bottom w:val="none" w:sz="0" w:space="0" w:color="auto"/>
        <w:right w:val="none" w:sz="0" w:space="0" w:color="auto"/>
      </w:divBdr>
    </w:div>
    <w:div w:id="310522574">
      <w:bodyDiv w:val="1"/>
      <w:marLeft w:val="0"/>
      <w:marRight w:val="0"/>
      <w:marTop w:val="0"/>
      <w:marBottom w:val="0"/>
      <w:divBdr>
        <w:top w:val="none" w:sz="0" w:space="0" w:color="auto"/>
        <w:left w:val="none" w:sz="0" w:space="0" w:color="auto"/>
        <w:bottom w:val="none" w:sz="0" w:space="0" w:color="auto"/>
        <w:right w:val="none" w:sz="0" w:space="0" w:color="auto"/>
      </w:divBdr>
    </w:div>
    <w:div w:id="320735286">
      <w:bodyDiv w:val="1"/>
      <w:marLeft w:val="0"/>
      <w:marRight w:val="0"/>
      <w:marTop w:val="0"/>
      <w:marBottom w:val="0"/>
      <w:divBdr>
        <w:top w:val="none" w:sz="0" w:space="0" w:color="auto"/>
        <w:left w:val="none" w:sz="0" w:space="0" w:color="auto"/>
        <w:bottom w:val="none" w:sz="0" w:space="0" w:color="auto"/>
        <w:right w:val="none" w:sz="0" w:space="0" w:color="auto"/>
      </w:divBdr>
    </w:div>
    <w:div w:id="340280127">
      <w:bodyDiv w:val="1"/>
      <w:marLeft w:val="0"/>
      <w:marRight w:val="0"/>
      <w:marTop w:val="0"/>
      <w:marBottom w:val="0"/>
      <w:divBdr>
        <w:top w:val="none" w:sz="0" w:space="0" w:color="auto"/>
        <w:left w:val="none" w:sz="0" w:space="0" w:color="auto"/>
        <w:bottom w:val="none" w:sz="0" w:space="0" w:color="auto"/>
        <w:right w:val="none" w:sz="0" w:space="0" w:color="auto"/>
      </w:divBdr>
    </w:div>
    <w:div w:id="342130064">
      <w:bodyDiv w:val="1"/>
      <w:marLeft w:val="0"/>
      <w:marRight w:val="0"/>
      <w:marTop w:val="0"/>
      <w:marBottom w:val="0"/>
      <w:divBdr>
        <w:top w:val="none" w:sz="0" w:space="0" w:color="auto"/>
        <w:left w:val="none" w:sz="0" w:space="0" w:color="auto"/>
        <w:bottom w:val="none" w:sz="0" w:space="0" w:color="auto"/>
        <w:right w:val="none" w:sz="0" w:space="0" w:color="auto"/>
      </w:divBdr>
    </w:div>
    <w:div w:id="375203091">
      <w:bodyDiv w:val="1"/>
      <w:marLeft w:val="0"/>
      <w:marRight w:val="0"/>
      <w:marTop w:val="0"/>
      <w:marBottom w:val="0"/>
      <w:divBdr>
        <w:top w:val="none" w:sz="0" w:space="0" w:color="auto"/>
        <w:left w:val="none" w:sz="0" w:space="0" w:color="auto"/>
        <w:bottom w:val="none" w:sz="0" w:space="0" w:color="auto"/>
        <w:right w:val="none" w:sz="0" w:space="0" w:color="auto"/>
      </w:divBdr>
    </w:div>
    <w:div w:id="375204044">
      <w:bodyDiv w:val="1"/>
      <w:marLeft w:val="0"/>
      <w:marRight w:val="0"/>
      <w:marTop w:val="0"/>
      <w:marBottom w:val="0"/>
      <w:divBdr>
        <w:top w:val="none" w:sz="0" w:space="0" w:color="auto"/>
        <w:left w:val="none" w:sz="0" w:space="0" w:color="auto"/>
        <w:bottom w:val="none" w:sz="0" w:space="0" w:color="auto"/>
        <w:right w:val="none" w:sz="0" w:space="0" w:color="auto"/>
      </w:divBdr>
    </w:div>
    <w:div w:id="390928502">
      <w:bodyDiv w:val="1"/>
      <w:marLeft w:val="0"/>
      <w:marRight w:val="0"/>
      <w:marTop w:val="0"/>
      <w:marBottom w:val="0"/>
      <w:divBdr>
        <w:top w:val="none" w:sz="0" w:space="0" w:color="auto"/>
        <w:left w:val="none" w:sz="0" w:space="0" w:color="auto"/>
        <w:bottom w:val="none" w:sz="0" w:space="0" w:color="auto"/>
        <w:right w:val="none" w:sz="0" w:space="0" w:color="auto"/>
      </w:divBdr>
    </w:div>
    <w:div w:id="394549786">
      <w:bodyDiv w:val="1"/>
      <w:marLeft w:val="0"/>
      <w:marRight w:val="0"/>
      <w:marTop w:val="0"/>
      <w:marBottom w:val="0"/>
      <w:divBdr>
        <w:top w:val="none" w:sz="0" w:space="0" w:color="auto"/>
        <w:left w:val="none" w:sz="0" w:space="0" w:color="auto"/>
        <w:bottom w:val="none" w:sz="0" w:space="0" w:color="auto"/>
        <w:right w:val="none" w:sz="0" w:space="0" w:color="auto"/>
      </w:divBdr>
    </w:div>
    <w:div w:id="395787176">
      <w:bodyDiv w:val="1"/>
      <w:marLeft w:val="0"/>
      <w:marRight w:val="0"/>
      <w:marTop w:val="0"/>
      <w:marBottom w:val="0"/>
      <w:divBdr>
        <w:top w:val="none" w:sz="0" w:space="0" w:color="auto"/>
        <w:left w:val="none" w:sz="0" w:space="0" w:color="auto"/>
        <w:bottom w:val="none" w:sz="0" w:space="0" w:color="auto"/>
        <w:right w:val="none" w:sz="0" w:space="0" w:color="auto"/>
      </w:divBdr>
    </w:div>
    <w:div w:id="438456260">
      <w:bodyDiv w:val="1"/>
      <w:marLeft w:val="0"/>
      <w:marRight w:val="0"/>
      <w:marTop w:val="0"/>
      <w:marBottom w:val="0"/>
      <w:divBdr>
        <w:top w:val="none" w:sz="0" w:space="0" w:color="auto"/>
        <w:left w:val="none" w:sz="0" w:space="0" w:color="auto"/>
        <w:bottom w:val="none" w:sz="0" w:space="0" w:color="auto"/>
        <w:right w:val="none" w:sz="0" w:space="0" w:color="auto"/>
      </w:divBdr>
    </w:div>
    <w:div w:id="445271213">
      <w:bodyDiv w:val="1"/>
      <w:marLeft w:val="0"/>
      <w:marRight w:val="0"/>
      <w:marTop w:val="0"/>
      <w:marBottom w:val="0"/>
      <w:divBdr>
        <w:top w:val="none" w:sz="0" w:space="0" w:color="auto"/>
        <w:left w:val="none" w:sz="0" w:space="0" w:color="auto"/>
        <w:bottom w:val="none" w:sz="0" w:space="0" w:color="auto"/>
        <w:right w:val="none" w:sz="0" w:space="0" w:color="auto"/>
      </w:divBdr>
    </w:div>
    <w:div w:id="451245992">
      <w:bodyDiv w:val="1"/>
      <w:marLeft w:val="0"/>
      <w:marRight w:val="0"/>
      <w:marTop w:val="0"/>
      <w:marBottom w:val="0"/>
      <w:divBdr>
        <w:top w:val="none" w:sz="0" w:space="0" w:color="auto"/>
        <w:left w:val="none" w:sz="0" w:space="0" w:color="auto"/>
        <w:bottom w:val="none" w:sz="0" w:space="0" w:color="auto"/>
        <w:right w:val="none" w:sz="0" w:space="0" w:color="auto"/>
      </w:divBdr>
    </w:div>
    <w:div w:id="455411001">
      <w:bodyDiv w:val="1"/>
      <w:marLeft w:val="0"/>
      <w:marRight w:val="0"/>
      <w:marTop w:val="0"/>
      <w:marBottom w:val="0"/>
      <w:divBdr>
        <w:top w:val="none" w:sz="0" w:space="0" w:color="auto"/>
        <w:left w:val="none" w:sz="0" w:space="0" w:color="auto"/>
        <w:bottom w:val="none" w:sz="0" w:space="0" w:color="auto"/>
        <w:right w:val="none" w:sz="0" w:space="0" w:color="auto"/>
      </w:divBdr>
    </w:div>
    <w:div w:id="459223487">
      <w:bodyDiv w:val="1"/>
      <w:marLeft w:val="0"/>
      <w:marRight w:val="0"/>
      <w:marTop w:val="0"/>
      <w:marBottom w:val="0"/>
      <w:divBdr>
        <w:top w:val="none" w:sz="0" w:space="0" w:color="auto"/>
        <w:left w:val="none" w:sz="0" w:space="0" w:color="auto"/>
        <w:bottom w:val="none" w:sz="0" w:space="0" w:color="auto"/>
        <w:right w:val="none" w:sz="0" w:space="0" w:color="auto"/>
      </w:divBdr>
    </w:div>
    <w:div w:id="459955086">
      <w:bodyDiv w:val="1"/>
      <w:marLeft w:val="0"/>
      <w:marRight w:val="0"/>
      <w:marTop w:val="0"/>
      <w:marBottom w:val="0"/>
      <w:divBdr>
        <w:top w:val="none" w:sz="0" w:space="0" w:color="auto"/>
        <w:left w:val="none" w:sz="0" w:space="0" w:color="auto"/>
        <w:bottom w:val="none" w:sz="0" w:space="0" w:color="auto"/>
        <w:right w:val="none" w:sz="0" w:space="0" w:color="auto"/>
      </w:divBdr>
    </w:div>
    <w:div w:id="463353443">
      <w:bodyDiv w:val="1"/>
      <w:marLeft w:val="0"/>
      <w:marRight w:val="0"/>
      <w:marTop w:val="0"/>
      <w:marBottom w:val="0"/>
      <w:divBdr>
        <w:top w:val="none" w:sz="0" w:space="0" w:color="auto"/>
        <w:left w:val="none" w:sz="0" w:space="0" w:color="auto"/>
        <w:bottom w:val="none" w:sz="0" w:space="0" w:color="auto"/>
        <w:right w:val="none" w:sz="0" w:space="0" w:color="auto"/>
      </w:divBdr>
    </w:div>
    <w:div w:id="470178000">
      <w:bodyDiv w:val="1"/>
      <w:marLeft w:val="0"/>
      <w:marRight w:val="0"/>
      <w:marTop w:val="0"/>
      <w:marBottom w:val="0"/>
      <w:divBdr>
        <w:top w:val="none" w:sz="0" w:space="0" w:color="auto"/>
        <w:left w:val="none" w:sz="0" w:space="0" w:color="auto"/>
        <w:bottom w:val="none" w:sz="0" w:space="0" w:color="auto"/>
        <w:right w:val="none" w:sz="0" w:space="0" w:color="auto"/>
      </w:divBdr>
    </w:div>
    <w:div w:id="473445411">
      <w:bodyDiv w:val="1"/>
      <w:marLeft w:val="0"/>
      <w:marRight w:val="0"/>
      <w:marTop w:val="0"/>
      <w:marBottom w:val="0"/>
      <w:divBdr>
        <w:top w:val="none" w:sz="0" w:space="0" w:color="auto"/>
        <w:left w:val="none" w:sz="0" w:space="0" w:color="auto"/>
        <w:bottom w:val="none" w:sz="0" w:space="0" w:color="auto"/>
        <w:right w:val="none" w:sz="0" w:space="0" w:color="auto"/>
      </w:divBdr>
    </w:div>
    <w:div w:id="474563829">
      <w:bodyDiv w:val="1"/>
      <w:marLeft w:val="0"/>
      <w:marRight w:val="0"/>
      <w:marTop w:val="0"/>
      <w:marBottom w:val="0"/>
      <w:divBdr>
        <w:top w:val="none" w:sz="0" w:space="0" w:color="auto"/>
        <w:left w:val="none" w:sz="0" w:space="0" w:color="auto"/>
        <w:bottom w:val="none" w:sz="0" w:space="0" w:color="auto"/>
        <w:right w:val="none" w:sz="0" w:space="0" w:color="auto"/>
      </w:divBdr>
    </w:div>
    <w:div w:id="476069318">
      <w:bodyDiv w:val="1"/>
      <w:marLeft w:val="0"/>
      <w:marRight w:val="0"/>
      <w:marTop w:val="0"/>
      <w:marBottom w:val="0"/>
      <w:divBdr>
        <w:top w:val="none" w:sz="0" w:space="0" w:color="auto"/>
        <w:left w:val="none" w:sz="0" w:space="0" w:color="auto"/>
        <w:bottom w:val="none" w:sz="0" w:space="0" w:color="auto"/>
        <w:right w:val="none" w:sz="0" w:space="0" w:color="auto"/>
      </w:divBdr>
    </w:div>
    <w:div w:id="476458666">
      <w:bodyDiv w:val="1"/>
      <w:marLeft w:val="0"/>
      <w:marRight w:val="0"/>
      <w:marTop w:val="0"/>
      <w:marBottom w:val="0"/>
      <w:divBdr>
        <w:top w:val="none" w:sz="0" w:space="0" w:color="auto"/>
        <w:left w:val="none" w:sz="0" w:space="0" w:color="auto"/>
        <w:bottom w:val="none" w:sz="0" w:space="0" w:color="auto"/>
        <w:right w:val="none" w:sz="0" w:space="0" w:color="auto"/>
      </w:divBdr>
    </w:div>
    <w:div w:id="487404163">
      <w:bodyDiv w:val="1"/>
      <w:marLeft w:val="0"/>
      <w:marRight w:val="0"/>
      <w:marTop w:val="0"/>
      <w:marBottom w:val="0"/>
      <w:divBdr>
        <w:top w:val="none" w:sz="0" w:space="0" w:color="auto"/>
        <w:left w:val="none" w:sz="0" w:space="0" w:color="auto"/>
        <w:bottom w:val="none" w:sz="0" w:space="0" w:color="auto"/>
        <w:right w:val="none" w:sz="0" w:space="0" w:color="auto"/>
      </w:divBdr>
    </w:div>
    <w:div w:id="489105518">
      <w:bodyDiv w:val="1"/>
      <w:marLeft w:val="0"/>
      <w:marRight w:val="0"/>
      <w:marTop w:val="0"/>
      <w:marBottom w:val="0"/>
      <w:divBdr>
        <w:top w:val="none" w:sz="0" w:space="0" w:color="auto"/>
        <w:left w:val="none" w:sz="0" w:space="0" w:color="auto"/>
        <w:bottom w:val="none" w:sz="0" w:space="0" w:color="auto"/>
        <w:right w:val="none" w:sz="0" w:space="0" w:color="auto"/>
      </w:divBdr>
    </w:div>
    <w:div w:id="495918388">
      <w:bodyDiv w:val="1"/>
      <w:marLeft w:val="0"/>
      <w:marRight w:val="0"/>
      <w:marTop w:val="0"/>
      <w:marBottom w:val="0"/>
      <w:divBdr>
        <w:top w:val="none" w:sz="0" w:space="0" w:color="auto"/>
        <w:left w:val="none" w:sz="0" w:space="0" w:color="auto"/>
        <w:bottom w:val="none" w:sz="0" w:space="0" w:color="auto"/>
        <w:right w:val="none" w:sz="0" w:space="0" w:color="auto"/>
      </w:divBdr>
    </w:div>
    <w:div w:id="501508544">
      <w:bodyDiv w:val="1"/>
      <w:marLeft w:val="0"/>
      <w:marRight w:val="0"/>
      <w:marTop w:val="0"/>
      <w:marBottom w:val="0"/>
      <w:divBdr>
        <w:top w:val="none" w:sz="0" w:space="0" w:color="auto"/>
        <w:left w:val="none" w:sz="0" w:space="0" w:color="auto"/>
        <w:bottom w:val="none" w:sz="0" w:space="0" w:color="auto"/>
        <w:right w:val="none" w:sz="0" w:space="0" w:color="auto"/>
      </w:divBdr>
    </w:div>
    <w:div w:id="503785461">
      <w:bodyDiv w:val="1"/>
      <w:marLeft w:val="0"/>
      <w:marRight w:val="0"/>
      <w:marTop w:val="0"/>
      <w:marBottom w:val="0"/>
      <w:divBdr>
        <w:top w:val="none" w:sz="0" w:space="0" w:color="auto"/>
        <w:left w:val="none" w:sz="0" w:space="0" w:color="auto"/>
        <w:bottom w:val="none" w:sz="0" w:space="0" w:color="auto"/>
        <w:right w:val="none" w:sz="0" w:space="0" w:color="auto"/>
      </w:divBdr>
    </w:div>
    <w:div w:id="510220552">
      <w:bodyDiv w:val="1"/>
      <w:marLeft w:val="0"/>
      <w:marRight w:val="0"/>
      <w:marTop w:val="0"/>
      <w:marBottom w:val="0"/>
      <w:divBdr>
        <w:top w:val="none" w:sz="0" w:space="0" w:color="auto"/>
        <w:left w:val="none" w:sz="0" w:space="0" w:color="auto"/>
        <w:bottom w:val="none" w:sz="0" w:space="0" w:color="auto"/>
        <w:right w:val="none" w:sz="0" w:space="0" w:color="auto"/>
      </w:divBdr>
    </w:div>
    <w:div w:id="513421463">
      <w:bodyDiv w:val="1"/>
      <w:marLeft w:val="0"/>
      <w:marRight w:val="0"/>
      <w:marTop w:val="0"/>
      <w:marBottom w:val="0"/>
      <w:divBdr>
        <w:top w:val="none" w:sz="0" w:space="0" w:color="auto"/>
        <w:left w:val="none" w:sz="0" w:space="0" w:color="auto"/>
        <w:bottom w:val="none" w:sz="0" w:space="0" w:color="auto"/>
        <w:right w:val="none" w:sz="0" w:space="0" w:color="auto"/>
      </w:divBdr>
    </w:div>
    <w:div w:id="516969584">
      <w:bodyDiv w:val="1"/>
      <w:marLeft w:val="0"/>
      <w:marRight w:val="0"/>
      <w:marTop w:val="0"/>
      <w:marBottom w:val="0"/>
      <w:divBdr>
        <w:top w:val="none" w:sz="0" w:space="0" w:color="auto"/>
        <w:left w:val="none" w:sz="0" w:space="0" w:color="auto"/>
        <w:bottom w:val="none" w:sz="0" w:space="0" w:color="auto"/>
        <w:right w:val="none" w:sz="0" w:space="0" w:color="auto"/>
      </w:divBdr>
    </w:div>
    <w:div w:id="521364411">
      <w:bodyDiv w:val="1"/>
      <w:marLeft w:val="0"/>
      <w:marRight w:val="0"/>
      <w:marTop w:val="0"/>
      <w:marBottom w:val="0"/>
      <w:divBdr>
        <w:top w:val="none" w:sz="0" w:space="0" w:color="auto"/>
        <w:left w:val="none" w:sz="0" w:space="0" w:color="auto"/>
        <w:bottom w:val="none" w:sz="0" w:space="0" w:color="auto"/>
        <w:right w:val="none" w:sz="0" w:space="0" w:color="auto"/>
      </w:divBdr>
    </w:div>
    <w:div w:id="523901626">
      <w:bodyDiv w:val="1"/>
      <w:marLeft w:val="0"/>
      <w:marRight w:val="0"/>
      <w:marTop w:val="0"/>
      <w:marBottom w:val="0"/>
      <w:divBdr>
        <w:top w:val="none" w:sz="0" w:space="0" w:color="auto"/>
        <w:left w:val="none" w:sz="0" w:space="0" w:color="auto"/>
        <w:bottom w:val="none" w:sz="0" w:space="0" w:color="auto"/>
        <w:right w:val="none" w:sz="0" w:space="0" w:color="auto"/>
      </w:divBdr>
    </w:div>
    <w:div w:id="524174570">
      <w:bodyDiv w:val="1"/>
      <w:marLeft w:val="0"/>
      <w:marRight w:val="0"/>
      <w:marTop w:val="0"/>
      <w:marBottom w:val="0"/>
      <w:divBdr>
        <w:top w:val="none" w:sz="0" w:space="0" w:color="auto"/>
        <w:left w:val="none" w:sz="0" w:space="0" w:color="auto"/>
        <w:bottom w:val="none" w:sz="0" w:space="0" w:color="auto"/>
        <w:right w:val="none" w:sz="0" w:space="0" w:color="auto"/>
      </w:divBdr>
    </w:div>
    <w:div w:id="535503982">
      <w:bodyDiv w:val="1"/>
      <w:marLeft w:val="0"/>
      <w:marRight w:val="0"/>
      <w:marTop w:val="0"/>
      <w:marBottom w:val="0"/>
      <w:divBdr>
        <w:top w:val="none" w:sz="0" w:space="0" w:color="auto"/>
        <w:left w:val="none" w:sz="0" w:space="0" w:color="auto"/>
        <w:bottom w:val="none" w:sz="0" w:space="0" w:color="auto"/>
        <w:right w:val="none" w:sz="0" w:space="0" w:color="auto"/>
      </w:divBdr>
    </w:div>
    <w:div w:id="552037716">
      <w:bodyDiv w:val="1"/>
      <w:marLeft w:val="0"/>
      <w:marRight w:val="0"/>
      <w:marTop w:val="0"/>
      <w:marBottom w:val="0"/>
      <w:divBdr>
        <w:top w:val="none" w:sz="0" w:space="0" w:color="auto"/>
        <w:left w:val="none" w:sz="0" w:space="0" w:color="auto"/>
        <w:bottom w:val="none" w:sz="0" w:space="0" w:color="auto"/>
        <w:right w:val="none" w:sz="0" w:space="0" w:color="auto"/>
      </w:divBdr>
    </w:div>
    <w:div w:id="554708006">
      <w:bodyDiv w:val="1"/>
      <w:marLeft w:val="0"/>
      <w:marRight w:val="0"/>
      <w:marTop w:val="0"/>
      <w:marBottom w:val="0"/>
      <w:divBdr>
        <w:top w:val="none" w:sz="0" w:space="0" w:color="auto"/>
        <w:left w:val="none" w:sz="0" w:space="0" w:color="auto"/>
        <w:bottom w:val="none" w:sz="0" w:space="0" w:color="auto"/>
        <w:right w:val="none" w:sz="0" w:space="0" w:color="auto"/>
      </w:divBdr>
    </w:div>
    <w:div w:id="564070378">
      <w:bodyDiv w:val="1"/>
      <w:marLeft w:val="0"/>
      <w:marRight w:val="0"/>
      <w:marTop w:val="0"/>
      <w:marBottom w:val="0"/>
      <w:divBdr>
        <w:top w:val="none" w:sz="0" w:space="0" w:color="auto"/>
        <w:left w:val="none" w:sz="0" w:space="0" w:color="auto"/>
        <w:bottom w:val="none" w:sz="0" w:space="0" w:color="auto"/>
        <w:right w:val="none" w:sz="0" w:space="0" w:color="auto"/>
      </w:divBdr>
    </w:div>
    <w:div w:id="569996820">
      <w:bodyDiv w:val="1"/>
      <w:marLeft w:val="0"/>
      <w:marRight w:val="0"/>
      <w:marTop w:val="0"/>
      <w:marBottom w:val="0"/>
      <w:divBdr>
        <w:top w:val="none" w:sz="0" w:space="0" w:color="auto"/>
        <w:left w:val="none" w:sz="0" w:space="0" w:color="auto"/>
        <w:bottom w:val="none" w:sz="0" w:space="0" w:color="auto"/>
        <w:right w:val="none" w:sz="0" w:space="0" w:color="auto"/>
      </w:divBdr>
    </w:div>
    <w:div w:id="576133125">
      <w:bodyDiv w:val="1"/>
      <w:marLeft w:val="0"/>
      <w:marRight w:val="0"/>
      <w:marTop w:val="0"/>
      <w:marBottom w:val="0"/>
      <w:divBdr>
        <w:top w:val="none" w:sz="0" w:space="0" w:color="auto"/>
        <w:left w:val="none" w:sz="0" w:space="0" w:color="auto"/>
        <w:bottom w:val="none" w:sz="0" w:space="0" w:color="auto"/>
        <w:right w:val="none" w:sz="0" w:space="0" w:color="auto"/>
      </w:divBdr>
    </w:div>
    <w:div w:id="580676917">
      <w:bodyDiv w:val="1"/>
      <w:marLeft w:val="0"/>
      <w:marRight w:val="0"/>
      <w:marTop w:val="0"/>
      <w:marBottom w:val="0"/>
      <w:divBdr>
        <w:top w:val="none" w:sz="0" w:space="0" w:color="auto"/>
        <w:left w:val="none" w:sz="0" w:space="0" w:color="auto"/>
        <w:bottom w:val="none" w:sz="0" w:space="0" w:color="auto"/>
        <w:right w:val="none" w:sz="0" w:space="0" w:color="auto"/>
      </w:divBdr>
    </w:div>
    <w:div w:id="587691178">
      <w:bodyDiv w:val="1"/>
      <w:marLeft w:val="0"/>
      <w:marRight w:val="0"/>
      <w:marTop w:val="0"/>
      <w:marBottom w:val="0"/>
      <w:divBdr>
        <w:top w:val="none" w:sz="0" w:space="0" w:color="auto"/>
        <w:left w:val="none" w:sz="0" w:space="0" w:color="auto"/>
        <w:bottom w:val="none" w:sz="0" w:space="0" w:color="auto"/>
        <w:right w:val="none" w:sz="0" w:space="0" w:color="auto"/>
      </w:divBdr>
    </w:div>
    <w:div w:id="592393725">
      <w:bodyDiv w:val="1"/>
      <w:marLeft w:val="0"/>
      <w:marRight w:val="0"/>
      <w:marTop w:val="0"/>
      <w:marBottom w:val="0"/>
      <w:divBdr>
        <w:top w:val="none" w:sz="0" w:space="0" w:color="auto"/>
        <w:left w:val="none" w:sz="0" w:space="0" w:color="auto"/>
        <w:bottom w:val="none" w:sz="0" w:space="0" w:color="auto"/>
        <w:right w:val="none" w:sz="0" w:space="0" w:color="auto"/>
      </w:divBdr>
    </w:div>
    <w:div w:id="611136877">
      <w:bodyDiv w:val="1"/>
      <w:marLeft w:val="0"/>
      <w:marRight w:val="0"/>
      <w:marTop w:val="0"/>
      <w:marBottom w:val="0"/>
      <w:divBdr>
        <w:top w:val="none" w:sz="0" w:space="0" w:color="auto"/>
        <w:left w:val="none" w:sz="0" w:space="0" w:color="auto"/>
        <w:bottom w:val="none" w:sz="0" w:space="0" w:color="auto"/>
        <w:right w:val="none" w:sz="0" w:space="0" w:color="auto"/>
      </w:divBdr>
    </w:div>
    <w:div w:id="622079754">
      <w:bodyDiv w:val="1"/>
      <w:marLeft w:val="0"/>
      <w:marRight w:val="0"/>
      <w:marTop w:val="0"/>
      <w:marBottom w:val="0"/>
      <w:divBdr>
        <w:top w:val="none" w:sz="0" w:space="0" w:color="auto"/>
        <w:left w:val="none" w:sz="0" w:space="0" w:color="auto"/>
        <w:bottom w:val="none" w:sz="0" w:space="0" w:color="auto"/>
        <w:right w:val="none" w:sz="0" w:space="0" w:color="auto"/>
      </w:divBdr>
    </w:div>
    <w:div w:id="646279187">
      <w:bodyDiv w:val="1"/>
      <w:marLeft w:val="0"/>
      <w:marRight w:val="0"/>
      <w:marTop w:val="0"/>
      <w:marBottom w:val="0"/>
      <w:divBdr>
        <w:top w:val="none" w:sz="0" w:space="0" w:color="auto"/>
        <w:left w:val="none" w:sz="0" w:space="0" w:color="auto"/>
        <w:bottom w:val="none" w:sz="0" w:space="0" w:color="auto"/>
        <w:right w:val="none" w:sz="0" w:space="0" w:color="auto"/>
      </w:divBdr>
    </w:div>
    <w:div w:id="656105338">
      <w:bodyDiv w:val="1"/>
      <w:marLeft w:val="0"/>
      <w:marRight w:val="0"/>
      <w:marTop w:val="0"/>
      <w:marBottom w:val="0"/>
      <w:divBdr>
        <w:top w:val="none" w:sz="0" w:space="0" w:color="auto"/>
        <w:left w:val="none" w:sz="0" w:space="0" w:color="auto"/>
        <w:bottom w:val="none" w:sz="0" w:space="0" w:color="auto"/>
        <w:right w:val="none" w:sz="0" w:space="0" w:color="auto"/>
      </w:divBdr>
    </w:div>
    <w:div w:id="676737499">
      <w:bodyDiv w:val="1"/>
      <w:marLeft w:val="0"/>
      <w:marRight w:val="0"/>
      <w:marTop w:val="0"/>
      <w:marBottom w:val="0"/>
      <w:divBdr>
        <w:top w:val="none" w:sz="0" w:space="0" w:color="auto"/>
        <w:left w:val="none" w:sz="0" w:space="0" w:color="auto"/>
        <w:bottom w:val="none" w:sz="0" w:space="0" w:color="auto"/>
        <w:right w:val="none" w:sz="0" w:space="0" w:color="auto"/>
      </w:divBdr>
    </w:div>
    <w:div w:id="682123798">
      <w:bodyDiv w:val="1"/>
      <w:marLeft w:val="0"/>
      <w:marRight w:val="0"/>
      <w:marTop w:val="0"/>
      <w:marBottom w:val="0"/>
      <w:divBdr>
        <w:top w:val="none" w:sz="0" w:space="0" w:color="auto"/>
        <w:left w:val="none" w:sz="0" w:space="0" w:color="auto"/>
        <w:bottom w:val="none" w:sz="0" w:space="0" w:color="auto"/>
        <w:right w:val="none" w:sz="0" w:space="0" w:color="auto"/>
      </w:divBdr>
    </w:div>
    <w:div w:id="709499074">
      <w:bodyDiv w:val="1"/>
      <w:marLeft w:val="0"/>
      <w:marRight w:val="0"/>
      <w:marTop w:val="0"/>
      <w:marBottom w:val="0"/>
      <w:divBdr>
        <w:top w:val="none" w:sz="0" w:space="0" w:color="auto"/>
        <w:left w:val="none" w:sz="0" w:space="0" w:color="auto"/>
        <w:bottom w:val="none" w:sz="0" w:space="0" w:color="auto"/>
        <w:right w:val="none" w:sz="0" w:space="0" w:color="auto"/>
      </w:divBdr>
    </w:div>
    <w:div w:id="725300139">
      <w:bodyDiv w:val="1"/>
      <w:marLeft w:val="0"/>
      <w:marRight w:val="0"/>
      <w:marTop w:val="0"/>
      <w:marBottom w:val="0"/>
      <w:divBdr>
        <w:top w:val="none" w:sz="0" w:space="0" w:color="auto"/>
        <w:left w:val="none" w:sz="0" w:space="0" w:color="auto"/>
        <w:bottom w:val="none" w:sz="0" w:space="0" w:color="auto"/>
        <w:right w:val="none" w:sz="0" w:space="0" w:color="auto"/>
      </w:divBdr>
    </w:div>
    <w:div w:id="730813102">
      <w:bodyDiv w:val="1"/>
      <w:marLeft w:val="0"/>
      <w:marRight w:val="0"/>
      <w:marTop w:val="0"/>
      <w:marBottom w:val="0"/>
      <w:divBdr>
        <w:top w:val="none" w:sz="0" w:space="0" w:color="auto"/>
        <w:left w:val="none" w:sz="0" w:space="0" w:color="auto"/>
        <w:bottom w:val="none" w:sz="0" w:space="0" w:color="auto"/>
        <w:right w:val="none" w:sz="0" w:space="0" w:color="auto"/>
      </w:divBdr>
    </w:div>
    <w:div w:id="761150655">
      <w:bodyDiv w:val="1"/>
      <w:marLeft w:val="0"/>
      <w:marRight w:val="0"/>
      <w:marTop w:val="0"/>
      <w:marBottom w:val="0"/>
      <w:divBdr>
        <w:top w:val="none" w:sz="0" w:space="0" w:color="auto"/>
        <w:left w:val="none" w:sz="0" w:space="0" w:color="auto"/>
        <w:bottom w:val="none" w:sz="0" w:space="0" w:color="auto"/>
        <w:right w:val="none" w:sz="0" w:space="0" w:color="auto"/>
      </w:divBdr>
    </w:div>
    <w:div w:id="804279311">
      <w:bodyDiv w:val="1"/>
      <w:marLeft w:val="0"/>
      <w:marRight w:val="0"/>
      <w:marTop w:val="0"/>
      <w:marBottom w:val="0"/>
      <w:divBdr>
        <w:top w:val="none" w:sz="0" w:space="0" w:color="auto"/>
        <w:left w:val="none" w:sz="0" w:space="0" w:color="auto"/>
        <w:bottom w:val="none" w:sz="0" w:space="0" w:color="auto"/>
        <w:right w:val="none" w:sz="0" w:space="0" w:color="auto"/>
      </w:divBdr>
    </w:div>
    <w:div w:id="815269255">
      <w:bodyDiv w:val="1"/>
      <w:marLeft w:val="0"/>
      <w:marRight w:val="0"/>
      <w:marTop w:val="0"/>
      <w:marBottom w:val="0"/>
      <w:divBdr>
        <w:top w:val="none" w:sz="0" w:space="0" w:color="auto"/>
        <w:left w:val="none" w:sz="0" w:space="0" w:color="auto"/>
        <w:bottom w:val="none" w:sz="0" w:space="0" w:color="auto"/>
        <w:right w:val="none" w:sz="0" w:space="0" w:color="auto"/>
      </w:divBdr>
    </w:div>
    <w:div w:id="827095220">
      <w:bodyDiv w:val="1"/>
      <w:marLeft w:val="0"/>
      <w:marRight w:val="0"/>
      <w:marTop w:val="0"/>
      <w:marBottom w:val="0"/>
      <w:divBdr>
        <w:top w:val="none" w:sz="0" w:space="0" w:color="auto"/>
        <w:left w:val="none" w:sz="0" w:space="0" w:color="auto"/>
        <w:bottom w:val="none" w:sz="0" w:space="0" w:color="auto"/>
        <w:right w:val="none" w:sz="0" w:space="0" w:color="auto"/>
      </w:divBdr>
    </w:div>
    <w:div w:id="835808460">
      <w:bodyDiv w:val="1"/>
      <w:marLeft w:val="0"/>
      <w:marRight w:val="0"/>
      <w:marTop w:val="0"/>
      <w:marBottom w:val="0"/>
      <w:divBdr>
        <w:top w:val="none" w:sz="0" w:space="0" w:color="auto"/>
        <w:left w:val="none" w:sz="0" w:space="0" w:color="auto"/>
        <w:bottom w:val="none" w:sz="0" w:space="0" w:color="auto"/>
        <w:right w:val="none" w:sz="0" w:space="0" w:color="auto"/>
      </w:divBdr>
    </w:div>
    <w:div w:id="870072433">
      <w:bodyDiv w:val="1"/>
      <w:marLeft w:val="0"/>
      <w:marRight w:val="0"/>
      <w:marTop w:val="0"/>
      <w:marBottom w:val="0"/>
      <w:divBdr>
        <w:top w:val="none" w:sz="0" w:space="0" w:color="auto"/>
        <w:left w:val="none" w:sz="0" w:space="0" w:color="auto"/>
        <w:bottom w:val="none" w:sz="0" w:space="0" w:color="auto"/>
        <w:right w:val="none" w:sz="0" w:space="0" w:color="auto"/>
      </w:divBdr>
    </w:div>
    <w:div w:id="903223133">
      <w:bodyDiv w:val="1"/>
      <w:marLeft w:val="0"/>
      <w:marRight w:val="0"/>
      <w:marTop w:val="0"/>
      <w:marBottom w:val="0"/>
      <w:divBdr>
        <w:top w:val="none" w:sz="0" w:space="0" w:color="auto"/>
        <w:left w:val="none" w:sz="0" w:space="0" w:color="auto"/>
        <w:bottom w:val="none" w:sz="0" w:space="0" w:color="auto"/>
        <w:right w:val="none" w:sz="0" w:space="0" w:color="auto"/>
      </w:divBdr>
    </w:div>
    <w:div w:id="943683602">
      <w:bodyDiv w:val="1"/>
      <w:marLeft w:val="0"/>
      <w:marRight w:val="0"/>
      <w:marTop w:val="0"/>
      <w:marBottom w:val="0"/>
      <w:divBdr>
        <w:top w:val="none" w:sz="0" w:space="0" w:color="auto"/>
        <w:left w:val="none" w:sz="0" w:space="0" w:color="auto"/>
        <w:bottom w:val="none" w:sz="0" w:space="0" w:color="auto"/>
        <w:right w:val="none" w:sz="0" w:space="0" w:color="auto"/>
      </w:divBdr>
    </w:div>
    <w:div w:id="945699843">
      <w:bodyDiv w:val="1"/>
      <w:marLeft w:val="0"/>
      <w:marRight w:val="0"/>
      <w:marTop w:val="0"/>
      <w:marBottom w:val="0"/>
      <w:divBdr>
        <w:top w:val="none" w:sz="0" w:space="0" w:color="auto"/>
        <w:left w:val="none" w:sz="0" w:space="0" w:color="auto"/>
        <w:bottom w:val="none" w:sz="0" w:space="0" w:color="auto"/>
        <w:right w:val="none" w:sz="0" w:space="0" w:color="auto"/>
      </w:divBdr>
    </w:div>
    <w:div w:id="946933464">
      <w:bodyDiv w:val="1"/>
      <w:marLeft w:val="0"/>
      <w:marRight w:val="0"/>
      <w:marTop w:val="0"/>
      <w:marBottom w:val="0"/>
      <w:divBdr>
        <w:top w:val="none" w:sz="0" w:space="0" w:color="auto"/>
        <w:left w:val="none" w:sz="0" w:space="0" w:color="auto"/>
        <w:bottom w:val="none" w:sz="0" w:space="0" w:color="auto"/>
        <w:right w:val="none" w:sz="0" w:space="0" w:color="auto"/>
      </w:divBdr>
    </w:div>
    <w:div w:id="968244321">
      <w:bodyDiv w:val="1"/>
      <w:marLeft w:val="0"/>
      <w:marRight w:val="0"/>
      <w:marTop w:val="0"/>
      <w:marBottom w:val="0"/>
      <w:divBdr>
        <w:top w:val="none" w:sz="0" w:space="0" w:color="auto"/>
        <w:left w:val="none" w:sz="0" w:space="0" w:color="auto"/>
        <w:bottom w:val="none" w:sz="0" w:space="0" w:color="auto"/>
        <w:right w:val="none" w:sz="0" w:space="0" w:color="auto"/>
      </w:divBdr>
    </w:div>
    <w:div w:id="969440459">
      <w:bodyDiv w:val="1"/>
      <w:marLeft w:val="0"/>
      <w:marRight w:val="0"/>
      <w:marTop w:val="0"/>
      <w:marBottom w:val="0"/>
      <w:divBdr>
        <w:top w:val="none" w:sz="0" w:space="0" w:color="auto"/>
        <w:left w:val="none" w:sz="0" w:space="0" w:color="auto"/>
        <w:bottom w:val="none" w:sz="0" w:space="0" w:color="auto"/>
        <w:right w:val="none" w:sz="0" w:space="0" w:color="auto"/>
      </w:divBdr>
    </w:div>
    <w:div w:id="970596542">
      <w:bodyDiv w:val="1"/>
      <w:marLeft w:val="0"/>
      <w:marRight w:val="0"/>
      <w:marTop w:val="0"/>
      <w:marBottom w:val="0"/>
      <w:divBdr>
        <w:top w:val="none" w:sz="0" w:space="0" w:color="auto"/>
        <w:left w:val="none" w:sz="0" w:space="0" w:color="auto"/>
        <w:bottom w:val="none" w:sz="0" w:space="0" w:color="auto"/>
        <w:right w:val="none" w:sz="0" w:space="0" w:color="auto"/>
      </w:divBdr>
    </w:div>
    <w:div w:id="986938122">
      <w:bodyDiv w:val="1"/>
      <w:marLeft w:val="0"/>
      <w:marRight w:val="0"/>
      <w:marTop w:val="0"/>
      <w:marBottom w:val="0"/>
      <w:divBdr>
        <w:top w:val="none" w:sz="0" w:space="0" w:color="auto"/>
        <w:left w:val="none" w:sz="0" w:space="0" w:color="auto"/>
        <w:bottom w:val="none" w:sz="0" w:space="0" w:color="auto"/>
        <w:right w:val="none" w:sz="0" w:space="0" w:color="auto"/>
      </w:divBdr>
    </w:div>
    <w:div w:id="1009523307">
      <w:bodyDiv w:val="1"/>
      <w:marLeft w:val="0"/>
      <w:marRight w:val="0"/>
      <w:marTop w:val="0"/>
      <w:marBottom w:val="0"/>
      <w:divBdr>
        <w:top w:val="none" w:sz="0" w:space="0" w:color="auto"/>
        <w:left w:val="none" w:sz="0" w:space="0" w:color="auto"/>
        <w:bottom w:val="none" w:sz="0" w:space="0" w:color="auto"/>
        <w:right w:val="none" w:sz="0" w:space="0" w:color="auto"/>
      </w:divBdr>
    </w:div>
    <w:div w:id="1009722111">
      <w:bodyDiv w:val="1"/>
      <w:marLeft w:val="0"/>
      <w:marRight w:val="0"/>
      <w:marTop w:val="0"/>
      <w:marBottom w:val="0"/>
      <w:divBdr>
        <w:top w:val="none" w:sz="0" w:space="0" w:color="auto"/>
        <w:left w:val="none" w:sz="0" w:space="0" w:color="auto"/>
        <w:bottom w:val="none" w:sz="0" w:space="0" w:color="auto"/>
        <w:right w:val="none" w:sz="0" w:space="0" w:color="auto"/>
      </w:divBdr>
    </w:div>
    <w:div w:id="1013995699">
      <w:bodyDiv w:val="1"/>
      <w:marLeft w:val="0"/>
      <w:marRight w:val="0"/>
      <w:marTop w:val="0"/>
      <w:marBottom w:val="0"/>
      <w:divBdr>
        <w:top w:val="none" w:sz="0" w:space="0" w:color="auto"/>
        <w:left w:val="none" w:sz="0" w:space="0" w:color="auto"/>
        <w:bottom w:val="none" w:sz="0" w:space="0" w:color="auto"/>
        <w:right w:val="none" w:sz="0" w:space="0" w:color="auto"/>
      </w:divBdr>
    </w:div>
    <w:div w:id="1016923576">
      <w:bodyDiv w:val="1"/>
      <w:marLeft w:val="0"/>
      <w:marRight w:val="0"/>
      <w:marTop w:val="0"/>
      <w:marBottom w:val="0"/>
      <w:divBdr>
        <w:top w:val="none" w:sz="0" w:space="0" w:color="auto"/>
        <w:left w:val="none" w:sz="0" w:space="0" w:color="auto"/>
        <w:bottom w:val="none" w:sz="0" w:space="0" w:color="auto"/>
        <w:right w:val="none" w:sz="0" w:space="0" w:color="auto"/>
      </w:divBdr>
    </w:div>
    <w:div w:id="1031345689">
      <w:bodyDiv w:val="1"/>
      <w:marLeft w:val="0"/>
      <w:marRight w:val="0"/>
      <w:marTop w:val="0"/>
      <w:marBottom w:val="0"/>
      <w:divBdr>
        <w:top w:val="none" w:sz="0" w:space="0" w:color="auto"/>
        <w:left w:val="none" w:sz="0" w:space="0" w:color="auto"/>
        <w:bottom w:val="none" w:sz="0" w:space="0" w:color="auto"/>
        <w:right w:val="none" w:sz="0" w:space="0" w:color="auto"/>
      </w:divBdr>
    </w:div>
    <w:div w:id="1044598940">
      <w:bodyDiv w:val="1"/>
      <w:marLeft w:val="0"/>
      <w:marRight w:val="0"/>
      <w:marTop w:val="0"/>
      <w:marBottom w:val="0"/>
      <w:divBdr>
        <w:top w:val="none" w:sz="0" w:space="0" w:color="auto"/>
        <w:left w:val="none" w:sz="0" w:space="0" w:color="auto"/>
        <w:bottom w:val="none" w:sz="0" w:space="0" w:color="auto"/>
        <w:right w:val="none" w:sz="0" w:space="0" w:color="auto"/>
      </w:divBdr>
    </w:div>
    <w:div w:id="1066487343">
      <w:bodyDiv w:val="1"/>
      <w:marLeft w:val="0"/>
      <w:marRight w:val="0"/>
      <w:marTop w:val="0"/>
      <w:marBottom w:val="0"/>
      <w:divBdr>
        <w:top w:val="none" w:sz="0" w:space="0" w:color="auto"/>
        <w:left w:val="none" w:sz="0" w:space="0" w:color="auto"/>
        <w:bottom w:val="none" w:sz="0" w:space="0" w:color="auto"/>
        <w:right w:val="none" w:sz="0" w:space="0" w:color="auto"/>
      </w:divBdr>
    </w:div>
    <w:div w:id="1093210328">
      <w:bodyDiv w:val="1"/>
      <w:marLeft w:val="0"/>
      <w:marRight w:val="0"/>
      <w:marTop w:val="0"/>
      <w:marBottom w:val="0"/>
      <w:divBdr>
        <w:top w:val="none" w:sz="0" w:space="0" w:color="auto"/>
        <w:left w:val="none" w:sz="0" w:space="0" w:color="auto"/>
        <w:bottom w:val="none" w:sz="0" w:space="0" w:color="auto"/>
        <w:right w:val="none" w:sz="0" w:space="0" w:color="auto"/>
      </w:divBdr>
    </w:div>
    <w:div w:id="1106727232">
      <w:bodyDiv w:val="1"/>
      <w:marLeft w:val="0"/>
      <w:marRight w:val="0"/>
      <w:marTop w:val="0"/>
      <w:marBottom w:val="0"/>
      <w:divBdr>
        <w:top w:val="none" w:sz="0" w:space="0" w:color="auto"/>
        <w:left w:val="none" w:sz="0" w:space="0" w:color="auto"/>
        <w:bottom w:val="none" w:sz="0" w:space="0" w:color="auto"/>
        <w:right w:val="none" w:sz="0" w:space="0" w:color="auto"/>
      </w:divBdr>
    </w:div>
    <w:div w:id="1113400623">
      <w:bodyDiv w:val="1"/>
      <w:marLeft w:val="0"/>
      <w:marRight w:val="0"/>
      <w:marTop w:val="0"/>
      <w:marBottom w:val="0"/>
      <w:divBdr>
        <w:top w:val="none" w:sz="0" w:space="0" w:color="auto"/>
        <w:left w:val="none" w:sz="0" w:space="0" w:color="auto"/>
        <w:bottom w:val="none" w:sz="0" w:space="0" w:color="auto"/>
        <w:right w:val="none" w:sz="0" w:space="0" w:color="auto"/>
      </w:divBdr>
    </w:div>
    <w:div w:id="1131703186">
      <w:bodyDiv w:val="1"/>
      <w:marLeft w:val="0"/>
      <w:marRight w:val="0"/>
      <w:marTop w:val="0"/>
      <w:marBottom w:val="0"/>
      <w:divBdr>
        <w:top w:val="none" w:sz="0" w:space="0" w:color="auto"/>
        <w:left w:val="none" w:sz="0" w:space="0" w:color="auto"/>
        <w:bottom w:val="none" w:sz="0" w:space="0" w:color="auto"/>
        <w:right w:val="none" w:sz="0" w:space="0" w:color="auto"/>
      </w:divBdr>
    </w:div>
    <w:div w:id="1154449197">
      <w:bodyDiv w:val="1"/>
      <w:marLeft w:val="0"/>
      <w:marRight w:val="0"/>
      <w:marTop w:val="0"/>
      <w:marBottom w:val="0"/>
      <w:divBdr>
        <w:top w:val="none" w:sz="0" w:space="0" w:color="auto"/>
        <w:left w:val="none" w:sz="0" w:space="0" w:color="auto"/>
        <w:bottom w:val="none" w:sz="0" w:space="0" w:color="auto"/>
        <w:right w:val="none" w:sz="0" w:space="0" w:color="auto"/>
      </w:divBdr>
    </w:div>
    <w:div w:id="1176185771">
      <w:bodyDiv w:val="1"/>
      <w:marLeft w:val="0"/>
      <w:marRight w:val="0"/>
      <w:marTop w:val="0"/>
      <w:marBottom w:val="0"/>
      <w:divBdr>
        <w:top w:val="none" w:sz="0" w:space="0" w:color="auto"/>
        <w:left w:val="none" w:sz="0" w:space="0" w:color="auto"/>
        <w:bottom w:val="none" w:sz="0" w:space="0" w:color="auto"/>
        <w:right w:val="none" w:sz="0" w:space="0" w:color="auto"/>
      </w:divBdr>
    </w:div>
    <w:div w:id="1207371374">
      <w:bodyDiv w:val="1"/>
      <w:marLeft w:val="0"/>
      <w:marRight w:val="0"/>
      <w:marTop w:val="0"/>
      <w:marBottom w:val="0"/>
      <w:divBdr>
        <w:top w:val="none" w:sz="0" w:space="0" w:color="auto"/>
        <w:left w:val="none" w:sz="0" w:space="0" w:color="auto"/>
        <w:bottom w:val="none" w:sz="0" w:space="0" w:color="auto"/>
        <w:right w:val="none" w:sz="0" w:space="0" w:color="auto"/>
      </w:divBdr>
    </w:div>
    <w:div w:id="1209494757">
      <w:bodyDiv w:val="1"/>
      <w:marLeft w:val="0"/>
      <w:marRight w:val="0"/>
      <w:marTop w:val="0"/>
      <w:marBottom w:val="0"/>
      <w:divBdr>
        <w:top w:val="none" w:sz="0" w:space="0" w:color="auto"/>
        <w:left w:val="none" w:sz="0" w:space="0" w:color="auto"/>
        <w:bottom w:val="none" w:sz="0" w:space="0" w:color="auto"/>
        <w:right w:val="none" w:sz="0" w:space="0" w:color="auto"/>
      </w:divBdr>
    </w:div>
    <w:div w:id="1223520981">
      <w:bodyDiv w:val="1"/>
      <w:marLeft w:val="0"/>
      <w:marRight w:val="0"/>
      <w:marTop w:val="0"/>
      <w:marBottom w:val="0"/>
      <w:divBdr>
        <w:top w:val="none" w:sz="0" w:space="0" w:color="auto"/>
        <w:left w:val="none" w:sz="0" w:space="0" w:color="auto"/>
        <w:bottom w:val="none" w:sz="0" w:space="0" w:color="auto"/>
        <w:right w:val="none" w:sz="0" w:space="0" w:color="auto"/>
      </w:divBdr>
    </w:div>
    <w:div w:id="1230457344">
      <w:bodyDiv w:val="1"/>
      <w:marLeft w:val="0"/>
      <w:marRight w:val="0"/>
      <w:marTop w:val="0"/>
      <w:marBottom w:val="0"/>
      <w:divBdr>
        <w:top w:val="none" w:sz="0" w:space="0" w:color="auto"/>
        <w:left w:val="none" w:sz="0" w:space="0" w:color="auto"/>
        <w:bottom w:val="none" w:sz="0" w:space="0" w:color="auto"/>
        <w:right w:val="none" w:sz="0" w:space="0" w:color="auto"/>
      </w:divBdr>
    </w:div>
    <w:div w:id="1245450952">
      <w:bodyDiv w:val="1"/>
      <w:marLeft w:val="0"/>
      <w:marRight w:val="0"/>
      <w:marTop w:val="0"/>
      <w:marBottom w:val="0"/>
      <w:divBdr>
        <w:top w:val="none" w:sz="0" w:space="0" w:color="auto"/>
        <w:left w:val="none" w:sz="0" w:space="0" w:color="auto"/>
        <w:bottom w:val="none" w:sz="0" w:space="0" w:color="auto"/>
        <w:right w:val="none" w:sz="0" w:space="0" w:color="auto"/>
      </w:divBdr>
    </w:div>
    <w:div w:id="1268541077">
      <w:bodyDiv w:val="1"/>
      <w:marLeft w:val="0"/>
      <w:marRight w:val="0"/>
      <w:marTop w:val="0"/>
      <w:marBottom w:val="0"/>
      <w:divBdr>
        <w:top w:val="none" w:sz="0" w:space="0" w:color="auto"/>
        <w:left w:val="none" w:sz="0" w:space="0" w:color="auto"/>
        <w:bottom w:val="none" w:sz="0" w:space="0" w:color="auto"/>
        <w:right w:val="none" w:sz="0" w:space="0" w:color="auto"/>
      </w:divBdr>
    </w:div>
    <w:div w:id="1274022278">
      <w:bodyDiv w:val="1"/>
      <w:marLeft w:val="0"/>
      <w:marRight w:val="0"/>
      <w:marTop w:val="0"/>
      <w:marBottom w:val="0"/>
      <w:divBdr>
        <w:top w:val="none" w:sz="0" w:space="0" w:color="auto"/>
        <w:left w:val="none" w:sz="0" w:space="0" w:color="auto"/>
        <w:bottom w:val="none" w:sz="0" w:space="0" w:color="auto"/>
        <w:right w:val="none" w:sz="0" w:space="0" w:color="auto"/>
      </w:divBdr>
    </w:div>
    <w:div w:id="1288508370">
      <w:bodyDiv w:val="1"/>
      <w:marLeft w:val="0"/>
      <w:marRight w:val="0"/>
      <w:marTop w:val="0"/>
      <w:marBottom w:val="0"/>
      <w:divBdr>
        <w:top w:val="none" w:sz="0" w:space="0" w:color="auto"/>
        <w:left w:val="none" w:sz="0" w:space="0" w:color="auto"/>
        <w:bottom w:val="none" w:sz="0" w:space="0" w:color="auto"/>
        <w:right w:val="none" w:sz="0" w:space="0" w:color="auto"/>
      </w:divBdr>
    </w:div>
    <w:div w:id="1294795728">
      <w:bodyDiv w:val="1"/>
      <w:marLeft w:val="0"/>
      <w:marRight w:val="0"/>
      <w:marTop w:val="0"/>
      <w:marBottom w:val="0"/>
      <w:divBdr>
        <w:top w:val="none" w:sz="0" w:space="0" w:color="auto"/>
        <w:left w:val="none" w:sz="0" w:space="0" w:color="auto"/>
        <w:bottom w:val="none" w:sz="0" w:space="0" w:color="auto"/>
        <w:right w:val="none" w:sz="0" w:space="0" w:color="auto"/>
      </w:divBdr>
    </w:div>
    <w:div w:id="1317956993">
      <w:bodyDiv w:val="1"/>
      <w:marLeft w:val="0"/>
      <w:marRight w:val="0"/>
      <w:marTop w:val="0"/>
      <w:marBottom w:val="0"/>
      <w:divBdr>
        <w:top w:val="none" w:sz="0" w:space="0" w:color="auto"/>
        <w:left w:val="none" w:sz="0" w:space="0" w:color="auto"/>
        <w:bottom w:val="none" w:sz="0" w:space="0" w:color="auto"/>
        <w:right w:val="none" w:sz="0" w:space="0" w:color="auto"/>
      </w:divBdr>
    </w:div>
    <w:div w:id="1319184947">
      <w:bodyDiv w:val="1"/>
      <w:marLeft w:val="0"/>
      <w:marRight w:val="0"/>
      <w:marTop w:val="0"/>
      <w:marBottom w:val="0"/>
      <w:divBdr>
        <w:top w:val="none" w:sz="0" w:space="0" w:color="auto"/>
        <w:left w:val="none" w:sz="0" w:space="0" w:color="auto"/>
        <w:bottom w:val="none" w:sz="0" w:space="0" w:color="auto"/>
        <w:right w:val="none" w:sz="0" w:space="0" w:color="auto"/>
      </w:divBdr>
    </w:div>
    <w:div w:id="1322346419">
      <w:bodyDiv w:val="1"/>
      <w:marLeft w:val="0"/>
      <w:marRight w:val="0"/>
      <w:marTop w:val="0"/>
      <w:marBottom w:val="0"/>
      <w:divBdr>
        <w:top w:val="none" w:sz="0" w:space="0" w:color="auto"/>
        <w:left w:val="none" w:sz="0" w:space="0" w:color="auto"/>
        <w:bottom w:val="none" w:sz="0" w:space="0" w:color="auto"/>
        <w:right w:val="none" w:sz="0" w:space="0" w:color="auto"/>
      </w:divBdr>
    </w:div>
    <w:div w:id="1326668301">
      <w:bodyDiv w:val="1"/>
      <w:marLeft w:val="0"/>
      <w:marRight w:val="0"/>
      <w:marTop w:val="0"/>
      <w:marBottom w:val="0"/>
      <w:divBdr>
        <w:top w:val="none" w:sz="0" w:space="0" w:color="auto"/>
        <w:left w:val="none" w:sz="0" w:space="0" w:color="auto"/>
        <w:bottom w:val="none" w:sz="0" w:space="0" w:color="auto"/>
        <w:right w:val="none" w:sz="0" w:space="0" w:color="auto"/>
      </w:divBdr>
    </w:div>
    <w:div w:id="1350373877">
      <w:bodyDiv w:val="1"/>
      <w:marLeft w:val="0"/>
      <w:marRight w:val="0"/>
      <w:marTop w:val="0"/>
      <w:marBottom w:val="0"/>
      <w:divBdr>
        <w:top w:val="none" w:sz="0" w:space="0" w:color="auto"/>
        <w:left w:val="none" w:sz="0" w:space="0" w:color="auto"/>
        <w:bottom w:val="none" w:sz="0" w:space="0" w:color="auto"/>
        <w:right w:val="none" w:sz="0" w:space="0" w:color="auto"/>
      </w:divBdr>
    </w:div>
    <w:div w:id="1352150429">
      <w:bodyDiv w:val="1"/>
      <w:marLeft w:val="0"/>
      <w:marRight w:val="0"/>
      <w:marTop w:val="0"/>
      <w:marBottom w:val="0"/>
      <w:divBdr>
        <w:top w:val="none" w:sz="0" w:space="0" w:color="auto"/>
        <w:left w:val="none" w:sz="0" w:space="0" w:color="auto"/>
        <w:bottom w:val="none" w:sz="0" w:space="0" w:color="auto"/>
        <w:right w:val="none" w:sz="0" w:space="0" w:color="auto"/>
      </w:divBdr>
    </w:div>
    <w:div w:id="1368992191">
      <w:bodyDiv w:val="1"/>
      <w:marLeft w:val="0"/>
      <w:marRight w:val="0"/>
      <w:marTop w:val="0"/>
      <w:marBottom w:val="0"/>
      <w:divBdr>
        <w:top w:val="none" w:sz="0" w:space="0" w:color="auto"/>
        <w:left w:val="none" w:sz="0" w:space="0" w:color="auto"/>
        <w:bottom w:val="none" w:sz="0" w:space="0" w:color="auto"/>
        <w:right w:val="none" w:sz="0" w:space="0" w:color="auto"/>
      </w:divBdr>
    </w:div>
    <w:div w:id="1369405817">
      <w:bodyDiv w:val="1"/>
      <w:marLeft w:val="0"/>
      <w:marRight w:val="0"/>
      <w:marTop w:val="0"/>
      <w:marBottom w:val="0"/>
      <w:divBdr>
        <w:top w:val="none" w:sz="0" w:space="0" w:color="auto"/>
        <w:left w:val="none" w:sz="0" w:space="0" w:color="auto"/>
        <w:bottom w:val="none" w:sz="0" w:space="0" w:color="auto"/>
        <w:right w:val="none" w:sz="0" w:space="0" w:color="auto"/>
      </w:divBdr>
    </w:div>
    <w:div w:id="1372801979">
      <w:bodyDiv w:val="1"/>
      <w:marLeft w:val="0"/>
      <w:marRight w:val="0"/>
      <w:marTop w:val="0"/>
      <w:marBottom w:val="0"/>
      <w:divBdr>
        <w:top w:val="none" w:sz="0" w:space="0" w:color="auto"/>
        <w:left w:val="none" w:sz="0" w:space="0" w:color="auto"/>
        <w:bottom w:val="none" w:sz="0" w:space="0" w:color="auto"/>
        <w:right w:val="none" w:sz="0" w:space="0" w:color="auto"/>
      </w:divBdr>
    </w:div>
    <w:div w:id="1386294540">
      <w:bodyDiv w:val="1"/>
      <w:marLeft w:val="0"/>
      <w:marRight w:val="0"/>
      <w:marTop w:val="0"/>
      <w:marBottom w:val="0"/>
      <w:divBdr>
        <w:top w:val="none" w:sz="0" w:space="0" w:color="auto"/>
        <w:left w:val="none" w:sz="0" w:space="0" w:color="auto"/>
        <w:bottom w:val="none" w:sz="0" w:space="0" w:color="auto"/>
        <w:right w:val="none" w:sz="0" w:space="0" w:color="auto"/>
      </w:divBdr>
    </w:div>
    <w:div w:id="1388141961">
      <w:bodyDiv w:val="1"/>
      <w:marLeft w:val="0"/>
      <w:marRight w:val="0"/>
      <w:marTop w:val="0"/>
      <w:marBottom w:val="0"/>
      <w:divBdr>
        <w:top w:val="none" w:sz="0" w:space="0" w:color="auto"/>
        <w:left w:val="none" w:sz="0" w:space="0" w:color="auto"/>
        <w:bottom w:val="none" w:sz="0" w:space="0" w:color="auto"/>
        <w:right w:val="none" w:sz="0" w:space="0" w:color="auto"/>
      </w:divBdr>
    </w:div>
    <w:div w:id="1389917343">
      <w:bodyDiv w:val="1"/>
      <w:marLeft w:val="0"/>
      <w:marRight w:val="0"/>
      <w:marTop w:val="0"/>
      <w:marBottom w:val="0"/>
      <w:divBdr>
        <w:top w:val="none" w:sz="0" w:space="0" w:color="auto"/>
        <w:left w:val="none" w:sz="0" w:space="0" w:color="auto"/>
        <w:bottom w:val="none" w:sz="0" w:space="0" w:color="auto"/>
        <w:right w:val="none" w:sz="0" w:space="0" w:color="auto"/>
      </w:divBdr>
    </w:div>
    <w:div w:id="1409379431">
      <w:bodyDiv w:val="1"/>
      <w:marLeft w:val="0"/>
      <w:marRight w:val="0"/>
      <w:marTop w:val="0"/>
      <w:marBottom w:val="0"/>
      <w:divBdr>
        <w:top w:val="none" w:sz="0" w:space="0" w:color="auto"/>
        <w:left w:val="none" w:sz="0" w:space="0" w:color="auto"/>
        <w:bottom w:val="none" w:sz="0" w:space="0" w:color="auto"/>
        <w:right w:val="none" w:sz="0" w:space="0" w:color="auto"/>
      </w:divBdr>
    </w:div>
    <w:div w:id="1414543264">
      <w:bodyDiv w:val="1"/>
      <w:marLeft w:val="0"/>
      <w:marRight w:val="0"/>
      <w:marTop w:val="0"/>
      <w:marBottom w:val="0"/>
      <w:divBdr>
        <w:top w:val="none" w:sz="0" w:space="0" w:color="auto"/>
        <w:left w:val="none" w:sz="0" w:space="0" w:color="auto"/>
        <w:bottom w:val="none" w:sz="0" w:space="0" w:color="auto"/>
        <w:right w:val="none" w:sz="0" w:space="0" w:color="auto"/>
      </w:divBdr>
    </w:div>
    <w:div w:id="1434282918">
      <w:bodyDiv w:val="1"/>
      <w:marLeft w:val="0"/>
      <w:marRight w:val="0"/>
      <w:marTop w:val="0"/>
      <w:marBottom w:val="0"/>
      <w:divBdr>
        <w:top w:val="none" w:sz="0" w:space="0" w:color="auto"/>
        <w:left w:val="none" w:sz="0" w:space="0" w:color="auto"/>
        <w:bottom w:val="none" w:sz="0" w:space="0" w:color="auto"/>
        <w:right w:val="none" w:sz="0" w:space="0" w:color="auto"/>
      </w:divBdr>
    </w:div>
    <w:div w:id="1443568983">
      <w:bodyDiv w:val="1"/>
      <w:marLeft w:val="0"/>
      <w:marRight w:val="0"/>
      <w:marTop w:val="0"/>
      <w:marBottom w:val="0"/>
      <w:divBdr>
        <w:top w:val="none" w:sz="0" w:space="0" w:color="auto"/>
        <w:left w:val="none" w:sz="0" w:space="0" w:color="auto"/>
        <w:bottom w:val="none" w:sz="0" w:space="0" w:color="auto"/>
        <w:right w:val="none" w:sz="0" w:space="0" w:color="auto"/>
      </w:divBdr>
    </w:div>
    <w:div w:id="1451776324">
      <w:bodyDiv w:val="1"/>
      <w:marLeft w:val="0"/>
      <w:marRight w:val="0"/>
      <w:marTop w:val="0"/>
      <w:marBottom w:val="0"/>
      <w:divBdr>
        <w:top w:val="none" w:sz="0" w:space="0" w:color="auto"/>
        <w:left w:val="none" w:sz="0" w:space="0" w:color="auto"/>
        <w:bottom w:val="none" w:sz="0" w:space="0" w:color="auto"/>
        <w:right w:val="none" w:sz="0" w:space="0" w:color="auto"/>
      </w:divBdr>
    </w:div>
    <w:div w:id="1460491827">
      <w:bodyDiv w:val="1"/>
      <w:marLeft w:val="0"/>
      <w:marRight w:val="0"/>
      <w:marTop w:val="0"/>
      <w:marBottom w:val="0"/>
      <w:divBdr>
        <w:top w:val="none" w:sz="0" w:space="0" w:color="auto"/>
        <w:left w:val="none" w:sz="0" w:space="0" w:color="auto"/>
        <w:bottom w:val="none" w:sz="0" w:space="0" w:color="auto"/>
        <w:right w:val="none" w:sz="0" w:space="0" w:color="auto"/>
      </w:divBdr>
    </w:div>
    <w:div w:id="1472868964">
      <w:bodyDiv w:val="1"/>
      <w:marLeft w:val="0"/>
      <w:marRight w:val="0"/>
      <w:marTop w:val="0"/>
      <w:marBottom w:val="0"/>
      <w:divBdr>
        <w:top w:val="none" w:sz="0" w:space="0" w:color="auto"/>
        <w:left w:val="none" w:sz="0" w:space="0" w:color="auto"/>
        <w:bottom w:val="none" w:sz="0" w:space="0" w:color="auto"/>
        <w:right w:val="none" w:sz="0" w:space="0" w:color="auto"/>
      </w:divBdr>
    </w:div>
    <w:div w:id="1505516015">
      <w:bodyDiv w:val="1"/>
      <w:marLeft w:val="0"/>
      <w:marRight w:val="0"/>
      <w:marTop w:val="0"/>
      <w:marBottom w:val="0"/>
      <w:divBdr>
        <w:top w:val="none" w:sz="0" w:space="0" w:color="auto"/>
        <w:left w:val="none" w:sz="0" w:space="0" w:color="auto"/>
        <w:bottom w:val="none" w:sz="0" w:space="0" w:color="auto"/>
        <w:right w:val="none" w:sz="0" w:space="0" w:color="auto"/>
      </w:divBdr>
    </w:div>
    <w:div w:id="1535463738">
      <w:bodyDiv w:val="1"/>
      <w:marLeft w:val="0"/>
      <w:marRight w:val="0"/>
      <w:marTop w:val="0"/>
      <w:marBottom w:val="0"/>
      <w:divBdr>
        <w:top w:val="none" w:sz="0" w:space="0" w:color="auto"/>
        <w:left w:val="none" w:sz="0" w:space="0" w:color="auto"/>
        <w:bottom w:val="none" w:sz="0" w:space="0" w:color="auto"/>
        <w:right w:val="none" w:sz="0" w:space="0" w:color="auto"/>
      </w:divBdr>
    </w:div>
    <w:div w:id="1546527576">
      <w:bodyDiv w:val="1"/>
      <w:marLeft w:val="0"/>
      <w:marRight w:val="0"/>
      <w:marTop w:val="0"/>
      <w:marBottom w:val="0"/>
      <w:divBdr>
        <w:top w:val="none" w:sz="0" w:space="0" w:color="auto"/>
        <w:left w:val="none" w:sz="0" w:space="0" w:color="auto"/>
        <w:bottom w:val="none" w:sz="0" w:space="0" w:color="auto"/>
        <w:right w:val="none" w:sz="0" w:space="0" w:color="auto"/>
      </w:divBdr>
    </w:div>
    <w:div w:id="1553886334">
      <w:bodyDiv w:val="1"/>
      <w:marLeft w:val="0"/>
      <w:marRight w:val="0"/>
      <w:marTop w:val="0"/>
      <w:marBottom w:val="0"/>
      <w:divBdr>
        <w:top w:val="none" w:sz="0" w:space="0" w:color="auto"/>
        <w:left w:val="none" w:sz="0" w:space="0" w:color="auto"/>
        <w:bottom w:val="none" w:sz="0" w:space="0" w:color="auto"/>
        <w:right w:val="none" w:sz="0" w:space="0" w:color="auto"/>
      </w:divBdr>
    </w:div>
    <w:div w:id="1564829332">
      <w:bodyDiv w:val="1"/>
      <w:marLeft w:val="0"/>
      <w:marRight w:val="0"/>
      <w:marTop w:val="0"/>
      <w:marBottom w:val="0"/>
      <w:divBdr>
        <w:top w:val="none" w:sz="0" w:space="0" w:color="auto"/>
        <w:left w:val="none" w:sz="0" w:space="0" w:color="auto"/>
        <w:bottom w:val="none" w:sz="0" w:space="0" w:color="auto"/>
        <w:right w:val="none" w:sz="0" w:space="0" w:color="auto"/>
      </w:divBdr>
    </w:div>
    <w:div w:id="1576162626">
      <w:bodyDiv w:val="1"/>
      <w:marLeft w:val="0"/>
      <w:marRight w:val="0"/>
      <w:marTop w:val="0"/>
      <w:marBottom w:val="0"/>
      <w:divBdr>
        <w:top w:val="none" w:sz="0" w:space="0" w:color="auto"/>
        <w:left w:val="none" w:sz="0" w:space="0" w:color="auto"/>
        <w:bottom w:val="none" w:sz="0" w:space="0" w:color="auto"/>
        <w:right w:val="none" w:sz="0" w:space="0" w:color="auto"/>
      </w:divBdr>
    </w:div>
    <w:div w:id="1579901759">
      <w:bodyDiv w:val="1"/>
      <w:marLeft w:val="0"/>
      <w:marRight w:val="0"/>
      <w:marTop w:val="0"/>
      <w:marBottom w:val="0"/>
      <w:divBdr>
        <w:top w:val="none" w:sz="0" w:space="0" w:color="auto"/>
        <w:left w:val="none" w:sz="0" w:space="0" w:color="auto"/>
        <w:bottom w:val="none" w:sz="0" w:space="0" w:color="auto"/>
        <w:right w:val="none" w:sz="0" w:space="0" w:color="auto"/>
      </w:divBdr>
    </w:div>
    <w:div w:id="1583836986">
      <w:bodyDiv w:val="1"/>
      <w:marLeft w:val="0"/>
      <w:marRight w:val="0"/>
      <w:marTop w:val="0"/>
      <w:marBottom w:val="0"/>
      <w:divBdr>
        <w:top w:val="none" w:sz="0" w:space="0" w:color="auto"/>
        <w:left w:val="none" w:sz="0" w:space="0" w:color="auto"/>
        <w:bottom w:val="none" w:sz="0" w:space="0" w:color="auto"/>
        <w:right w:val="none" w:sz="0" w:space="0" w:color="auto"/>
      </w:divBdr>
    </w:div>
    <w:div w:id="1584290310">
      <w:bodyDiv w:val="1"/>
      <w:marLeft w:val="0"/>
      <w:marRight w:val="0"/>
      <w:marTop w:val="0"/>
      <w:marBottom w:val="0"/>
      <w:divBdr>
        <w:top w:val="none" w:sz="0" w:space="0" w:color="auto"/>
        <w:left w:val="none" w:sz="0" w:space="0" w:color="auto"/>
        <w:bottom w:val="none" w:sz="0" w:space="0" w:color="auto"/>
        <w:right w:val="none" w:sz="0" w:space="0" w:color="auto"/>
      </w:divBdr>
    </w:div>
    <w:div w:id="1587689361">
      <w:bodyDiv w:val="1"/>
      <w:marLeft w:val="0"/>
      <w:marRight w:val="0"/>
      <w:marTop w:val="0"/>
      <w:marBottom w:val="0"/>
      <w:divBdr>
        <w:top w:val="none" w:sz="0" w:space="0" w:color="auto"/>
        <w:left w:val="none" w:sz="0" w:space="0" w:color="auto"/>
        <w:bottom w:val="none" w:sz="0" w:space="0" w:color="auto"/>
        <w:right w:val="none" w:sz="0" w:space="0" w:color="auto"/>
      </w:divBdr>
    </w:div>
    <w:div w:id="1620185998">
      <w:bodyDiv w:val="1"/>
      <w:marLeft w:val="0"/>
      <w:marRight w:val="0"/>
      <w:marTop w:val="0"/>
      <w:marBottom w:val="0"/>
      <w:divBdr>
        <w:top w:val="none" w:sz="0" w:space="0" w:color="auto"/>
        <w:left w:val="none" w:sz="0" w:space="0" w:color="auto"/>
        <w:bottom w:val="none" w:sz="0" w:space="0" w:color="auto"/>
        <w:right w:val="none" w:sz="0" w:space="0" w:color="auto"/>
      </w:divBdr>
    </w:div>
    <w:div w:id="1622803199">
      <w:bodyDiv w:val="1"/>
      <w:marLeft w:val="0"/>
      <w:marRight w:val="0"/>
      <w:marTop w:val="0"/>
      <w:marBottom w:val="0"/>
      <w:divBdr>
        <w:top w:val="none" w:sz="0" w:space="0" w:color="auto"/>
        <w:left w:val="none" w:sz="0" w:space="0" w:color="auto"/>
        <w:bottom w:val="none" w:sz="0" w:space="0" w:color="auto"/>
        <w:right w:val="none" w:sz="0" w:space="0" w:color="auto"/>
      </w:divBdr>
    </w:div>
    <w:div w:id="1636177374">
      <w:bodyDiv w:val="1"/>
      <w:marLeft w:val="0"/>
      <w:marRight w:val="0"/>
      <w:marTop w:val="0"/>
      <w:marBottom w:val="0"/>
      <w:divBdr>
        <w:top w:val="none" w:sz="0" w:space="0" w:color="auto"/>
        <w:left w:val="none" w:sz="0" w:space="0" w:color="auto"/>
        <w:bottom w:val="none" w:sz="0" w:space="0" w:color="auto"/>
        <w:right w:val="none" w:sz="0" w:space="0" w:color="auto"/>
      </w:divBdr>
    </w:div>
    <w:div w:id="1652565610">
      <w:bodyDiv w:val="1"/>
      <w:marLeft w:val="0"/>
      <w:marRight w:val="0"/>
      <w:marTop w:val="0"/>
      <w:marBottom w:val="0"/>
      <w:divBdr>
        <w:top w:val="none" w:sz="0" w:space="0" w:color="auto"/>
        <w:left w:val="none" w:sz="0" w:space="0" w:color="auto"/>
        <w:bottom w:val="none" w:sz="0" w:space="0" w:color="auto"/>
        <w:right w:val="none" w:sz="0" w:space="0" w:color="auto"/>
      </w:divBdr>
    </w:div>
    <w:div w:id="1653876253">
      <w:bodyDiv w:val="1"/>
      <w:marLeft w:val="0"/>
      <w:marRight w:val="0"/>
      <w:marTop w:val="0"/>
      <w:marBottom w:val="0"/>
      <w:divBdr>
        <w:top w:val="none" w:sz="0" w:space="0" w:color="auto"/>
        <w:left w:val="none" w:sz="0" w:space="0" w:color="auto"/>
        <w:bottom w:val="none" w:sz="0" w:space="0" w:color="auto"/>
        <w:right w:val="none" w:sz="0" w:space="0" w:color="auto"/>
      </w:divBdr>
    </w:div>
    <w:div w:id="1654749062">
      <w:bodyDiv w:val="1"/>
      <w:marLeft w:val="0"/>
      <w:marRight w:val="0"/>
      <w:marTop w:val="0"/>
      <w:marBottom w:val="0"/>
      <w:divBdr>
        <w:top w:val="none" w:sz="0" w:space="0" w:color="auto"/>
        <w:left w:val="none" w:sz="0" w:space="0" w:color="auto"/>
        <w:bottom w:val="none" w:sz="0" w:space="0" w:color="auto"/>
        <w:right w:val="none" w:sz="0" w:space="0" w:color="auto"/>
      </w:divBdr>
    </w:div>
    <w:div w:id="1657103182">
      <w:bodyDiv w:val="1"/>
      <w:marLeft w:val="0"/>
      <w:marRight w:val="0"/>
      <w:marTop w:val="0"/>
      <w:marBottom w:val="0"/>
      <w:divBdr>
        <w:top w:val="none" w:sz="0" w:space="0" w:color="auto"/>
        <w:left w:val="none" w:sz="0" w:space="0" w:color="auto"/>
        <w:bottom w:val="none" w:sz="0" w:space="0" w:color="auto"/>
        <w:right w:val="none" w:sz="0" w:space="0" w:color="auto"/>
      </w:divBdr>
    </w:div>
    <w:div w:id="1667438272">
      <w:bodyDiv w:val="1"/>
      <w:marLeft w:val="0"/>
      <w:marRight w:val="0"/>
      <w:marTop w:val="0"/>
      <w:marBottom w:val="0"/>
      <w:divBdr>
        <w:top w:val="none" w:sz="0" w:space="0" w:color="auto"/>
        <w:left w:val="none" w:sz="0" w:space="0" w:color="auto"/>
        <w:bottom w:val="none" w:sz="0" w:space="0" w:color="auto"/>
        <w:right w:val="none" w:sz="0" w:space="0" w:color="auto"/>
      </w:divBdr>
    </w:div>
    <w:div w:id="1668170874">
      <w:bodyDiv w:val="1"/>
      <w:marLeft w:val="0"/>
      <w:marRight w:val="0"/>
      <w:marTop w:val="0"/>
      <w:marBottom w:val="0"/>
      <w:divBdr>
        <w:top w:val="none" w:sz="0" w:space="0" w:color="auto"/>
        <w:left w:val="none" w:sz="0" w:space="0" w:color="auto"/>
        <w:bottom w:val="none" w:sz="0" w:space="0" w:color="auto"/>
        <w:right w:val="none" w:sz="0" w:space="0" w:color="auto"/>
      </w:divBdr>
    </w:div>
    <w:div w:id="1676301549">
      <w:bodyDiv w:val="1"/>
      <w:marLeft w:val="0"/>
      <w:marRight w:val="0"/>
      <w:marTop w:val="0"/>
      <w:marBottom w:val="0"/>
      <w:divBdr>
        <w:top w:val="none" w:sz="0" w:space="0" w:color="auto"/>
        <w:left w:val="none" w:sz="0" w:space="0" w:color="auto"/>
        <w:bottom w:val="none" w:sz="0" w:space="0" w:color="auto"/>
        <w:right w:val="none" w:sz="0" w:space="0" w:color="auto"/>
      </w:divBdr>
    </w:div>
    <w:div w:id="1685670064">
      <w:bodyDiv w:val="1"/>
      <w:marLeft w:val="0"/>
      <w:marRight w:val="0"/>
      <w:marTop w:val="0"/>
      <w:marBottom w:val="0"/>
      <w:divBdr>
        <w:top w:val="none" w:sz="0" w:space="0" w:color="auto"/>
        <w:left w:val="none" w:sz="0" w:space="0" w:color="auto"/>
        <w:bottom w:val="none" w:sz="0" w:space="0" w:color="auto"/>
        <w:right w:val="none" w:sz="0" w:space="0" w:color="auto"/>
      </w:divBdr>
    </w:div>
    <w:div w:id="1691027356">
      <w:bodyDiv w:val="1"/>
      <w:marLeft w:val="0"/>
      <w:marRight w:val="0"/>
      <w:marTop w:val="0"/>
      <w:marBottom w:val="0"/>
      <w:divBdr>
        <w:top w:val="none" w:sz="0" w:space="0" w:color="auto"/>
        <w:left w:val="none" w:sz="0" w:space="0" w:color="auto"/>
        <w:bottom w:val="none" w:sz="0" w:space="0" w:color="auto"/>
        <w:right w:val="none" w:sz="0" w:space="0" w:color="auto"/>
      </w:divBdr>
    </w:div>
    <w:div w:id="1707295382">
      <w:bodyDiv w:val="1"/>
      <w:marLeft w:val="0"/>
      <w:marRight w:val="0"/>
      <w:marTop w:val="0"/>
      <w:marBottom w:val="0"/>
      <w:divBdr>
        <w:top w:val="none" w:sz="0" w:space="0" w:color="auto"/>
        <w:left w:val="none" w:sz="0" w:space="0" w:color="auto"/>
        <w:bottom w:val="none" w:sz="0" w:space="0" w:color="auto"/>
        <w:right w:val="none" w:sz="0" w:space="0" w:color="auto"/>
      </w:divBdr>
    </w:div>
    <w:div w:id="1713462509">
      <w:bodyDiv w:val="1"/>
      <w:marLeft w:val="0"/>
      <w:marRight w:val="0"/>
      <w:marTop w:val="0"/>
      <w:marBottom w:val="0"/>
      <w:divBdr>
        <w:top w:val="none" w:sz="0" w:space="0" w:color="auto"/>
        <w:left w:val="none" w:sz="0" w:space="0" w:color="auto"/>
        <w:bottom w:val="none" w:sz="0" w:space="0" w:color="auto"/>
        <w:right w:val="none" w:sz="0" w:space="0" w:color="auto"/>
      </w:divBdr>
    </w:div>
    <w:div w:id="1716008606">
      <w:bodyDiv w:val="1"/>
      <w:marLeft w:val="0"/>
      <w:marRight w:val="0"/>
      <w:marTop w:val="0"/>
      <w:marBottom w:val="0"/>
      <w:divBdr>
        <w:top w:val="none" w:sz="0" w:space="0" w:color="auto"/>
        <w:left w:val="none" w:sz="0" w:space="0" w:color="auto"/>
        <w:bottom w:val="none" w:sz="0" w:space="0" w:color="auto"/>
        <w:right w:val="none" w:sz="0" w:space="0" w:color="auto"/>
      </w:divBdr>
    </w:div>
    <w:div w:id="1724910031">
      <w:bodyDiv w:val="1"/>
      <w:marLeft w:val="0"/>
      <w:marRight w:val="0"/>
      <w:marTop w:val="0"/>
      <w:marBottom w:val="0"/>
      <w:divBdr>
        <w:top w:val="none" w:sz="0" w:space="0" w:color="auto"/>
        <w:left w:val="none" w:sz="0" w:space="0" w:color="auto"/>
        <w:bottom w:val="none" w:sz="0" w:space="0" w:color="auto"/>
        <w:right w:val="none" w:sz="0" w:space="0" w:color="auto"/>
      </w:divBdr>
    </w:div>
    <w:div w:id="1732773200">
      <w:bodyDiv w:val="1"/>
      <w:marLeft w:val="0"/>
      <w:marRight w:val="0"/>
      <w:marTop w:val="0"/>
      <w:marBottom w:val="0"/>
      <w:divBdr>
        <w:top w:val="none" w:sz="0" w:space="0" w:color="auto"/>
        <w:left w:val="none" w:sz="0" w:space="0" w:color="auto"/>
        <w:bottom w:val="none" w:sz="0" w:space="0" w:color="auto"/>
        <w:right w:val="none" w:sz="0" w:space="0" w:color="auto"/>
      </w:divBdr>
    </w:div>
    <w:div w:id="1742561570">
      <w:bodyDiv w:val="1"/>
      <w:marLeft w:val="0"/>
      <w:marRight w:val="0"/>
      <w:marTop w:val="0"/>
      <w:marBottom w:val="0"/>
      <w:divBdr>
        <w:top w:val="none" w:sz="0" w:space="0" w:color="auto"/>
        <w:left w:val="none" w:sz="0" w:space="0" w:color="auto"/>
        <w:bottom w:val="none" w:sz="0" w:space="0" w:color="auto"/>
        <w:right w:val="none" w:sz="0" w:space="0" w:color="auto"/>
      </w:divBdr>
    </w:div>
    <w:div w:id="1749883954">
      <w:bodyDiv w:val="1"/>
      <w:marLeft w:val="0"/>
      <w:marRight w:val="0"/>
      <w:marTop w:val="0"/>
      <w:marBottom w:val="0"/>
      <w:divBdr>
        <w:top w:val="none" w:sz="0" w:space="0" w:color="auto"/>
        <w:left w:val="none" w:sz="0" w:space="0" w:color="auto"/>
        <w:bottom w:val="none" w:sz="0" w:space="0" w:color="auto"/>
        <w:right w:val="none" w:sz="0" w:space="0" w:color="auto"/>
      </w:divBdr>
    </w:div>
    <w:div w:id="1753040649">
      <w:bodyDiv w:val="1"/>
      <w:marLeft w:val="0"/>
      <w:marRight w:val="0"/>
      <w:marTop w:val="0"/>
      <w:marBottom w:val="0"/>
      <w:divBdr>
        <w:top w:val="none" w:sz="0" w:space="0" w:color="auto"/>
        <w:left w:val="none" w:sz="0" w:space="0" w:color="auto"/>
        <w:bottom w:val="none" w:sz="0" w:space="0" w:color="auto"/>
        <w:right w:val="none" w:sz="0" w:space="0" w:color="auto"/>
      </w:divBdr>
    </w:div>
    <w:div w:id="1765295438">
      <w:bodyDiv w:val="1"/>
      <w:marLeft w:val="0"/>
      <w:marRight w:val="0"/>
      <w:marTop w:val="0"/>
      <w:marBottom w:val="0"/>
      <w:divBdr>
        <w:top w:val="none" w:sz="0" w:space="0" w:color="auto"/>
        <w:left w:val="none" w:sz="0" w:space="0" w:color="auto"/>
        <w:bottom w:val="none" w:sz="0" w:space="0" w:color="auto"/>
        <w:right w:val="none" w:sz="0" w:space="0" w:color="auto"/>
      </w:divBdr>
    </w:div>
    <w:div w:id="1770655307">
      <w:bodyDiv w:val="1"/>
      <w:marLeft w:val="0"/>
      <w:marRight w:val="0"/>
      <w:marTop w:val="0"/>
      <w:marBottom w:val="0"/>
      <w:divBdr>
        <w:top w:val="none" w:sz="0" w:space="0" w:color="auto"/>
        <w:left w:val="none" w:sz="0" w:space="0" w:color="auto"/>
        <w:bottom w:val="none" w:sz="0" w:space="0" w:color="auto"/>
        <w:right w:val="none" w:sz="0" w:space="0" w:color="auto"/>
      </w:divBdr>
    </w:div>
    <w:div w:id="1796831525">
      <w:bodyDiv w:val="1"/>
      <w:marLeft w:val="0"/>
      <w:marRight w:val="0"/>
      <w:marTop w:val="0"/>
      <w:marBottom w:val="0"/>
      <w:divBdr>
        <w:top w:val="none" w:sz="0" w:space="0" w:color="auto"/>
        <w:left w:val="none" w:sz="0" w:space="0" w:color="auto"/>
        <w:bottom w:val="none" w:sz="0" w:space="0" w:color="auto"/>
        <w:right w:val="none" w:sz="0" w:space="0" w:color="auto"/>
      </w:divBdr>
    </w:div>
    <w:div w:id="1801803669">
      <w:bodyDiv w:val="1"/>
      <w:marLeft w:val="0"/>
      <w:marRight w:val="0"/>
      <w:marTop w:val="0"/>
      <w:marBottom w:val="0"/>
      <w:divBdr>
        <w:top w:val="none" w:sz="0" w:space="0" w:color="auto"/>
        <w:left w:val="none" w:sz="0" w:space="0" w:color="auto"/>
        <w:bottom w:val="none" w:sz="0" w:space="0" w:color="auto"/>
        <w:right w:val="none" w:sz="0" w:space="0" w:color="auto"/>
      </w:divBdr>
    </w:div>
    <w:div w:id="1808039805">
      <w:bodyDiv w:val="1"/>
      <w:marLeft w:val="0"/>
      <w:marRight w:val="0"/>
      <w:marTop w:val="0"/>
      <w:marBottom w:val="0"/>
      <w:divBdr>
        <w:top w:val="none" w:sz="0" w:space="0" w:color="auto"/>
        <w:left w:val="none" w:sz="0" w:space="0" w:color="auto"/>
        <w:bottom w:val="none" w:sz="0" w:space="0" w:color="auto"/>
        <w:right w:val="none" w:sz="0" w:space="0" w:color="auto"/>
      </w:divBdr>
    </w:div>
    <w:div w:id="1810442539">
      <w:bodyDiv w:val="1"/>
      <w:marLeft w:val="0"/>
      <w:marRight w:val="0"/>
      <w:marTop w:val="0"/>
      <w:marBottom w:val="0"/>
      <w:divBdr>
        <w:top w:val="none" w:sz="0" w:space="0" w:color="auto"/>
        <w:left w:val="none" w:sz="0" w:space="0" w:color="auto"/>
        <w:bottom w:val="none" w:sz="0" w:space="0" w:color="auto"/>
        <w:right w:val="none" w:sz="0" w:space="0" w:color="auto"/>
      </w:divBdr>
    </w:div>
    <w:div w:id="1816604935">
      <w:bodyDiv w:val="1"/>
      <w:marLeft w:val="0"/>
      <w:marRight w:val="0"/>
      <w:marTop w:val="0"/>
      <w:marBottom w:val="0"/>
      <w:divBdr>
        <w:top w:val="none" w:sz="0" w:space="0" w:color="auto"/>
        <w:left w:val="none" w:sz="0" w:space="0" w:color="auto"/>
        <w:bottom w:val="none" w:sz="0" w:space="0" w:color="auto"/>
        <w:right w:val="none" w:sz="0" w:space="0" w:color="auto"/>
      </w:divBdr>
    </w:div>
    <w:div w:id="1830364657">
      <w:bodyDiv w:val="1"/>
      <w:marLeft w:val="0"/>
      <w:marRight w:val="0"/>
      <w:marTop w:val="0"/>
      <w:marBottom w:val="0"/>
      <w:divBdr>
        <w:top w:val="none" w:sz="0" w:space="0" w:color="auto"/>
        <w:left w:val="none" w:sz="0" w:space="0" w:color="auto"/>
        <w:bottom w:val="none" w:sz="0" w:space="0" w:color="auto"/>
        <w:right w:val="none" w:sz="0" w:space="0" w:color="auto"/>
      </w:divBdr>
    </w:div>
    <w:div w:id="1833906060">
      <w:bodyDiv w:val="1"/>
      <w:marLeft w:val="0"/>
      <w:marRight w:val="0"/>
      <w:marTop w:val="0"/>
      <w:marBottom w:val="0"/>
      <w:divBdr>
        <w:top w:val="none" w:sz="0" w:space="0" w:color="auto"/>
        <w:left w:val="none" w:sz="0" w:space="0" w:color="auto"/>
        <w:bottom w:val="none" w:sz="0" w:space="0" w:color="auto"/>
        <w:right w:val="none" w:sz="0" w:space="0" w:color="auto"/>
      </w:divBdr>
    </w:div>
    <w:div w:id="1839465373">
      <w:bodyDiv w:val="1"/>
      <w:marLeft w:val="0"/>
      <w:marRight w:val="0"/>
      <w:marTop w:val="0"/>
      <w:marBottom w:val="0"/>
      <w:divBdr>
        <w:top w:val="none" w:sz="0" w:space="0" w:color="auto"/>
        <w:left w:val="none" w:sz="0" w:space="0" w:color="auto"/>
        <w:bottom w:val="none" w:sz="0" w:space="0" w:color="auto"/>
        <w:right w:val="none" w:sz="0" w:space="0" w:color="auto"/>
      </w:divBdr>
    </w:div>
    <w:div w:id="1845894395">
      <w:bodyDiv w:val="1"/>
      <w:marLeft w:val="0"/>
      <w:marRight w:val="0"/>
      <w:marTop w:val="0"/>
      <w:marBottom w:val="0"/>
      <w:divBdr>
        <w:top w:val="none" w:sz="0" w:space="0" w:color="auto"/>
        <w:left w:val="none" w:sz="0" w:space="0" w:color="auto"/>
        <w:bottom w:val="none" w:sz="0" w:space="0" w:color="auto"/>
        <w:right w:val="none" w:sz="0" w:space="0" w:color="auto"/>
      </w:divBdr>
    </w:div>
    <w:div w:id="1858494490">
      <w:bodyDiv w:val="1"/>
      <w:marLeft w:val="0"/>
      <w:marRight w:val="0"/>
      <w:marTop w:val="0"/>
      <w:marBottom w:val="0"/>
      <w:divBdr>
        <w:top w:val="none" w:sz="0" w:space="0" w:color="auto"/>
        <w:left w:val="none" w:sz="0" w:space="0" w:color="auto"/>
        <w:bottom w:val="none" w:sz="0" w:space="0" w:color="auto"/>
        <w:right w:val="none" w:sz="0" w:space="0" w:color="auto"/>
      </w:divBdr>
    </w:div>
    <w:div w:id="1911234542">
      <w:bodyDiv w:val="1"/>
      <w:marLeft w:val="0"/>
      <w:marRight w:val="0"/>
      <w:marTop w:val="0"/>
      <w:marBottom w:val="0"/>
      <w:divBdr>
        <w:top w:val="none" w:sz="0" w:space="0" w:color="auto"/>
        <w:left w:val="none" w:sz="0" w:space="0" w:color="auto"/>
        <w:bottom w:val="none" w:sz="0" w:space="0" w:color="auto"/>
        <w:right w:val="none" w:sz="0" w:space="0" w:color="auto"/>
      </w:divBdr>
    </w:div>
    <w:div w:id="1917589797">
      <w:bodyDiv w:val="1"/>
      <w:marLeft w:val="0"/>
      <w:marRight w:val="0"/>
      <w:marTop w:val="0"/>
      <w:marBottom w:val="0"/>
      <w:divBdr>
        <w:top w:val="none" w:sz="0" w:space="0" w:color="auto"/>
        <w:left w:val="none" w:sz="0" w:space="0" w:color="auto"/>
        <w:bottom w:val="none" w:sz="0" w:space="0" w:color="auto"/>
        <w:right w:val="none" w:sz="0" w:space="0" w:color="auto"/>
      </w:divBdr>
    </w:div>
    <w:div w:id="1921865167">
      <w:bodyDiv w:val="1"/>
      <w:marLeft w:val="0"/>
      <w:marRight w:val="0"/>
      <w:marTop w:val="0"/>
      <w:marBottom w:val="0"/>
      <w:divBdr>
        <w:top w:val="none" w:sz="0" w:space="0" w:color="auto"/>
        <w:left w:val="none" w:sz="0" w:space="0" w:color="auto"/>
        <w:bottom w:val="none" w:sz="0" w:space="0" w:color="auto"/>
        <w:right w:val="none" w:sz="0" w:space="0" w:color="auto"/>
      </w:divBdr>
    </w:div>
    <w:div w:id="1927574937">
      <w:bodyDiv w:val="1"/>
      <w:marLeft w:val="0"/>
      <w:marRight w:val="0"/>
      <w:marTop w:val="0"/>
      <w:marBottom w:val="0"/>
      <w:divBdr>
        <w:top w:val="none" w:sz="0" w:space="0" w:color="auto"/>
        <w:left w:val="none" w:sz="0" w:space="0" w:color="auto"/>
        <w:bottom w:val="none" w:sz="0" w:space="0" w:color="auto"/>
        <w:right w:val="none" w:sz="0" w:space="0" w:color="auto"/>
      </w:divBdr>
    </w:div>
    <w:div w:id="1943955741">
      <w:bodyDiv w:val="1"/>
      <w:marLeft w:val="0"/>
      <w:marRight w:val="0"/>
      <w:marTop w:val="0"/>
      <w:marBottom w:val="0"/>
      <w:divBdr>
        <w:top w:val="none" w:sz="0" w:space="0" w:color="auto"/>
        <w:left w:val="none" w:sz="0" w:space="0" w:color="auto"/>
        <w:bottom w:val="none" w:sz="0" w:space="0" w:color="auto"/>
        <w:right w:val="none" w:sz="0" w:space="0" w:color="auto"/>
      </w:divBdr>
    </w:div>
    <w:div w:id="1944147770">
      <w:bodyDiv w:val="1"/>
      <w:marLeft w:val="0"/>
      <w:marRight w:val="0"/>
      <w:marTop w:val="0"/>
      <w:marBottom w:val="0"/>
      <w:divBdr>
        <w:top w:val="none" w:sz="0" w:space="0" w:color="auto"/>
        <w:left w:val="none" w:sz="0" w:space="0" w:color="auto"/>
        <w:bottom w:val="none" w:sz="0" w:space="0" w:color="auto"/>
        <w:right w:val="none" w:sz="0" w:space="0" w:color="auto"/>
      </w:divBdr>
    </w:div>
    <w:div w:id="1945771944">
      <w:bodyDiv w:val="1"/>
      <w:marLeft w:val="0"/>
      <w:marRight w:val="0"/>
      <w:marTop w:val="0"/>
      <w:marBottom w:val="0"/>
      <w:divBdr>
        <w:top w:val="none" w:sz="0" w:space="0" w:color="auto"/>
        <w:left w:val="none" w:sz="0" w:space="0" w:color="auto"/>
        <w:bottom w:val="none" w:sz="0" w:space="0" w:color="auto"/>
        <w:right w:val="none" w:sz="0" w:space="0" w:color="auto"/>
      </w:divBdr>
    </w:div>
    <w:div w:id="1958635639">
      <w:bodyDiv w:val="1"/>
      <w:marLeft w:val="0"/>
      <w:marRight w:val="0"/>
      <w:marTop w:val="0"/>
      <w:marBottom w:val="0"/>
      <w:divBdr>
        <w:top w:val="none" w:sz="0" w:space="0" w:color="auto"/>
        <w:left w:val="none" w:sz="0" w:space="0" w:color="auto"/>
        <w:bottom w:val="none" w:sz="0" w:space="0" w:color="auto"/>
        <w:right w:val="none" w:sz="0" w:space="0" w:color="auto"/>
      </w:divBdr>
    </w:div>
    <w:div w:id="1964336858">
      <w:bodyDiv w:val="1"/>
      <w:marLeft w:val="0"/>
      <w:marRight w:val="0"/>
      <w:marTop w:val="0"/>
      <w:marBottom w:val="0"/>
      <w:divBdr>
        <w:top w:val="none" w:sz="0" w:space="0" w:color="auto"/>
        <w:left w:val="none" w:sz="0" w:space="0" w:color="auto"/>
        <w:bottom w:val="none" w:sz="0" w:space="0" w:color="auto"/>
        <w:right w:val="none" w:sz="0" w:space="0" w:color="auto"/>
      </w:divBdr>
    </w:div>
    <w:div w:id="1966306271">
      <w:bodyDiv w:val="1"/>
      <w:marLeft w:val="0"/>
      <w:marRight w:val="0"/>
      <w:marTop w:val="0"/>
      <w:marBottom w:val="0"/>
      <w:divBdr>
        <w:top w:val="none" w:sz="0" w:space="0" w:color="auto"/>
        <w:left w:val="none" w:sz="0" w:space="0" w:color="auto"/>
        <w:bottom w:val="none" w:sz="0" w:space="0" w:color="auto"/>
        <w:right w:val="none" w:sz="0" w:space="0" w:color="auto"/>
      </w:divBdr>
    </w:div>
    <w:div w:id="1972638116">
      <w:bodyDiv w:val="1"/>
      <w:marLeft w:val="0"/>
      <w:marRight w:val="0"/>
      <w:marTop w:val="0"/>
      <w:marBottom w:val="0"/>
      <w:divBdr>
        <w:top w:val="none" w:sz="0" w:space="0" w:color="auto"/>
        <w:left w:val="none" w:sz="0" w:space="0" w:color="auto"/>
        <w:bottom w:val="none" w:sz="0" w:space="0" w:color="auto"/>
        <w:right w:val="none" w:sz="0" w:space="0" w:color="auto"/>
      </w:divBdr>
    </w:div>
    <w:div w:id="1973823733">
      <w:bodyDiv w:val="1"/>
      <w:marLeft w:val="0"/>
      <w:marRight w:val="0"/>
      <w:marTop w:val="0"/>
      <w:marBottom w:val="0"/>
      <w:divBdr>
        <w:top w:val="none" w:sz="0" w:space="0" w:color="auto"/>
        <w:left w:val="none" w:sz="0" w:space="0" w:color="auto"/>
        <w:bottom w:val="none" w:sz="0" w:space="0" w:color="auto"/>
        <w:right w:val="none" w:sz="0" w:space="0" w:color="auto"/>
      </w:divBdr>
    </w:div>
    <w:div w:id="1975140737">
      <w:bodyDiv w:val="1"/>
      <w:marLeft w:val="0"/>
      <w:marRight w:val="0"/>
      <w:marTop w:val="0"/>
      <w:marBottom w:val="0"/>
      <w:divBdr>
        <w:top w:val="none" w:sz="0" w:space="0" w:color="auto"/>
        <w:left w:val="none" w:sz="0" w:space="0" w:color="auto"/>
        <w:bottom w:val="none" w:sz="0" w:space="0" w:color="auto"/>
        <w:right w:val="none" w:sz="0" w:space="0" w:color="auto"/>
      </w:divBdr>
    </w:div>
    <w:div w:id="2013601944">
      <w:bodyDiv w:val="1"/>
      <w:marLeft w:val="0"/>
      <w:marRight w:val="0"/>
      <w:marTop w:val="0"/>
      <w:marBottom w:val="0"/>
      <w:divBdr>
        <w:top w:val="none" w:sz="0" w:space="0" w:color="auto"/>
        <w:left w:val="none" w:sz="0" w:space="0" w:color="auto"/>
        <w:bottom w:val="none" w:sz="0" w:space="0" w:color="auto"/>
        <w:right w:val="none" w:sz="0" w:space="0" w:color="auto"/>
      </w:divBdr>
    </w:div>
    <w:div w:id="2016955117">
      <w:bodyDiv w:val="1"/>
      <w:marLeft w:val="0"/>
      <w:marRight w:val="0"/>
      <w:marTop w:val="0"/>
      <w:marBottom w:val="0"/>
      <w:divBdr>
        <w:top w:val="none" w:sz="0" w:space="0" w:color="auto"/>
        <w:left w:val="none" w:sz="0" w:space="0" w:color="auto"/>
        <w:bottom w:val="none" w:sz="0" w:space="0" w:color="auto"/>
        <w:right w:val="none" w:sz="0" w:space="0" w:color="auto"/>
      </w:divBdr>
    </w:div>
    <w:div w:id="2018574791">
      <w:bodyDiv w:val="1"/>
      <w:marLeft w:val="0"/>
      <w:marRight w:val="0"/>
      <w:marTop w:val="0"/>
      <w:marBottom w:val="0"/>
      <w:divBdr>
        <w:top w:val="none" w:sz="0" w:space="0" w:color="auto"/>
        <w:left w:val="none" w:sz="0" w:space="0" w:color="auto"/>
        <w:bottom w:val="none" w:sz="0" w:space="0" w:color="auto"/>
        <w:right w:val="none" w:sz="0" w:space="0" w:color="auto"/>
      </w:divBdr>
    </w:div>
    <w:div w:id="2021201862">
      <w:bodyDiv w:val="1"/>
      <w:marLeft w:val="0"/>
      <w:marRight w:val="0"/>
      <w:marTop w:val="0"/>
      <w:marBottom w:val="0"/>
      <w:divBdr>
        <w:top w:val="none" w:sz="0" w:space="0" w:color="auto"/>
        <w:left w:val="none" w:sz="0" w:space="0" w:color="auto"/>
        <w:bottom w:val="none" w:sz="0" w:space="0" w:color="auto"/>
        <w:right w:val="none" w:sz="0" w:space="0" w:color="auto"/>
      </w:divBdr>
    </w:div>
    <w:div w:id="2029066973">
      <w:bodyDiv w:val="1"/>
      <w:marLeft w:val="0"/>
      <w:marRight w:val="0"/>
      <w:marTop w:val="0"/>
      <w:marBottom w:val="0"/>
      <w:divBdr>
        <w:top w:val="none" w:sz="0" w:space="0" w:color="auto"/>
        <w:left w:val="none" w:sz="0" w:space="0" w:color="auto"/>
        <w:bottom w:val="none" w:sz="0" w:space="0" w:color="auto"/>
        <w:right w:val="none" w:sz="0" w:space="0" w:color="auto"/>
      </w:divBdr>
    </w:div>
    <w:div w:id="2033532042">
      <w:bodyDiv w:val="1"/>
      <w:marLeft w:val="0"/>
      <w:marRight w:val="0"/>
      <w:marTop w:val="0"/>
      <w:marBottom w:val="0"/>
      <w:divBdr>
        <w:top w:val="none" w:sz="0" w:space="0" w:color="auto"/>
        <w:left w:val="none" w:sz="0" w:space="0" w:color="auto"/>
        <w:bottom w:val="none" w:sz="0" w:space="0" w:color="auto"/>
        <w:right w:val="none" w:sz="0" w:space="0" w:color="auto"/>
      </w:divBdr>
    </w:div>
    <w:div w:id="2034648770">
      <w:bodyDiv w:val="1"/>
      <w:marLeft w:val="0"/>
      <w:marRight w:val="0"/>
      <w:marTop w:val="0"/>
      <w:marBottom w:val="0"/>
      <w:divBdr>
        <w:top w:val="none" w:sz="0" w:space="0" w:color="auto"/>
        <w:left w:val="none" w:sz="0" w:space="0" w:color="auto"/>
        <w:bottom w:val="none" w:sz="0" w:space="0" w:color="auto"/>
        <w:right w:val="none" w:sz="0" w:space="0" w:color="auto"/>
      </w:divBdr>
    </w:div>
    <w:div w:id="2040356592">
      <w:bodyDiv w:val="1"/>
      <w:marLeft w:val="0"/>
      <w:marRight w:val="0"/>
      <w:marTop w:val="0"/>
      <w:marBottom w:val="0"/>
      <w:divBdr>
        <w:top w:val="none" w:sz="0" w:space="0" w:color="auto"/>
        <w:left w:val="none" w:sz="0" w:space="0" w:color="auto"/>
        <w:bottom w:val="none" w:sz="0" w:space="0" w:color="auto"/>
        <w:right w:val="none" w:sz="0" w:space="0" w:color="auto"/>
      </w:divBdr>
    </w:div>
    <w:div w:id="2074966907">
      <w:bodyDiv w:val="1"/>
      <w:marLeft w:val="0"/>
      <w:marRight w:val="0"/>
      <w:marTop w:val="0"/>
      <w:marBottom w:val="0"/>
      <w:divBdr>
        <w:top w:val="none" w:sz="0" w:space="0" w:color="auto"/>
        <w:left w:val="none" w:sz="0" w:space="0" w:color="auto"/>
        <w:bottom w:val="none" w:sz="0" w:space="0" w:color="auto"/>
        <w:right w:val="none" w:sz="0" w:space="0" w:color="auto"/>
      </w:divBdr>
    </w:div>
    <w:div w:id="2078477184">
      <w:bodyDiv w:val="1"/>
      <w:marLeft w:val="0"/>
      <w:marRight w:val="0"/>
      <w:marTop w:val="0"/>
      <w:marBottom w:val="0"/>
      <w:divBdr>
        <w:top w:val="none" w:sz="0" w:space="0" w:color="auto"/>
        <w:left w:val="none" w:sz="0" w:space="0" w:color="auto"/>
        <w:bottom w:val="none" w:sz="0" w:space="0" w:color="auto"/>
        <w:right w:val="none" w:sz="0" w:space="0" w:color="auto"/>
      </w:divBdr>
    </w:div>
    <w:div w:id="2099404950">
      <w:bodyDiv w:val="1"/>
      <w:marLeft w:val="0"/>
      <w:marRight w:val="0"/>
      <w:marTop w:val="0"/>
      <w:marBottom w:val="0"/>
      <w:divBdr>
        <w:top w:val="none" w:sz="0" w:space="0" w:color="auto"/>
        <w:left w:val="none" w:sz="0" w:space="0" w:color="auto"/>
        <w:bottom w:val="none" w:sz="0" w:space="0" w:color="auto"/>
        <w:right w:val="none" w:sz="0" w:space="0" w:color="auto"/>
      </w:divBdr>
    </w:div>
    <w:div w:id="2103721305">
      <w:bodyDiv w:val="1"/>
      <w:marLeft w:val="0"/>
      <w:marRight w:val="0"/>
      <w:marTop w:val="0"/>
      <w:marBottom w:val="0"/>
      <w:divBdr>
        <w:top w:val="none" w:sz="0" w:space="0" w:color="auto"/>
        <w:left w:val="none" w:sz="0" w:space="0" w:color="auto"/>
        <w:bottom w:val="none" w:sz="0" w:space="0" w:color="auto"/>
        <w:right w:val="none" w:sz="0" w:space="0" w:color="auto"/>
      </w:divBdr>
    </w:div>
    <w:div w:id="2116097028">
      <w:bodyDiv w:val="1"/>
      <w:marLeft w:val="0"/>
      <w:marRight w:val="0"/>
      <w:marTop w:val="0"/>
      <w:marBottom w:val="0"/>
      <w:divBdr>
        <w:top w:val="none" w:sz="0" w:space="0" w:color="auto"/>
        <w:left w:val="none" w:sz="0" w:space="0" w:color="auto"/>
        <w:bottom w:val="none" w:sz="0" w:space="0" w:color="auto"/>
        <w:right w:val="none" w:sz="0" w:space="0" w:color="auto"/>
      </w:divBdr>
    </w:div>
    <w:div w:id="2116747536">
      <w:bodyDiv w:val="1"/>
      <w:marLeft w:val="0"/>
      <w:marRight w:val="0"/>
      <w:marTop w:val="0"/>
      <w:marBottom w:val="0"/>
      <w:divBdr>
        <w:top w:val="none" w:sz="0" w:space="0" w:color="auto"/>
        <w:left w:val="none" w:sz="0" w:space="0" w:color="auto"/>
        <w:bottom w:val="none" w:sz="0" w:space="0" w:color="auto"/>
        <w:right w:val="none" w:sz="0" w:space="0" w:color="auto"/>
      </w:divBdr>
    </w:div>
    <w:div w:id="2132241917">
      <w:bodyDiv w:val="1"/>
      <w:marLeft w:val="0"/>
      <w:marRight w:val="0"/>
      <w:marTop w:val="0"/>
      <w:marBottom w:val="0"/>
      <w:divBdr>
        <w:top w:val="none" w:sz="0" w:space="0" w:color="auto"/>
        <w:left w:val="none" w:sz="0" w:space="0" w:color="auto"/>
        <w:bottom w:val="none" w:sz="0" w:space="0" w:color="auto"/>
        <w:right w:val="none" w:sz="0" w:space="0" w:color="auto"/>
      </w:divBdr>
    </w:div>
    <w:div w:id="214519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9E6AF-1D4D-44D5-9330-BDE3B068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17654</Words>
  <Characters>100632</Characters>
  <Application>Microsoft Office Word</Application>
  <DocSecurity>0</DocSecurity>
  <Lines>838</Lines>
  <Paragraphs>236</Paragraphs>
  <ScaleCrop>false</ScaleCrop>
  <Company>Sky123.Org</Company>
  <LinksUpToDate>false</LinksUpToDate>
  <CharactersWithSpaces>118050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沈峰</cp:lastModifiedBy>
  <cp:revision>2</cp:revision>
  <cp:lastPrinted>2023-08-22T15:11:00Z</cp:lastPrinted>
  <dcterms:created xsi:type="dcterms:W3CDTF">2023-08-23T08:34:00Z</dcterms:created>
  <dcterms:modified xsi:type="dcterms:W3CDTF">2023-08-23T08:34:00Z</dcterms:modified>
</cp:coreProperties>
</file>