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C44" w:rsidRPr="005F5E64" w:rsidRDefault="00106009" w:rsidP="00106009">
      <w:pPr>
        <w:jc w:val="center"/>
        <w:rPr>
          <w:rFonts w:asciiTheme="majorEastAsia" w:eastAsiaTheme="majorEastAsia" w:hAnsiTheme="majorEastAsia" w:cs="Times New Roman"/>
          <w:sz w:val="30"/>
          <w:szCs w:val="30"/>
        </w:rPr>
      </w:pPr>
      <w:r w:rsidRPr="005F5E64">
        <w:rPr>
          <w:rFonts w:asciiTheme="majorEastAsia" w:eastAsiaTheme="majorEastAsia" w:hAnsiTheme="majorEastAsia" w:cs="Times New Roman"/>
          <w:sz w:val="30"/>
          <w:szCs w:val="30"/>
        </w:rPr>
        <w:t>证券代码：</w:t>
      </w:r>
      <w:r w:rsidR="00BE4BB3" w:rsidRPr="005F5E64">
        <w:rPr>
          <w:rFonts w:asciiTheme="majorEastAsia" w:eastAsiaTheme="majorEastAsia" w:hAnsiTheme="majorEastAsia" w:cs="Times New Roman"/>
          <w:sz w:val="30"/>
          <w:szCs w:val="30"/>
        </w:rPr>
        <w:t xml:space="preserve">000576      </w:t>
      </w:r>
      <w:r w:rsidRPr="005F5E64">
        <w:rPr>
          <w:rFonts w:asciiTheme="majorEastAsia" w:eastAsiaTheme="majorEastAsia" w:hAnsiTheme="majorEastAsia" w:cs="Times New Roman"/>
          <w:sz w:val="30"/>
          <w:szCs w:val="30"/>
        </w:rPr>
        <w:t>证券简称：甘化科工</w:t>
      </w:r>
      <w:r w:rsidR="00BE4BB3" w:rsidRPr="005F5E64">
        <w:rPr>
          <w:rFonts w:asciiTheme="majorEastAsia" w:eastAsiaTheme="majorEastAsia" w:hAnsiTheme="majorEastAsia" w:cs="Times New Roman"/>
          <w:sz w:val="30"/>
          <w:szCs w:val="30"/>
        </w:rPr>
        <w:t xml:space="preserve">      </w:t>
      </w:r>
      <w:r w:rsidRPr="005F5E64">
        <w:rPr>
          <w:rFonts w:asciiTheme="majorEastAsia" w:eastAsiaTheme="majorEastAsia" w:hAnsiTheme="majorEastAsia" w:cs="Times New Roman"/>
          <w:sz w:val="30"/>
          <w:szCs w:val="30"/>
        </w:rPr>
        <w:t>公告编号：2023-</w:t>
      </w:r>
      <w:r w:rsidR="00ED1D57" w:rsidRPr="005F5E64">
        <w:rPr>
          <w:rFonts w:asciiTheme="majorEastAsia" w:eastAsiaTheme="majorEastAsia" w:hAnsiTheme="majorEastAsia" w:cs="Times New Roman" w:hint="eastAsia"/>
          <w:sz w:val="30"/>
          <w:szCs w:val="30"/>
        </w:rPr>
        <w:t>1</w:t>
      </w:r>
      <w:r w:rsidR="001127F3" w:rsidRPr="005F5E64">
        <w:rPr>
          <w:rFonts w:asciiTheme="majorEastAsia" w:eastAsiaTheme="majorEastAsia" w:hAnsiTheme="majorEastAsia" w:cs="Times New Roman" w:hint="eastAsia"/>
          <w:sz w:val="30"/>
          <w:szCs w:val="30"/>
        </w:rPr>
        <w:t>9</w:t>
      </w:r>
    </w:p>
    <w:p w:rsidR="00106009" w:rsidRDefault="00106009" w:rsidP="00106009">
      <w:pPr>
        <w:spacing w:line="400" w:lineRule="exact"/>
        <w:jc w:val="center"/>
        <w:rPr>
          <w:rFonts w:ascii="黑体" w:eastAsia="黑体" w:hAnsi="黑体" w:cs="Times New Roman"/>
          <w:sz w:val="44"/>
          <w:szCs w:val="44"/>
        </w:rPr>
      </w:pPr>
    </w:p>
    <w:p w:rsidR="006B6C44" w:rsidRPr="00106009" w:rsidRDefault="00106009" w:rsidP="00B51C80">
      <w:pPr>
        <w:spacing w:line="600" w:lineRule="exact"/>
        <w:jc w:val="center"/>
        <w:rPr>
          <w:rFonts w:ascii="黑体" w:eastAsia="黑体" w:hAnsi="黑体" w:cs="Times New Roman"/>
          <w:sz w:val="44"/>
          <w:szCs w:val="44"/>
        </w:rPr>
      </w:pPr>
      <w:r w:rsidRPr="00106009">
        <w:rPr>
          <w:rFonts w:ascii="黑体" w:eastAsia="黑体" w:hAnsi="黑体" w:cs="Times New Roman"/>
          <w:sz w:val="44"/>
          <w:szCs w:val="44"/>
        </w:rPr>
        <w:t>广东甘化科工股份有限公司</w:t>
      </w:r>
    </w:p>
    <w:p w:rsidR="006B6C44" w:rsidRDefault="00106009" w:rsidP="00B51C80">
      <w:pPr>
        <w:spacing w:line="600" w:lineRule="exact"/>
        <w:jc w:val="center"/>
        <w:rPr>
          <w:rFonts w:ascii="黑体" w:eastAsia="黑体" w:hAnsi="黑体" w:cs="Times New Roman"/>
          <w:sz w:val="44"/>
          <w:szCs w:val="44"/>
        </w:rPr>
      </w:pPr>
      <w:r w:rsidRPr="00106009">
        <w:rPr>
          <w:rFonts w:ascii="黑体" w:eastAsia="黑体" w:hAnsi="黑体" w:cs="Times New Roman"/>
          <w:sz w:val="44"/>
          <w:szCs w:val="44"/>
        </w:rPr>
        <w:t>2023年第一季度报告</w:t>
      </w:r>
      <w:bookmarkStart w:id="0" w:name="_GoBack"/>
      <w:bookmarkEnd w:id="0"/>
    </w:p>
    <w:p w:rsidR="00106009" w:rsidRPr="00106009" w:rsidRDefault="00106009" w:rsidP="00106009">
      <w:pPr>
        <w:spacing w:line="400" w:lineRule="exact"/>
        <w:jc w:val="center"/>
        <w:rPr>
          <w:rFonts w:ascii="黑体" w:eastAsia="黑体" w:hAnsi="黑体" w:cs="Times New Roman"/>
          <w:sz w:val="44"/>
          <w:szCs w:val="44"/>
        </w:rPr>
      </w:pPr>
    </w:p>
    <w:p w:rsidR="006B6C44" w:rsidRDefault="00106009" w:rsidP="00106009">
      <w:pPr>
        <w:spacing w:line="560" w:lineRule="exact"/>
        <w:ind w:firstLineChars="200" w:firstLine="600"/>
        <w:jc w:val="both"/>
        <w:rPr>
          <w:rFonts w:ascii="Times New Roman" w:eastAsia="宋体" w:hAnsi="Times New Roman" w:cs="Times New Roman"/>
          <w:sz w:val="30"/>
          <w:szCs w:val="30"/>
        </w:rPr>
      </w:pPr>
      <w:r w:rsidRPr="00106009">
        <w:rPr>
          <w:rFonts w:ascii="Times New Roman" w:eastAsia="宋体" w:hAnsi="Times New Roman" w:cs="Times New Roman"/>
          <w:sz w:val="30"/>
          <w:szCs w:val="30"/>
        </w:rPr>
        <w:t>本公司及董事会全体成员保证信息披露的内容真实、准确、完整，没有虚假记载、误导性陈述或重大遗漏。</w:t>
      </w:r>
    </w:p>
    <w:p w:rsidR="00106009" w:rsidRPr="00106009" w:rsidRDefault="00106009" w:rsidP="00106009">
      <w:pPr>
        <w:spacing w:line="560" w:lineRule="exact"/>
        <w:ind w:firstLineChars="200" w:firstLine="600"/>
        <w:jc w:val="both"/>
        <w:rPr>
          <w:rFonts w:ascii="Times New Roman" w:eastAsia="宋体" w:hAnsi="Times New Roman" w:cs="Times New Roman"/>
          <w:sz w:val="30"/>
          <w:szCs w:val="30"/>
        </w:rPr>
      </w:pPr>
    </w:p>
    <w:p w:rsidR="00106009" w:rsidRDefault="00106009" w:rsidP="00106009">
      <w:pPr>
        <w:spacing w:line="560" w:lineRule="exact"/>
        <w:ind w:firstLineChars="200" w:firstLine="562"/>
        <w:jc w:val="both"/>
        <w:rPr>
          <w:rFonts w:asciiTheme="minorEastAsia" w:hAnsiTheme="minorEastAsia" w:cs="Times New Roman"/>
          <w:b/>
          <w:bCs/>
          <w:sz w:val="28"/>
          <w:szCs w:val="28"/>
        </w:rPr>
      </w:pPr>
      <w:r w:rsidRPr="00106009">
        <w:rPr>
          <w:rFonts w:asciiTheme="minorEastAsia" w:hAnsiTheme="minorEastAsia" w:cs="Times New Roman"/>
          <w:b/>
          <w:bCs/>
          <w:sz w:val="28"/>
          <w:szCs w:val="28"/>
        </w:rPr>
        <w:t>重要内容提示：</w:t>
      </w:r>
    </w:p>
    <w:p w:rsidR="00106009" w:rsidRDefault="00106009" w:rsidP="00106009">
      <w:pPr>
        <w:spacing w:line="560" w:lineRule="exact"/>
        <w:ind w:firstLineChars="200" w:firstLine="562"/>
        <w:jc w:val="both"/>
        <w:rPr>
          <w:rFonts w:asciiTheme="minorEastAsia" w:hAnsiTheme="minorEastAsia" w:cs="Times New Roman"/>
          <w:b/>
          <w:bCs/>
          <w:sz w:val="28"/>
          <w:szCs w:val="28"/>
        </w:rPr>
      </w:pPr>
      <w:r w:rsidRPr="00106009">
        <w:rPr>
          <w:rFonts w:ascii="仿宋" w:eastAsia="仿宋" w:hAnsi="仿宋" w:cs="Times New Roman"/>
          <w:b/>
          <w:sz w:val="28"/>
          <w:szCs w:val="28"/>
        </w:rPr>
        <w:t>1.董事会、监事会及董事、监事、高级管理人员保证季度报告的真实、准确、完整，不存在虚假记载、误导性陈述或重大遗漏，并承担个别和连带的法律责任。</w:t>
      </w:r>
    </w:p>
    <w:p w:rsidR="00106009" w:rsidRDefault="00106009" w:rsidP="00106009">
      <w:pPr>
        <w:spacing w:line="560" w:lineRule="exact"/>
        <w:ind w:firstLineChars="200" w:firstLine="562"/>
        <w:jc w:val="both"/>
        <w:rPr>
          <w:rFonts w:asciiTheme="minorEastAsia" w:hAnsiTheme="minorEastAsia" w:cs="Times New Roman"/>
          <w:b/>
          <w:bCs/>
          <w:sz w:val="28"/>
          <w:szCs w:val="28"/>
        </w:rPr>
      </w:pPr>
      <w:r w:rsidRPr="00106009">
        <w:rPr>
          <w:rFonts w:ascii="仿宋" w:eastAsia="仿宋" w:hAnsi="仿宋" w:cs="Times New Roman"/>
          <w:b/>
          <w:sz w:val="28"/>
          <w:szCs w:val="28"/>
        </w:rPr>
        <w:t>2.公司负责人、主管会计工作负责人及会计机构负责人(会计主管人员)声明：保证季度报告中财务信息的真实、准确、完整。</w:t>
      </w:r>
    </w:p>
    <w:p w:rsidR="006B6C44" w:rsidRPr="00106009" w:rsidRDefault="00106009" w:rsidP="00106009">
      <w:pPr>
        <w:spacing w:line="560" w:lineRule="exact"/>
        <w:ind w:firstLineChars="200" w:firstLine="562"/>
        <w:jc w:val="both"/>
        <w:rPr>
          <w:rFonts w:asciiTheme="minorEastAsia" w:hAnsiTheme="minorEastAsia" w:cs="Times New Roman"/>
          <w:b/>
          <w:bCs/>
          <w:sz w:val="28"/>
          <w:szCs w:val="28"/>
        </w:rPr>
      </w:pPr>
      <w:r w:rsidRPr="00106009">
        <w:rPr>
          <w:rFonts w:ascii="仿宋" w:eastAsia="仿宋" w:hAnsi="仿宋" w:cs="Times New Roman"/>
          <w:b/>
          <w:sz w:val="28"/>
          <w:szCs w:val="28"/>
        </w:rPr>
        <w:t>3.第一季度报告是否经审计</w:t>
      </w:r>
    </w:p>
    <w:p w:rsidR="00106009" w:rsidRDefault="00106009" w:rsidP="00106009">
      <w:pPr>
        <w:spacing w:line="560" w:lineRule="exact"/>
        <w:ind w:firstLineChars="200" w:firstLine="560"/>
        <w:jc w:val="both"/>
        <w:rPr>
          <w:rFonts w:ascii="仿宋" w:eastAsia="仿宋" w:hAnsi="仿宋" w:cs="Times New Roman"/>
          <w:sz w:val="28"/>
          <w:szCs w:val="28"/>
        </w:rPr>
      </w:pPr>
      <w:r w:rsidRPr="00106009">
        <w:rPr>
          <w:rFonts w:ascii="仿宋" w:eastAsia="仿宋" w:hAnsi="仿宋" w:cs="Times New Roman"/>
          <w:sz w:val="28"/>
          <w:szCs w:val="28"/>
        </w:rPr>
        <w:t>□是</w:t>
      </w:r>
      <w:r w:rsidRPr="00106009">
        <w:rPr>
          <w:rFonts w:ascii="仿宋" w:eastAsia="仿宋" w:hAnsi="仿宋" w:cs="Times New Roman" w:hint="eastAsia"/>
          <w:sz w:val="28"/>
          <w:szCs w:val="28"/>
        </w:rPr>
        <w:t xml:space="preserve"> </w:t>
      </w:r>
      <w:r w:rsidRPr="00106009">
        <w:rPr>
          <w:rFonts w:ascii="仿宋" w:eastAsia="仿宋" w:hAnsi="仿宋" w:cs="Times New Roman"/>
          <w:sz w:val="28"/>
          <w:szCs w:val="28"/>
        </w:rPr>
        <w:t xml:space="preserve"> </w:t>
      </w:r>
      <w:r w:rsidRPr="00106009">
        <w:rPr>
          <w:rFonts w:ascii="仿宋" w:eastAsia="仿宋" w:hAnsi="仿宋" w:cs="Times New Roman"/>
          <w:sz w:val="28"/>
          <w:szCs w:val="28"/>
        </w:rPr>
        <w:sym w:font="Wingdings 2" w:char="F052"/>
      </w:r>
      <w:r w:rsidRPr="00106009">
        <w:rPr>
          <w:rFonts w:ascii="仿宋" w:eastAsia="仿宋" w:hAnsi="仿宋" w:cs="Times New Roman"/>
          <w:sz w:val="28"/>
          <w:szCs w:val="28"/>
        </w:rPr>
        <w:t>否</w:t>
      </w:r>
      <w:bookmarkStart w:id="1" w:name="_Toc988889"/>
    </w:p>
    <w:p w:rsidR="00106009" w:rsidRDefault="00106009" w:rsidP="00106009">
      <w:pPr>
        <w:spacing w:line="560" w:lineRule="exact"/>
        <w:ind w:firstLineChars="200" w:firstLine="562"/>
        <w:jc w:val="both"/>
        <w:rPr>
          <w:rFonts w:ascii="Times New Roman" w:eastAsia="宋体" w:hAnsi="Times New Roman" w:cs="Times New Roman"/>
          <w:b/>
          <w:bCs/>
          <w:sz w:val="28"/>
          <w:szCs w:val="28"/>
        </w:rPr>
      </w:pPr>
      <w:r w:rsidRPr="00106009">
        <w:rPr>
          <w:rFonts w:ascii="Times New Roman" w:eastAsia="宋体" w:hAnsi="Times New Roman" w:cs="Times New Roman"/>
          <w:b/>
          <w:bCs/>
          <w:sz w:val="28"/>
          <w:szCs w:val="28"/>
        </w:rPr>
        <w:t>一、主要财务数据</w:t>
      </w:r>
      <w:bookmarkStart w:id="2" w:name="_Toc988890"/>
      <w:bookmarkEnd w:id="1"/>
    </w:p>
    <w:p w:rsidR="00106009" w:rsidRPr="00106009" w:rsidRDefault="00106009" w:rsidP="00106009">
      <w:pPr>
        <w:spacing w:line="560" w:lineRule="exact"/>
        <w:ind w:firstLineChars="200" w:firstLine="562"/>
        <w:jc w:val="both"/>
        <w:rPr>
          <w:rFonts w:ascii="仿宋" w:eastAsia="仿宋" w:hAnsi="仿宋" w:cs="Times New Roman"/>
          <w:b/>
          <w:sz w:val="28"/>
          <w:szCs w:val="28"/>
        </w:rPr>
      </w:pPr>
      <w:r w:rsidRPr="00106009">
        <w:rPr>
          <w:rFonts w:ascii="仿宋" w:eastAsia="仿宋" w:hAnsi="仿宋" w:cs="Times New Roman"/>
          <w:b/>
          <w:sz w:val="28"/>
          <w:szCs w:val="28"/>
        </w:rPr>
        <w:t>（一） 主要会计数据和财务指标</w:t>
      </w:r>
      <w:bookmarkEnd w:id="2"/>
    </w:p>
    <w:p w:rsidR="006B6C44" w:rsidRPr="00106009" w:rsidRDefault="00106009" w:rsidP="00106009">
      <w:pPr>
        <w:spacing w:line="560" w:lineRule="exact"/>
        <w:ind w:firstLineChars="200" w:firstLine="562"/>
        <w:jc w:val="both"/>
        <w:rPr>
          <w:rFonts w:ascii="仿宋" w:eastAsia="仿宋" w:hAnsi="仿宋" w:cs="Times New Roman"/>
          <w:b/>
          <w:sz w:val="28"/>
          <w:szCs w:val="28"/>
        </w:rPr>
      </w:pPr>
      <w:r w:rsidRPr="00106009">
        <w:rPr>
          <w:rFonts w:ascii="仿宋" w:eastAsia="仿宋" w:hAnsi="仿宋" w:cs="Times New Roman"/>
          <w:b/>
          <w:sz w:val="28"/>
          <w:szCs w:val="28"/>
        </w:rPr>
        <w:t>公司是否需追溯调整或重述以前年度会计数据</w:t>
      </w:r>
    </w:p>
    <w:p w:rsidR="006B6C44" w:rsidRPr="00106009" w:rsidRDefault="00106009" w:rsidP="00106009">
      <w:pPr>
        <w:spacing w:line="560" w:lineRule="exact"/>
        <w:ind w:firstLineChars="200" w:firstLine="560"/>
        <w:jc w:val="both"/>
        <w:rPr>
          <w:rFonts w:ascii="仿宋" w:eastAsia="仿宋" w:hAnsi="仿宋" w:cs="Times New Roman"/>
          <w:sz w:val="28"/>
          <w:szCs w:val="28"/>
        </w:rPr>
      </w:pPr>
      <w:r w:rsidRPr="00106009">
        <w:rPr>
          <w:rFonts w:ascii="仿宋" w:eastAsia="仿宋" w:hAnsi="仿宋" w:cs="Times New Roman"/>
          <w:sz w:val="28"/>
          <w:szCs w:val="28"/>
        </w:rPr>
        <w:t>□是</w:t>
      </w:r>
      <w:r w:rsidRPr="00106009">
        <w:rPr>
          <w:rFonts w:ascii="仿宋" w:eastAsia="仿宋" w:hAnsi="仿宋" w:cs="Times New Roman" w:hint="eastAsia"/>
          <w:sz w:val="28"/>
          <w:szCs w:val="28"/>
        </w:rPr>
        <w:t xml:space="preserve"> </w:t>
      </w:r>
      <w:r w:rsidRPr="00106009">
        <w:rPr>
          <w:rFonts w:ascii="仿宋" w:eastAsia="仿宋" w:hAnsi="仿宋" w:cs="Times New Roman"/>
          <w:sz w:val="28"/>
          <w:szCs w:val="28"/>
        </w:rPr>
        <w:t xml:space="preserve"> </w:t>
      </w:r>
      <w:r w:rsidRPr="00106009">
        <w:rPr>
          <w:rFonts w:ascii="仿宋" w:eastAsia="仿宋" w:hAnsi="仿宋" w:cs="Times New Roman"/>
          <w:sz w:val="28"/>
          <w:szCs w:val="28"/>
        </w:rPr>
        <w:sym w:font="Wingdings 2" w:char="F052"/>
      </w:r>
      <w:r w:rsidRPr="00106009">
        <w:rPr>
          <w:rFonts w:ascii="仿宋" w:eastAsia="仿宋" w:hAnsi="仿宋" w:cs="Times New Roman"/>
          <w:sz w:val="28"/>
          <w:szCs w:val="28"/>
        </w:rPr>
        <w:t>否</w:t>
      </w:r>
    </w:p>
    <w:tbl>
      <w:tblPr>
        <w:tblW w:w="96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510"/>
        <w:gridCol w:w="2127"/>
        <w:gridCol w:w="2126"/>
        <w:gridCol w:w="1843"/>
      </w:tblGrid>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106009">
            <w:pPr>
              <w:spacing w:line="300" w:lineRule="exact"/>
            </w:pP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本报告期</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上年同期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营业收入（元）</w:t>
            </w:r>
          </w:p>
        </w:tc>
        <w:tc>
          <w:tcPr>
            <w:tcW w:w="2127"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84,905,860.32</w:t>
            </w:r>
          </w:p>
        </w:tc>
        <w:tc>
          <w:tcPr>
            <w:tcW w:w="2126"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90,211,676.77</w:t>
            </w:r>
          </w:p>
        </w:tc>
        <w:tc>
          <w:tcPr>
            <w:tcW w:w="1843"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-5.88%</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127"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21,450,394.62</w:t>
            </w:r>
          </w:p>
        </w:tc>
        <w:tc>
          <w:tcPr>
            <w:tcW w:w="2126"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25,216,906.58</w:t>
            </w:r>
          </w:p>
        </w:tc>
        <w:tc>
          <w:tcPr>
            <w:tcW w:w="1843"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-14.94%</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127"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19,558,019.20</w:t>
            </w:r>
          </w:p>
        </w:tc>
        <w:tc>
          <w:tcPr>
            <w:tcW w:w="2126"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27,254,214.72</w:t>
            </w:r>
          </w:p>
        </w:tc>
        <w:tc>
          <w:tcPr>
            <w:tcW w:w="1843"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-28.24%</w:t>
            </w:r>
          </w:p>
        </w:tc>
      </w:tr>
      <w:tr w:rsidR="00135D0A"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106009">
            <w:pPr>
              <w:spacing w:line="30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127"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00" w:lineRule="exact"/>
              <w:jc w:val="right"/>
              <w:rPr>
                <w:rFonts w:ascii="宋体" w:eastAsia="宋体" w:hAnsi="宋体" w:cs="宋体"/>
                <w:sz w:val="18"/>
                <w:szCs w:val="18"/>
              </w:rPr>
            </w:pPr>
            <w:r w:rsidRPr="00DF2DF3">
              <w:rPr>
                <w:rFonts w:ascii="宋体" w:eastAsia="宋体" w:hAnsi="宋体" w:cs="宋体"/>
                <w:sz w:val="18"/>
                <w:szCs w:val="18"/>
              </w:rPr>
              <w:t>-81,087,607.43</w:t>
            </w:r>
          </w:p>
        </w:tc>
        <w:tc>
          <w:tcPr>
            <w:tcW w:w="2126"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00" w:lineRule="exact"/>
              <w:jc w:val="right"/>
              <w:rPr>
                <w:rFonts w:ascii="宋体" w:eastAsia="宋体" w:hAnsi="宋体" w:cs="宋体"/>
                <w:sz w:val="18"/>
                <w:szCs w:val="18"/>
              </w:rPr>
            </w:pPr>
            <w:r>
              <w:rPr>
                <w:rFonts w:ascii="宋体" w:eastAsia="宋体" w:hAnsi="宋体" w:cs="宋体"/>
                <w:sz w:val="18"/>
                <w:szCs w:val="18"/>
              </w:rPr>
              <w:t>-32,050,291.16</w:t>
            </w:r>
          </w:p>
        </w:tc>
        <w:tc>
          <w:tcPr>
            <w:tcW w:w="1843"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00" w:lineRule="exact"/>
              <w:jc w:val="right"/>
              <w:rPr>
                <w:rFonts w:ascii="宋体" w:eastAsia="宋体" w:hAnsi="宋体" w:cs="宋体"/>
                <w:sz w:val="18"/>
                <w:szCs w:val="18"/>
              </w:rPr>
            </w:pPr>
            <w:r>
              <w:rPr>
                <w:rFonts w:ascii="宋体" w:eastAsia="宋体" w:hAnsi="宋体" w:cs="宋体"/>
                <w:sz w:val="18"/>
                <w:szCs w:val="18"/>
              </w:rPr>
              <w:t>-153.00%</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基本每股收益（元/股）</w:t>
            </w:r>
          </w:p>
        </w:tc>
        <w:tc>
          <w:tcPr>
            <w:tcW w:w="2127"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0.0493</w:t>
            </w:r>
          </w:p>
        </w:tc>
        <w:tc>
          <w:tcPr>
            <w:tcW w:w="2126"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0.0581</w:t>
            </w:r>
          </w:p>
        </w:tc>
        <w:tc>
          <w:tcPr>
            <w:tcW w:w="1843"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-15.15%</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稀释每股收益（元/股）</w:t>
            </w:r>
          </w:p>
        </w:tc>
        <w:tc>
          <w:tcPr>
            <w:tcW w:w="2127"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0.0491</w:t>
            </w:r>
          </w:p>
        </w:tc>
        <w:tc>
          <w:tcPr>
            <w:tcW w:w="2126"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0.0578</w:t>
            </w:r>
          </w:p>
        </w:tc>
        <w:tc>
          <w:tcPr>
            <w:tcW w:w="1843"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-15.05%</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lastRenderedPageBreak/>
              <w:t>加权平均净资产收益率</w:t>
            </w:r>
          </w:p>
        </w:tc>
        <w:tc>
          <w:tcPr>
            <w:tcW w:w="2127"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1.21%</w:t>
            </w:r>
          </w:p>
        </w:tc>
        <w:tc>
          <w:tcPr>
            <w:tcW w:w="2126"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1.54%</w:t>
            </w:r>
          </w:p>
        </w:tc>
        <w:tc>
          <w:tcPr>
            <w:tcW w:w="1843"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-0.33%</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106009">
            <w:pPr>
              <w:spacing w:line="300" w:lineRule="exact"/>
            </w:pP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本报告期末</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上年度末</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总资产（元）</w:t>
            </w:r>
          </w:p>
        </w:tc>
        <w:tc>
          <w:tcPr>
            <w:tcW w:w="2127"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2,002,896,293.94</w:t>
            </w:r>
          </w:p>
        </w:tc>
        <w:tc>
          <w:tcPr>
            <w:tcW w:w="2126"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2,006,682,867.51</w:t>
            </w:r>
          </w:p>
        </w:tc>
        <w:tc>
          <w:tcPr>
            <w:tcW w:w="1843"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-0.19%</w:t>
            </w:r>
          </w:p>
        </w:tc>
      </w:tr>
      <w:tr w:rsidR="006B6C44" w:rsidTr="00106009">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2127"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1,778,147,109.00</w:t>
            </w:r>
          </w:p>
        </w:tc>
        <w:tc>
          <w:tcPr>
            <w:tcW w:w="2126"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1,754,753,747.99</w:t>
            </w:r>
          </w:p>
        </w:tc>
        <w:tc>
          <w:tcPr>
            <w:tcW w:w="1843"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1.33%</w:t>
            </w:r>
          </w:p>
        </w:tc>
      </w:tr>
    </w:tbl>
    <w:p w:rsidR="006B6C44" w:rsidRPr="00106009" w:rsidRDefault="00106009" w:rsidP="00106009">
      <w:pPr>
        <w:spacing w:line="560" w:lineRule="exact"/>
        <w:ind w:firstLineChars="200" w:firstLine="562"/>
        <w:jc w:val="both"/>
        <w:rPr>
          <w:rFonts w:ascii="仿宋" w:eastAsia="仿宋" w:hAnsi="仿宋" w:cs="Times New Roman"/>
          <w:b/>
          <w:sz w:val="28"/>
          <w:szCs w:val="28"/>
        </w:rPr>
      </w:pPr>
      <w:bookmarkStart w:id="3" w:name="_Toc988891"/>
      <w:r w:rsidRPr="00106009">
        <w:rPr>
          <w:rFonts w:ascii="仿宋" w:eastAsia="仿宋" w:hAnsi="仿宋" w:cs="Times New Roman"/>
          <w:b/>
          <w:sz w:val="28"/>
          <w:szCs w:val="28"/>
        </w:rPr>
        <w:t>（二） 非经常性损益项目和金额</w:t>
      </w:r>
      <w:bookmarkEnd w:id="3"/>
    </w:p>
    <w:p w:rsidR="006B6C44" w:rsidRPr="00106009" w:rsidRDefault="00106009" w:rsidP="00106009">
      <w:pPr>
        <w:pStyle w:val="Section"/>
        <w:spacing w:before="0" w:after="0" w:line="560" w:lineRule="exact"/>
        <w:ind w:firstLineChars="200" w:firstLine="560"/>
        <w:outlineLvl w:val="2"/>
        <w:rPr>
          <w:rFonts w:ascii="仿宋" w:eastAsia="仿宋" w:hAnsi="仿宋"/>
          <w:b w:val="0"/>
          <w:sz w:val="28"/>
          <w:szCs w:val="28"/>
        </w:rPr>
      </w:pPr>
      <w:r w:rsidRPr="00106009">
        <w:rPr>
          <w:rFonts w:ascii="仿宋" w:eastAsia="仿宋" w:hAnsi="仿宋"/>
          <w:b w:val="0"/>
          <w:sz w:val="28"/>
          <w:szCs w:val="28"/>
        </w:rPr>
        <w:sym w:font="Wingdings 2" w:char="F052"/>
      </w:r>
      <w:r w:rsidRPr="00106009">
        <w:rPr>
          <w:rFonts w:ascii="仿宋" w:eastAsia="仿宋" w:hAnsi="仿宋"/>
          <w:b w:val="0"/>
          <w:sz w:val="28"/>
          <w:szCs w:val="28"/>
        </w:rPr>
        <w:t>适用</w:t>
      </w:r>
      <w:r>
        <w:rPr>
          <w:rFonts w:ascii="仿宋" w:eastAsia="仿宋" w:hAnsi="仿宋" w:hint="eastAsia"/>
          <w:b w:val="0"/>
          <w:sz w:val="28"/>
          <w:szCs w:val="28"/>
        </w:rPr>
        <w:t xml:space="preserve"> </w:t>
      </w:r>
      <w:r w:rsidRPr="00106009">
        <w:rPr>
          <w:rFonts w:ascii="仿宋" w:eastAsia="仿宋" w:hAnsi="仿宋"/>
          <w:b w:val="0"/>
          <w:sz w:val="28"/>
          <w:szCs w:val="28"/>
        </w:rPr>
        <w:t xml:space="preserve"> □不适用</w:t>
      </w:r>
    </w:p>
    <w:p w:rsidR="006B6C44" w:rsidRDefault="00106009">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794"/>
        <w:gridCol w:w="2835"/>
        <w:gridCol w:w="3010"/>
      </w:tblGrid>
      <w:tr w:rsidR="006B6C44" w:rsidTr="00106009">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本报告期金额</w:t>
            </w:r>
          </w:p>
        </w:tc>
        <w:tc>
          <w:tcPr>
            <w:tcW w:w="30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jc w:val="center"/>
              <w:rPr>
                <w:rFonts w:ascii="宋体" w:eastAsia="宋体" w:hAnsi="宋体" w:cs="宋体"/>
                <w:sz w:val="18"/>
                <w:szCs w:val="18"/>
              </w:rPr>
            </w:pPr>
            <w:r>
              <w:rPr>
                <w:rFonts w:ascii="宋体" w:eastAsia="宋体" w:hAnsi="宋体" w:cs="宋体"/>
                <w:sz w:val="18"/>
                <w:szCs w:val="18"/>
              </w:rPr>
              <w:t>说明</w:t>
            </w:r>
          </w:p>
        </w:tc>
      </w:tr>
      <w:tr w:rsidR="006B6C44" w:rsidTr="00106009">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835"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985,388.55</w:t>
            </w:r>
          </w:p>
        </w:tc>
        <w:tc>
          <w:tcPr>
            <w:tcW w:w="3010" w:type="dxa"/>
            <w:tcBorders>
              <w:top w:val="single" w:sz="2" w:space="0" w:color="auto"/>
              <w:left w:val="single" w:sz="2" w:space="0" w:color="auto"/>
              <w:bottom w:val="single" w:sz="2" w:space="0" w:color="auto"/>
              <w:right w:val="single" w:sz="2" w:space="0" w:color="auto"/>
            </w:tcBorders>
            <w:vAlign w:val="center"/>
          </w:tcPr>
          <w:p w:rsidR="006B6C44" w:rsidRDefault="006B6C44" w:rsidP="00106009">
            <w:pPr>
              <w:spacing w:line="300" w:lineRule="exact"/>
              <w:rPr>
                <w:rFonts w:ascii="宋体" w:eastAsia="宋体" w:hAnsi="宋体" w:cs="宋体"/>
                <w:sz w:val="18"/>
                <w:szCs w:val="18"/>
              </w:rPr>
            </w:pPr>
          </w:p>
        </w:tc>
      </w:tr>
      <w:tr w:rsidR="006B6C44" w:rsidTr="00106009">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2835"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2,704,297.59</w:t>
            </w:r>
          </w:p>
        </w:tc>
        <w:tc>
          <w:tcPr>
            <w:tcW w:w="3010"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主要是银行理财收益。</w:t>
            </w:r>
          </w:p>
        </w:tc>
      </w:tr>
      <w:tr w:rsidR="006B6C44" w:rsidTr="00106009">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-1,312,692.05</w:t>
            </w:r>
          </w:p>
        </w:tc>
        <w:tc>
          <w:tcPr>
            <w:tcW w:w="3010" w:type="dxa"/>
            <w:tcBorders>
              <w:top w:val="single" w:sz="2" w:space="0" w:color="auto"/>
              <w:left w:val="single" w:sz="2" w:space="0" w:color="auto"/>
              <w:bottom w:val="single" w:sz="2" w:space="0" w:color="auto"/>
              <w:right w:val="single" w:sz="2" w:space="0" w:color="auto"/>
            </w:tcBorders>
            <w:vAlign w:val="center"/>
          </w:tcPr>
          <w:p w:rsidR="006B6C44" w:rsidRDefault="006B6C44" w:rsidP="00106009">
            <w:pPr>
              <w:spacing w:line="300" w:lineRule="exact"/>
              <w:rPr>
                <w:rFonts w:ascii="宋体" w:eastAsia="宋体" w:hAnsi="宋体" w:cs="宋体"/>
                <w:sz w:val="18"/>
                <w:szCs w:val="18"/>
              </w:rPr>
            </w:pPr>
          </w:p>
        </w:tc>
      </w:tr>
      <w:tr w:rsidR="006B6C44" w:rsidTr="00106009">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835"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24,964.09</w:t>
            </w:r>
          </w:p>
        </w:tc>
        <w:tc>
          <w:tcPr>
            <w:tcW w:w="3010" w:type="dxa"/>
            <w:tcBorders>
              <w:top w:val="single" w:sz="2" w:space="0" w:color="auto"/>
              <w:left w:val="single" w:sz="2" w:space="0" w:color="auto"/>
              <w:bottom w:val="single" w:sz="2" w:space="0" w:color="auto"/>
              <w:right w:val="single" w:sz="2" w:space="0" w:color="auto"/>
            </w:tcBorders>
            <w:vAlign w:val="center"/>
          </w:tcPr>
          <w:p w:rsidR="006B6C44" w:rsidRDefault="006B6C44" w:rsidP="00106009">
            <w:pPr>
              <w:spacing w:line="300" w:lineRule="exact"/>
              <w:rPr>
                <w:rFonts w:ascii="宋体" w:eastAsia="宋体" w:hAnsi="宋体" w:cs="宋体"/>
                <w:sz w:val="18"/>
                <w:szCs w:val="18"/>
              </w:rPr>
            </w:pPr>
          </w:p>
        </w:tc>
      </w:tr>
      <w:tr w:rsidR="006B6C44" w:rsidTr="00106009">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减：所得税影响额</w:t>
            </w:r>
          </w:p>
        </w:tc>
        <w:tc>
          <w:tcPr>
            <w:tcW w:w="2835"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432,725.48</w:t>
            </w:r>
          </w:p>
        </w:tc>
        <w:tc>
          <w:tcPr>
            <w:tcW w:w="3010" w:type="dxa"/>
            <w:tcBorders>
              <w:top w:val="single" w:sz="2" w:space="0" w:color="auto"/>
              <w:left w:val="single" w:sz="2" w:space="0" w:color="auto"/>
              <w:bottom w:val="single" w:sz="2" w:space="0" w:color="auto"/>
              <w:right w:val="single" w:sz="2" w:space="0" w:color="auto"/>
            </w:tcBorders>
            <w:vAlign w:val="center"/>
          </w:tcPr>
          <w:p w:rsidR="006B6C44" w:rsidRDefault="006B6C44" w:rsidP="00106009">
            <w:pPr>
              <w:spacing w:line="300" w:lineRule="exact"/>
              <w:rPr>
                <w:rFonts w:ascii="宋体" w:eastAsia="宋体" w:hAnsi="宋体" w:cs="宋体"/>
                <w:sz w:val="18"/>
                <w:szCs w:val="18"/>
              </w:rPr>
            </w:pPr>
          </w:p>
        </w:tc>
      </w:tr>
      <w:tr w:rsidR="006B6C44" w:rsidTr="00106009">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835"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76,857.28</w:t>
            </w:r>
          </w:p>
        </w:tc>
        <w:tc>
          <w:tcPr>
            <w:tcW w:w="3010" w:type="dxa"/>
            <w:tcBorders>
              <w:top w:val="single" w:sz="2" w:space="0" w:color="auto"/>
              <w:left w:val="single" w:sz="2" w:space="0" w:color="auto"/>
              <w:bottom w:val="single" w:sz="2" w:space="0" w:color="auto"/>
              <w:right w:val="single" w:sz="2" w:space="0" w:color="auto"/>
            </w:tcBorders>
            <w:vAlign w:val="center"/>
          </w:tcPr>
          <w:p w:rsidR="006B6C44" w:rsidRDefault="006B6C44" w:rsidP="00106009">
            <w:pPr>
              <w:spacing w:line="300" w:lineRule="exact"/>
              <w:rPr>
                <w:rFonts w:ascii="宋体" w:eastAsia="宋体" w:hAnsi="宋体" w:cs="宋体"/>
                <w:sz w:val="18"/>
                <w:szCs w:val="18"/>
              </w:rPr>
            </w:pPr>
          </w:p>
        </w:tc>
      </w:tr>
      <w:tr w:rsidR="006B6C44" w:rsidTr="00106009">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106009">
            <w:pPr>
              <w:spacing w:line="300" w:lineRule="exact"/>
              <w:rPr>
                <w:rFonts w:ascii="宋体" w:eastAsia="宋体" w:hAnsi="宋体" w:cs="宋体"/>
                <w:sz w:val="18"/>
                <w:szCs w:val="18"/>
              </w:rPr>
            </w:pPr>
            <w:r>
              <w:rPr>
                <w:rFonts w:ascii="宋体" w:eastAsia="宋体" w:hAnsi="宋体" w:cs="宋体"/>
                <w:sz w:val="18"/>
                <w:szCs w:val="18"/>
              </w:rPr>
              <w:t>合计</w:t>
            </w:r>
          </w:p>
        </w:tc>
        <w:tc>
          <w:tcPr>
            <w:tcW w:w="2835" w:type="dxa"/>
            <w:tcBorders>
              <w:top w:val="single" w:sz="2" w:space="0" w:color="auto"/>
              <w:left w:val="single" w:sz="2" w:space="0" w:color="auto"/>
              <w:bottom w:val="single" w:sz="2" w:space="0" w:color="auto"/>
              <w:right w:val="single" w:sz="2" w:space="0" w:color="auto"/>
            </w:tcBorders>
            <w:vAlign w:val="center"/>
          </w:tcPr>
          <w:p w:rsidR="006B6C44" w:rsidRDefault="00106009" w:rsidP="00106009">
            <w:pPr>
              <w:spacing w:line="300" w:lineRule="exact"/>
              <w:jc w:val="right"/>
              <w:rPr>
                <w:rFonts w:ascii="宋体" w:eastAsia="宋体" w:hAnsi="宋体" w:cs="宋体"/>
                <w:sz w:val="18"/>
                <w:szCs w:val="18"/>
              </w:rPr>
            </w:pPr>
            <w:r>
              <w:rPr>
                <w:rFonts w:ascii="宋体" w:eastAsia="宋体" w:hAnsi="宋体" w:cs="宋体"/>
                <w:sz w:val="18"/>
                <w:szCs w:val="18"/>
              </w:rPr>
              <w:t>1,892,375.42</w:t>
            </w:r>
          </w:p>
        </w:tc>
        <w:tc>
          <w:tcPr>
            <w:tcW w:w="301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106009">
            <w:pPr>
              <w:spacing w:line="300" w:lineRule="exact"/>
            </w:pPr>
          </w:p>
        </w:tc>
      </w:tr>
    </w:tbl>
    <w:p w:rsidR="006B6C44" w:rsidRPr="00106009" w:rsidRDefault="00106009" w:rsidP="00106009">
      <w:pPr>
        <w:pStyle w:val="Section"/>
        <w:spacing w:before="0" w:after="0" w:line="560" w:lineRule="exact"/>
        <w:ind w:firstLineChars="200" w:firstLine="562"/>
        <w:outlineLvl w:val="2"/>
        <w:rPr>
          <w:rFonts w:ascii="仿宋" w:eastAsia="仿宋" w:hAnsi="仿宋"/>
          <w:sz w:val="28"/>
          <w:szCs w:val="28"/>
        </w:rPr>
      </w:pPr>
      <w:r w:rsidRPr="00106009">
        <w:rPr>
          <w:rFonts w:ascii="仿宋" w:eastAsia="仿宋" w:hAnsi="仿宋"/>
          <w:sz w:val="28"/>
          <w:szCs w:val="28"/>
        </w:rPr>
        <w:t>其他符合非经常性损益定义的损益项目的具体情况</w:t>
      </w:r>
    </w:p>
    <w:p w:rsidR="006B6C44" w:rsidRPr="00106009" w:rsidRDefault="00106009" w:rsidP="00106009">
      <w:pPr>
        <w:pStyle w:val="Section"/>
        <w:spacing w:before="0" w:after="0" w:line="560" w:lineRule="exact"/>
        <w:ind w:firstLineChars="200" w:firstLine="560"/>
        <w:outlineLvl w:val="2"/>
        <w:rPr>
          <w:rFonts w:ascii="仿宋" w:eastAsia="仿宋" w:hAnsi="仿宋"/>
          <w:b w:val="0"/>
          <w:sz w:val="28"/>
          <w:szCs w:val="28"/>
        </w:rPr>
      </w:pPr>
      <w:r w:rsidRPr="00106009">
        <w:rPr>
          <w:rFonts w:ascii="仿宋" w:eastAsia="仿宋" w:hAnsi="仿宋"/>
          <w:b w:val="0"/>
          <w:sz w:val="28"/>
          <w:szCs w:val="28"/>
        </w:rPr>
        <w:t>□适用</w:t>
      </w:r>
      <w:r>
        <w:rPr>
          <w:rFonts w:ascii="仿宋" w:eastAsia="仿宋" w:hAnsi="仿宋" w:hint="eastAsia"/>
          <w:b w:val="0"/>
          <w:sz w:val="28"/>
          <w:szCs w:val="28"/>
        </w:rPr>
        <w:t xml:space="preserve"> </w:t>
      </w:r>
      <w:r w:rsidRPr="00106009">
        <w:rPr>
          <w:rFonts w:ascii="仿宋" w:eastAsia="仿宋" w:hAnsi="仿宋"/>
          <w:b w:val="0"/>
          <w:sz w:val="28"/>
          <w:szCs w:val="28"/>
        </w:rPr>
        <w:t xml:space="preserve"> </w:t>
      </w:r>
      <w:r w:rsidRPr="00106009">
        <w:rPr>
          <w:rFonts w:ascii="仿宋" w:eastAsia="仿宋" w:hAnsi="仿宋"/>
          <w:b w:val="0"/>
          <w:sz w:val="28"/>
          <w:szCs w:val="28"/>
        </w:rPr>
        <w:sym w:font="Wingdings 2" w:char="F052"/>
      </w:r>
      <w:r w:rsidRPr="00106009">
        <w:rPr>
          <w:rFonts w:ascii="仿宋" w:eastAsia="仿宋" w:hAnsi="仿宋"/>
          <w:b w:val="0"/>
          <w:sz w:val="28"/>
          <w:szCs w:val="28"/>
        </w:rPr>
        <w:t>不适用</w:t>
      </w:r>
    </w:p>
    <w:p w:rsidR="006B6C44" w:rsidRPr="00106009" w:rsidRDefault="00106009" w:rsidP="00106009">
      <w:pPr>
        <w:pStyle w:val="Section"/>
        <w:spacing w:before="0" w:after="0" w:line="560" w:lineRule="exact"/>
        <w:ind w:firstLineChars="200" w:firstLine="560"/>
        <w:outlineLvl w:val="2"/>
        <w:rPr>
          <w:rFonts w:ascii="仿宋" w:eastAsia="仿宋" w:hAnsi="仿宋"/>
          <w:b w:val="0"/>
          <w:sz w:val="28"/>
          <w:szCs w:val="28"/>
        </w:rPr>
      </w:pPr>
      <w:r w:rsidRPr="00106009">
        <w:rPr>
          <w:rFonts w:ascii="仿宋" w:eastAsia="仿宋" w:hAnsi="仿宋"/>
          <w:b w:val="0"/>
          <w:sz w:val="28"/>
          <w:szCs w:val="28"/>
        </w:rPr>
        <w:t>公司不存在其他符合非经常性损益定义的损益项目的具体情况。</w:t>
      </w:r>
    </w:p>
    <w:p w:rsidR="006B6C44" w:rsidRPr="00106009" w:rsidRDefault="00106009" w:rsidP="00106009">
      <w:pPr>
        <w:pStyle w:val="Section"/>
        <w:spacing w:before="0" w:after="0" w:line="560" w:lineRule="exact"/>
        <w:ind w:firstLineChars="200" w:firstLine="562"/>
        <w:outlineLvl w:val="2"/>
        <w:rPr>
          <w:rFonts w:ascii="仿宋" w:eastAsia="仿宋" w:hAnsi="仿宋"/>
          <w:sz w:val="28"/>
          <w:szCs w:val="28"/>
        </w:rPr>
      </w:pPr>
      <w:r w:rsidRPr="00106009">
        <w:rPr>
          <w:rFonts w:ascii="仿宋" w:eastAsia="仿宋" w:hAnsi="仿宋"/>
          <w:sz w:val="28"/>
          <w:szCs w:val="28"/>
        </w:rPr>
        <w:t>将《公开发行证券的公司信息披露解释性公告第1号——非经常性损益》中列举的非经常性损益项目界定为经常性损益项目的情况说明</w:t>
      </w:r>
    </w:p>
    <w:p w:rsidR="006B6C44" w:rsidRPr="00106009" w:rsidRDefault="00106009" w:rsidP="00106009">
      <w:pPr>
        <w:pStyle w:val="Section"/>
        <w:spacing w:before="0" w:after="0" w:line="560" w:lineRule="exact"/>
        <w:ind w:firstLineChars="200" w:firstLine="560"/>
        <w:outlineLvl w:val="2"/>
        <w:rPr>
          <w:rFonts w:ascii="仿宋" w:eastAsia="仿宋" w:hAnsi="仿宋"/>
          <w:b w:val="0"/>
          <w:sz w:val="28"/>
          <w:szCs w:val="28"/>
        </w:rPr>
      </w:pPr>
      <w:r w:rsidRPr="00106009">
        <w:rPr>
          <w:rFonts w:ascii="仿宋" w:eastAsia="仿宋" w:hAnsi="仿宋"/>
          <w:b w:val="0"/>
          <w:sz w:val="28"/>
          <w:szCs w:val="28"/>
        </w:rPr>
        <w:t>□适用</w:t>
      </w:r>
      <w:r>
        <w:rPr>
          <w:rFonts w:ascii="仿宋" w:eastAsia="仿宋" w:hAnsi="仿宋" w:hint="eastAsia"/>
          <w:b w:val="0"/>
          <w:sz w:val="28"/>
          <w:szCs w:val="28"/>
        </w:rPr>
        <w:t xml:space="preserve"> </w:t>
      </w:r>
      <w:r w:rsidRPr="00106009">
        <w:rPr>
          <w:rFonts w:ascii="仿宋" w:eastAsia="仿宋" w:hAnsi="仿宋"/>
          <w:b w:val="0"/>
          <w:sz w:val="28"/>
          <w:szCs w:val="28"/>
        </w:rPr>
        <w:t xml:space="preserve"> </w:t>
      </w:r>
      <w:r w:rsidRPr="00106009">
        <w:rPr>
          <w:rFonts w:ascii="仿宋" w:eastAsia="仿宋" w:hAnsi="仿宋"/>
          <w:b w:val="0"/>
          <w:sz w:val="28"/>
          <w:szCs w:val="28"/>
        </w:rPr>
        <w:sym w:font="Wingdings 2" w:char="F052"/>
      </w:r>
      <w:r w:rsidRPr="00106009">
        <w:rPr>
          <w:rFonts w:ascii="仿宋" w:eastAsia="仿宋" w:hAnsi="仿宋"/>
          <w:b w:val="0"/>
          <w:sz w:val="28"/>
          <w:szCs w:val="28"/>
        </w:rPr>
        <w:t>不适用</w:t>
      </w:r>
    </w:p>
    <w:p w:rsidR="006B6C44" w:rsidRPr="00106009" w:rsidRDefault="00106009" w:rsidP="00106009">
      <w:pPr>
        <w:pStyle w:val="Section"/>
        <w:spacing w:before="0" w:after="0" w:line="560" w:lineRule="exact"/>
        <w:ind w:firstLineChars="200" w:firstLine="560"/>
        <w:outlineLvl w:val="2"/>
        <w:rPr>
          <w:rFonts w:ascii="仿宋" w:eastAsia="仿宋" w:hAnsi="仿宋"/>
          <w:b w:val="0"/>
          <w:sz w:val="28"/>
          <w:szCs w:val="28"/>
        </w:rPr>
      </w:pPr>
      <w:r w:rsidRPr="00106009">
        <w:rPr>
          <w:rFonts w:ascii="仿宋" w:eastAsia="仿宋" w:hAnsi="仿宋"/>
          <w:b w:val="0"/>
          <w:sz w:val="28"/>
          <w:szCs w:val="28"/>
        </w:rPr>
        <w:t>公司不存在将《公开发行证券的公司信息披露解释性公告第1号——非经常性损益》中列举的非经常性损益项目界定为经常性损益的项目的情形。</w:t>
      </w:r>
    </w:p>
    <w:p w:rsidR="00106009" w:rsidRDefault="00106009" w:rsidP="00106009">
      <w:pPr>
        <w:spacing w:line="560" w:lineRule="exact"/>
        <w:ind w:firstLineChars="200" w:firstLine="562"/>
        <w:jc w:val="both"/>
        <w:rPr>
          <w:rFonts w:ascii="仿宋" w:eastAsia="仿宋" w:hAnsi="仿宋" w:cs="Times New Roman"/>
          <w:b/>
          <w:sz w:val="28"/>
          <w:szCs w:val="28"/>
        </w:rPr>
      </w:pPr>
      <w:bookmarkStart w:id="4" w:name="_Toc988892"/>
      <w:r w:rsidRPr="00106009">
        <w:rPr>
          <w:rFonts w:ascii="仿宋" w:eastAsia="仿宋" w:hAnsi="仿宋" w:cs="Times New Roman"/>
          <w:b/>
          <w:sz w:val="28"/>
          <w:szCs w:val="28"/>
        </w:rPr>
        <w:t>（三） 主要会计数据和财务指标发生变动的情况及原因</w:t>
      </w:r>
      <w:bookmarkEnd w:id="4"/>
    </w:p>
    <w:p w:rsidR="00106009" w:rsidRDefault="00106009" w:rsidP="00106009">
      <w:pPr>
        <w:spacing w:line="560" w:lineRule="exact"/>
        <w:ind w:firstLineChars="200" w:firstLine="560"/>
        <w:jc w:val="both"/>
        <w:divId w:val="760757443"/>
        <w:rPr>
          <w:rFonts w:ascii="仿宋" w:eastAsia="仿宋" w:hAnsi="仿宋" w:cs="Times New Roman"/>
          <w:sz w:val="28"/>
          <w:szCs w:val="28"/>
        </w:rPr>
      </w:pPr>
      <w:r w:rsidRPr="00106009">
        <w:rPr>
          <w:rFonts w:ascii="仿宋" w:eastAsia="仿宋" w:hAnsi="仿宋" w:cs="Times New Roman"/>
          <w:sz w:val="28"/>
          <w:szCs w:val="28"/>
        </w:rPr>
        <w:sym w:font="Wingdings 2" w:char="F052"/>
      </w:r>
      <w:r w:rsidRPr="00106009">
        <w:rPr>
          <w:rFonts w:ascii="仿宋" w:eastAsia="仿宋" w:hAnsi="仿宋" w:cs="Times New Roman"/>
          <w:sz w:val="28"/>
          <w:szCs w:val="28"/>
        </w:rPr>
        <w:t>适用</w:t>
      </w:r>
      <w:r w:rsidRPr="00106009">
        <w:rPr>
          <w:rFonts w:ascii="仿宋" w:eastAsia="仿宋" w:hAnsi="仿宋" w:cs="Times New Roman" w:hint="eastAsia"/>
          <w:sz w:val="28"/>
          <w:szCs w:val="28"/>
        </w:rPr>
        <w:t xml:space="preserve"> </w:t>
      </w:r>
      <w:r w:rsidRPr="00106009">
        <w:rPr>
          <w:rFonts w:ascii="仿宋" w:eastAsia="仿宋" w:hAnsi="仿宋" w:cs="Times New Roman"/>
          <w:sz w:val="28"/>
          <w:szCs w:val="28"/>
        </w:rPr>
        <w:t xml:space="preserve"> □不适用</w:t>
      </w:r>
    </w:p>
    <w:p w:rsidR="006B6C44" w:rsidRDefault="006B6C44" w:rsidP="009779AB">
      <w:pPr>
        <w:spacing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1、货币资金期末余额比期初增加6,403.00万元，增幅45.21%</w:t>
      </w:r>
      <w:r w:rsidR="004F4FB2">
        <w:rPr>
          <w:rFonts w:ascii="仿宋" w:eastAsia="仿宋" w:hAnsi="仿宋" w:cs="Times New Roman" w:hint="eastAsia"/>
          <w:sz w:val="28"/>
          <w:szCs w:val="28"/>
        </w:rPr>
        <w:t>。</w:t>
      </w:r>
      <w:r>
        <w:rPr>
          <w:rFonts w:ascii="仿宋" w:eastAsia="仿宋" w:hAnsi="仿宋" w:cs="Times New Roman" w:hint="eastAsia"/>
          <w:sz w:val="28"/>
          <w:szCs w:val="28"/>
        </w:rPr>
        <w:t>主要原</w:t>
      </w:r>
      <w:r>
        <w:rPr>
          <w:rFonts w:ascii="仿宋" w:eastAsia="仿宋" w:hAnsi="仿宋" w:cs="Times New Roman" w:hint="eastAsia"/>
          <w:sz w:val="28"/>
          <w:szCs w:val="28"/>
        </w:rPr>
        <w:lastRenderedPageBreak/>
        <w:t>因是赎回理财产品。</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2、交易性金融资产期末余额比期初减少17,465.28万元，减幅59.77%。主要原因是赎回理财产品。</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3、应收账款期末余额比期初增加4,011.87万元，增幅26.49%。主要原因是本期销售形成的应收账款。</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4、预付款项期末余额比期初增加1,466.97万元，增幅569.44%。主要原因是预付材料款增加所致。</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5、应付职工薪酬期末余额比期初减少2,593.34万元，减幅64.76%。主要原因是本期发放了上年末计提的奖金。</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6、研发费用同比增加905.28万元，增幅112.38%。主要原因是研发力度加大，相应研发费用增加。</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7、销售商品、提供劳务收到的现金同比减少6,052.74万元，减幅68.38%。主要原因是上期食糖业务回款较多，本期公司经营已不涉及该业务。</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8、购买商品、接受劳务支付的现金同比减少2,103.57万元，减幅31.64%。主要原因是上期食糖业务采购较多，本期公司经营已不涉及该业务。</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9、支付的各项税费同比增加1,754.47万元，增幅433.59%。主要原因是：1、上年同期公司享受增值税缓缴政策；2、上年同期进项税额留抵较多，支付增值税金额较少。</w:t>
      </w:r>
    </w:p>
    <w:p w:rsidR="006B6C44" w:rsidRDefault="006B6C44" w:rsidP="009779AB">
      <w:pPr>
        <w:pStyle w:val="a3"/>
        <w:spacing w:before="0" w:beforeAutospacing="0" w:after="0" w:afterAutospacing="0" w:line="560" w:lineRule="exact"/>
        <w:ind w:firstLineChars="200" w:firstLine="560"/>
        <w:jc w:val="both"/>
        <w:divId w:val="760757443"/>
        <w:rPr>
          <w:rFonts w:ascii="Times New Roman" w:hAnsi="Times New Roman" w:cs="Times New Roman"/>
          <w:sz w:val="18"/>
          <w:szCs w:val="18"/>
        </w:rPr>
      </w:pPr>
      <w:r>
        <w:rPr>
          <w:rFonts w:ascii="仿宋" w:eastAsia="仿宋" w:hAnsi="仿宋" w:cs="Times New Roman" w:hint="eastAsia"/>
          <w:sz w:val="28"/>
          <w:szCs w:val="28"/>
        </w:rPr>
        <w:t>10、收回投资收到的现金同比减少20,805.70万元，减幅40.82%。主要原因是赎回银行理财金额减少。</w:t>
      </w:r>
    </w:p>
    <w:p w:rsidR="00106009" w:rsidRDefault="006B6C44" w:rsidP="009779AB">
      <w:pPr>
        <w:pStyle w:val="a3"/>
        <w:spacing w:before="0" w:beforeAutospacing="0" w:after="0" w:afterAutospacing="0" w:line="560" w:lineRule="exact"/>
        <w:ind w:firstLineChars="200" w:firstLine="560"/>
        <w:jc w:val="both"/>
        <w:divId w:val="760757443"/>
        <w:rPr>
          <w:rFonts w:ascii="仿宋" w:eastAsia="仿宋" w:hAnsi="仿宋" w:cs="Times New Roman"/>
          <w:sz w:val="28"/>
          <w:szCs w:val="28"/>
        </w:rPr>
      </w:pPr>
      <w:r>
        <w:rPr>
          <w:rFonts w:ascii="仿宋" w:eastAsia="仿宋" w:hAnsi="仿宋" w:cs="Times New Roman" w:hint="eastAsia"/>
          <w:sz w:val="28"/>
          <w:szCs w:val="28"/>
        </w:rPr>
        <w:t>11、投资支付的现金同比减少30,001.37万元，减幅68.01%。主要原因是购买银行理财金额减少。</w:t>
      </w:r>
      <w:bookmarkStart w:id="5" w:name="_Toc988893"/>
    </w:p>
    <w:p w:rsidR="00106009" w:rsidRPr="00106009" w:rsidRDefault="00106009" w:rsidP="00106009">
      <w:pPr>
        <w:pStyle w:val="a3"/>
        <w:spacing w:before="0" w:beforeAutospacing="0" w:after="0" w:afterAutospacing="0" w:line="560" w:lineRule="exact"/>
        <w:ind w:firstLineChars="200" w:firstLine="562"/>
        <w:divId w:val="760757443"/>
        <w:rPr>
          <w:rFonts w:ascii="Times New Roman" w:hAnsi="Times New Roman" w:cs="Times New Roman"/>
          <w:sz w:val="18"/>
          <w:szCs w:val="18"/>
        </w:rPr>
      </w:pPr>
      <w:r w:rsidRPr="00106009">
        <w:rPr>
          <w:rFonts w:ascii="Times New Roman" w:hAnsi="Times New Roman" w:cs="Times New Roman"/>
          <w:b/>
          <w:bCs/>
          <w:sz w:val="28"/>
          <w:szCs w:val="28"/>
        </w:rPr>
        <w:t>二、股东信息</w:t>
      </w:r>
      <w:r w:rsidRPr="00106009">
        <w:rPr>
          <w:rFonts w:ascii="Times New Roman" w:hAnsi="Times New Roman" w:cs="Times New Roman"/>
          <w:b/>
          <w:bCs/>
          <w:sz w:val="28"/>
          <w:szCs w:val="28"/>
        </w:rPr>
        <w:t xml:space="preserve"> </w:t>
      </w:r>
      <w:bookmarkStart w:id="6" w:name="_Toc988894"/>
      <w:bookmarkEnd w:id="5"/>
    </w:p>
    <w:p w:rsidR="006B6C44" w:rsidRPr="00106009" w:rsidRDefault="00106009" w:rsidP="00106009">
      <w:pPr>
        <w:spacing w:line="560" w:lineRule="exact"/>
        <w:ind w:firstLineChars="200" w:firstLine="562"/>
        <w:jc w:val="both"/>
        <w:rPr>
          <w:rFonts w:ascii="仿宋" w:eastAsia="仿宋" w:hAnsi="仿宋" w:cs="Times New Roman"/>
          <w:b/>
          <w:sz w:val="28"/>
          <w:szCs w:val="28"/>
        </w:rPr>
      </w:pPr>
      <w:r w:rsidRPr="00106009">
        <w:rPr>
          <w:rFonts w:ascii="仿宋" w:eastAsia="仿宋" w:hAnsi="仿宋" w:cs="Times New Roman"/>
          <w:b/>
          <w:sz w:val="28"/>
          <w:szCs w:val="28"/>
        </w:rPr>
        <w:t>（一） 普通股股东总数和表决权恢复的优先股股东数量及前十名股东持</w:t>
      </w:r>
      <w:r w:rsidRPr="00106009">
        <w:rPr>
          <w:rFonts w:ascii="仿宋" w:eastAsia="仿宋" w:hAnsi="仿宋" w:cs="Times New Roman"/>
          <w:b/>
          <w:sz w:val="28"/>
          <w:szCs w:val="28"/>
        </w:rPr>
        <w:lastRenderedPageBreak/>
        <w:t>股情况表</w:t>
      </w:r>
      <w:bookmarkEnd w:id="6"/>
    </w:p>
    <w:p w:rsidR="006B6C44" w:rsidRDefault="00106009">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235"/>
        <w:gridCol w:w="519"/>
        <w:gridCol w:w="615"/>
        <w:gridCol w:w="762"/>
        <w:gridCol w:w="230"/>
        <w:gridCol w:w="1276"/>
        <w:gridCol w:w="1275"/>
        <w:gridCol w:w="142"/>
        <w:gridCol w:w="1208"/>
        <w:gridCol w:w="68"/>
        <w:gridCol w:w="1309"/>
      </w:tblGrid>
      <w:tr w:rsidR="006B6C44" w:rsidTr="002D6740">
        <w:trPr>
          <w:trHeight w:val="533"/>
        </w:trPr>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报告期末普通股股东总数</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27,947</w:t>
            </w:r>
          </w:p>
        </w:tc>
        <w:tc>
          <w:tcPr>
            <w:tcW w:w="413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0</w:t>
            </w:r>
          </w:p>
        </w:tc>
      </w:tr>
      <w:tr w:rsidR="006B6C44" w:rsidTr="002D6740">
        <w:trPr>
          <w:trHeight w:val="554"/>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6B6C44" w:rsidTr="002D6740">
        <w:trPr>
          <w:trHeight w:val="561"/>
        </w:trPr>
        <w:tc>
          <w:tcPr>
            <w:tcW w:w="22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股东名称</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股东性质</w:t>
            </w:r>
          </w:p>
        </w:tc>
        <w:tc>
          <w:tcPr>
            <w:tcW w:w="99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持股比例</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持股数量</w:t>
            </w:r>
          </w:p>
        </w:tc>
        <w:tc>
          <w:tcPr>
            <w:tcW w:w="141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58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质押、标记 或冻结情况</w:t>
            </w:r>
          </w:p>
        </w:tc>
      </w:tr>
      <w:tr w:rsidR="006B6C44" w:rsidTr="002D6740">
        <w:trPr>
          <w:trHeight w:val="496"/>
        </w:trPr>
        <w:tc>
          <w:tcPr>
            <w:tcW w:w="223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60" w:lineRule="exact"/>
            </w:pPr>
          </w:p>
        </w:tc>
        <w:tc>
          <w:tcPr>
            <w:tcW w:w="113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60" w:lineRule="exact"/>
            </w:pPr>
          </w:p>
        </w:tc>
        <w:tc>
          <w:tcPr>
            <w:tcW w:w="99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60" w:lineRule="exact"/>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60" w:lineRule="exact"/>
            </w:pPr>
          </w:p>
        </w:tc>
        <w:tc>
          <w:tcPr>
            <w:tcW w:w="1417"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60" w:lineRule="exact"/>
            </w:pPr>
          </w:p>
        </w:tc>
        <w:tc>
          <w:tcPr>
            <w:tcW w:w="127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股份状态</w:t>
            </w:r>
          </w:p>
        </w:tc>
        <w:tc>
          <w:tcPr>
            <w:tcW w:w="1309"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数量</w:t>
            </w: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德力西集团有限公司</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境内非国有法人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41.77%</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185,000,000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质押</w:t>
            </w: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50,000,000</w:t>
            </w: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冯骏</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境内自然人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2.34%</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10,348,119</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7,761,089.00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胡成中</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境内自然人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1.43%</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6,350,000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谢慧明</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境内自然人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0.89%</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3,949,500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中华联合人寿保险股份有限公司－传统保险产品</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其他</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0.86%</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3,810,400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王栋</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境内自然人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0.76%</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3,353,900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黄炜</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境内自然人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0.62%</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2,734,533</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香港中央结算有限公司</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境外法人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0.57%</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2,521,361</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陶昌梅</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境内自然人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0.55%</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2,453,300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rsidTr="002D6740">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周丽</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境内自然人</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0.48%</w:t>
            </w:r>
          </w:p>
        </w:tc>
        <w:tc>
          <w:tcPr>
            <w:tcW w:w="1276"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60" w:lineRule="exact"/>
              <w:jc w:val="right"/>
              <w:rPr>
                <w:rFonts w:ascii="宋体" w:eastAsia="宋体" w:hAnsi="宋体" w:cs="宋体"/>
                <w:sz w:val="18"/>
                <w:szCs w:val="18"/>
              </w:rPr>
            </w:pPr>
            <w:r>
              <w:rPr>
                <w:rFonts w:ascii="宋体" w:eastAsia="宋体" w:hAnsi="宋体" w:cs="宋体"/>
                <w:sz w:val="18"/>
                <w:szCs w:val="18"/>
              </w:rPr>
              <w:t>2,118,100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jc w:val="right"/>
              <w:rPr>
                <w:rFonts w:ascii="宋体" w:eastAsia="宋体" w:hAnsi="宋体" w:cs="宋体"/>
                <w:sz w:val="18"/>
                <w:szCs w:val="18"/>
              </w:rPr>
            </w:pPr>
          </w:p>
        </w:tc>
      </w:tr>
      <w:tr w:rsidR="006B6C44">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前10名无限售条件股东持股情况</w:t>
            </w:r>
          </w:p>
        </w:tc>
      </w:tr>
      <w:tr w:rsidR="006B6C44" w:rsidTr="002D6740">
        <w:trPr>
          <w:trHeight w:val="240"/>
        </w:trPr>
        <w:tc>
          <w:tcPr>
            <w:tcW w:w="3369"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股东名称</w:t>
            </w:r>
          </w:p>
        </w:tc>
        <w:tc>
          <w:tcPr>
            <w:tcW w:w="3543"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持有无限售条件股份数量</w:t>
            </w:r>
          </w:p>
        </w:tc>
        <w:tc>
          <w:tcPr>
            <w:tcW w:w="272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股份种类</w:t>
            </w:r>
          </w:p>
        </w:tc>
      </w:tr>
      <w:tr w:rsidR="006B6C44" w:rsidTr="002D6740">
        <w:trPr>
          <w:trHeight w:val="240"/>
        </w:trPr>
        <w:tc>
          <w:tcPr>
            <w:tcW w:w="3369" w:type="dxa"/>
            <w:gridSpan w:val="3"/>
            <w:vMerge/>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pPr>
          </w:p>
        </w:tc>
        <w:tc>
          <w:tcPr>
            <w:tcW w:w="3543" w:type="dxa"/>
            <w:gridSpan w:val="4"/>
            <w:vMerge/>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60" w:lineRule="exact"/>
            </w:pPr>
          </w:p>
        </w:tc>
        <w:tc>
          <w:tcPr>
            <w:tcW w:w="141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股份种类</w:t>
            </w:r>
          </w:p>
        </w:tc>
        <w:tc>
          <w:tcPr>
            <w:tcW w:w="1309"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jc w:val="center"/>
              <w:rPr>
                <w:rFonts w:ascii="宋体" w:eastAsia="宋体" w:hAnsi="宋体" w:cs="宋体"/>
                <w:sz w:val="18"/>
                <w:szCs w:val="18"/>
              </w:rPr>
            </w:pPr>
            <w:r>
              <w:rPr>
                <w:rFonts w:ascii="宋体" w:eastAsia="宋体" w:hAnsi="宋体" w:cs="宋体"/>
                <w:sz w:val="18"/>
                <w:szCs w:val="18"/>
              </w:rPr>
              <w:t>数量</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德力西集团有限公司</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185,000,000</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185,000,000</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胡成中</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6,350,000</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6,350,000</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谢慧明</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3,949,500</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3,949,500</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中华联合人寿保险股份有限公司－传统保险产品</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3,810,400</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3,810,400</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王栋</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3,353,900</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3,353,900</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黄炜</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2,734,533</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2,734,533</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冯骏</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2,587,030</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2,587,030</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香港中央结算有限公司</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2,521,361</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2,521,361</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陶昌梅</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2,453,300</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2,453,300</w:t>
            </w:r>
          </w:p>
        </w:tc>
      </w:tr>
      <w:tr w:rsidR="002D6740"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周丽</w:t>
            </w:r>
          </w:p>
        </w:tc>
        <w:tc>
          <w:tcPr>
            <w:tcW w:w="3543" w:type="dxa"/>
            <w:gridSpan w:val="4"/>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2,118,100</w:t>
            </w:r>
          </w:p>
        </w:tc>
        <w:tc>
          <w:tcPr>
            <w:tcW w:w="1418" w:type="dxa"/>
            <w:gridSpan w:val="3"/>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2D6740" w:rsidRDefault="002D6740" w:rsidP="002D6740">
            <w:pPr>
              <w:spacing w:line="360" w:lineRule="exact"/>
              <w:jc w:val="right"/>
              <w:rPr>
                <w:rFonts w:ascii="宋体" w:eastAsia="宋体" w:hAnsi="宋体" w:cs="宋体"/>
                <w:sz w:val="18"/>
                <w:szCs w:val="18"/>
              </w:rPr>
            </w:pPr>
            <w:r>
              <w:rPr>
                <w:rFonts w:ascii="宋体" w:eastAsia="宋体" w:hAnsi="宋体" w:cs="宋体"/>
                <w:sz w:val="18"/>
                <w:szCs w:val="18"/>
              </w:rPr>
              <w:t>2,118,100</w:t>
            </w:r>
          </w:p>
        </w:tc>
      </w:tr>
      <w:tr w:rsidR="006B6C44"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6270" w:type="dxa"/>
            <w:gridSpan w:val="8"/>
            <w:tcBorders>
              <w:top w:val="single" w:sz="2" w:space="0" w:color="auto"/>
              <w:left w:val="single" w:sz="2" w:space="0" w:color="auto"/>
              <w:bottom w:val="single" w:sz="2" w:space="0" w:color="auto"/>
              <w:right w:val="single" w:sz="2" w:space="0" w:color="auto"/>
            </w:tcBorders>
            <w:vAlign w:val="center"/>
          </w:tcPr>
          <w:p w:rsidR="006B6C44" w:rsidRDefault="00106009" w:rsidP="009C3E77">
            <w:pPr>
              <w:spacing w:line="320" w:lineRule="exact"/>
              <w:jc w:val="both"/>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广东甘化科工股份有限公司回购专用证券账户为公司回购股份</w:t>
            </w:r>
            <w:r>
              <w:rPr>
                <w:rFonts w:ascii="宋体" w:eastAsia="宋体" w:hAnsi="宋体" w:cs="宋体"/>
                <w:sz w:val="18"/>
                <w:szCs w:val="18"/>
              </w:rPr>
              <w:lastRenderedPageBreak/>
              <w:t>设立的专用证券账户，持有公司股票4,482,462股，在前10名股东中排名第4，该回购专用证券账户中的股份不享有股东大会表决权、利润分配、公积金转增股本、配股、质押等权利。</w:t>
            </w:r>
          </w:p>
        </w:tc>
      </w:tr>
      <w:tr w:rsidR="006B6C44" w:rsidTr="002D6740">
        <w:trPr>
          <w:trHeight w:val="240"/>
        </w:trPr>
        <w:tc>
          <w:tcPr>
            <w:tcW w:w="33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60" w:lineRule="exact"/>
              <w:rPr>
                <w:rFonts w:ascii="宋体" w:eastAsia="宋体" w:hAnsi="宋体" w:cs="宋体"/>
                <w:sz w:val="18"/>
                <w:szCs w:val="18"/>
              </w:rPr>
            </w:pPr>
            <w:r>
              <w:rPr>
                <w:rFonts w:ascii="宋体" w:eastAsia="宋体" w:hAnsi="宋体" w:cs="宋体"/>
                <w:sz w:val="18"/>
                <w:szCs w:val="18"/>
              </w:rPr>
              <w:lastRenderedPageBreak/>
              <w:t>前10名股东参与融资融券业务情况说明（如有）</w:t>
            </w:r>
          </w:p>
        </w:tc>
        <w:tc>
          <w:tcPr>
            <w:tcW w:w="6270" w:type="dxa"/>
            <w:gridSpan w:val="8"/>
            <w:tcBorders>
              <w:top w:val="single" w:sz="2" w:space="0" w:color="auto"/>
              <w:left w:val="single" w:sz="2" w:space="0" w:color="auto"/>
              <w:bottom w:val="single" w:sz="2" w:space="0" w:color="auto"/>
              <w:right w:val="single" w:sz="2" w:space="0" w:color="auto"/>
            </w:tcBorders>
            <w:vAlign w:val="center"/>
          </w:tcPr>
          <w:p w:rsidR="006B6C44" w:rsidRDefault="00106009" w:rsidP="009C3E77">
            <w:pPr>
              <w:spacing w:line="320" w:lineRule="exact"/>
              <w:jc w:val="both"/>
              <w:rPr>
                <w:rFonts w:ascii="宋体" w:eastAsia="宋体" w:hAnsi="宋体" w:cs="宋体"/>
                <w:sz w:val="18"/>
                <w:szCs w:val="18"/>
              </w:rPr>
            </w:pPr>
            <w:r>
              <w:rPr>
                <w:rFonts w:ascii="宋体" w:eastAsia="宋体" w:hAnsi="宋体" w:cs="宋体"/>
                <w:sz w:val="18"/>
                <w:szCs w:val="18"/>
              </w:rPr>
              <w:t>前10名股东中，德力西集团有限公司通过财通证券股份有限公司客户信用交易担保证券账户持有公司股份35,000,000股，占公司总股本的7.90%；谢慧明通过西南证券股份有限公司客户信用交易担保证券账户持有公司股份3,633,200股，占公司总股本的0.82%；王栋通过申万宏源证券有限公司客户信用交易担保证券账户持有公司股份3,353,900股，占公司总股本的0.76%；黄炜通过申万宏源证券有限公司客户信用交易担保证券账户持有公司股份2,700,033股，占公司总股本的0.61%。</w:t>
            </w:r>
          </w:p>
        </w:tc>
      </w:tr>
    </w:tbl>
    <w:p w:rsidR="006B6C44" w:rsidRPr="002D6740" w:rsidRDefault="00106009" w:rsidP="002D6740">
      <w:pPr>
        <w:spacing w:line="560" w:lineRule="exact"/>
        <w:ind w:firstLineChars="200" w:firstLine="562"/>
        <w:jc w:val="both"/>
        <w:rPr>
          <w:rFonts w:ascii="仿宋" w:eastAsia="仿宋" w:hAnsi="仿宋" w:cs="Times New Roman"/>
          <w:b/>
          <w:sz w:val="28"/>
          <w:szCs w:val="28"/>
        </w:rPr>
      </w:pPr>
      <w:bookmarkStart w:id="7" w:name="_Toc988895"/>
      <w:r w:rsidRPr="002D6740">
        <w:rPr>
          <w:rFonts w:ascii="仿宋" w:eastAsia="仿宋" w:hAnsi="仿宋" w:cs="Times New Roman"/>
          <w:b/>
          <w:sz w:val="28"/>
          <w:szCs w:val="28"/>
        </w:rPr>
        <w:t>（二） 公司优先股股东总数及前10名优先股股东持股情况表</w:t>
      </w:r>
      <w:bookmarkEnd w:id="7"/>
    </w:p>
    <w:p w:rsidR="006B6C44" w:rsidRPr="002D6740" w:rsidRDefault="00106009" w:rsidP="002D6740">
      <w:pPr>
        <w:spacing w:line="560" w:lineRule="exact"/>
        <w:ind w:firstLineChars="200" w:firstLine="560"/>
        <w:rPr>
          <w:rFonts w:ascii="仿宋" w:eastAsia="仿宋" w:hAnsi="仿宋" w:cs="Times New Roman"/>
          <w:kern w:val="0"/>
          <w:sz w:val="28"/>
          <w:szCs w:val="28"/>
        </w:rPr>
      </w:pPr>
      <w:r w:rsidRPr="002D6740">
        <w:rPr>
          <w:rFonts w:ascii="仿宋" w:eastAsia="仿宋" w:hAnsi="仿宋" w:cs="Times New Roman"/>
          <w:kern w:val="0"/>
          <w:sz w:val="28"/>
          <w:szCs w:val="28"/>
        </w:rPr>
        <w:t>□适用</w:t>
      </w:r>
      <w:r w:rsidR="002D6740">
        <w:rPr>
          <w:rFonts w:ascii="仿宋" w:eastAsia="仿宋" w:hAnsi="仿宋" w:cs="Times New Roman" w:hint="eastAsia"/>
          <w:kern w:val="0"/>
          <w:sz w:val="28"/>
          <w:szCs w:val="28"/>
        </w:rPr>
        <w:t xml:space="preserve"> </w:t>
      </w:r>
      <w:r w:rsidRPr="002D6740">
        <w:rPr>
          <w:rFonts w:ascii="仿宋" w:eastAsia="仿宋" w:hAnsi="仿宋" w:cs="Times New Roman"/>
          <w:kern w:val="0"/>
          <w:sz w:val="28"/>
          <w:szCs w:val="28"/>
        </w:rPr>
        <w:t xml:space="preserve"> </w:t>
      </w:r>
      <w:r w:rsidRPr="002D6740">
        <w:rPr>
          <w:rFonts w:ascii="仿宋" w:eastAsia="仿宋" w:hAnsi="仿宋" w:cs="Times New Roman"/>
          <w:kern w:val="0"/>
          <w:sz w:val="28"/>
          <w:szCs w:val="28"/>
        </w:rPr>
        <w:sym w:font="Wingdings 2" w:char="F052"/>
      </w:r>
      <w:r w:rsidRPr="002D6740">
        <w:rPr>
          <w:rFonts w:ascii="仿宋" w:eastAsia="仿宋" w:hAnsi="仿宋" w:cs="Times New Roman"/>
          <w:kern w:val="0"/>
          <w:sz w:val="28"/>
          <w:szCs w:val="28"/>
        </w:rPr>
        <w:t>不适用</w:t>
      </w:r>
    </w:p>
    <w:p w:rsidR="006B6C44" w:rsidRPr="002D6740" w:rsidRDefault="00106009" w:rsidP="002D6740">
      <w:pPr>
        <w:pStyle w:val="a3"/>
        <w:spacing w:before="0" w:beforeAutospacing="0" w:after="0" w:afterAutospacing="0" w:line="560" w:lineRule="exact"/>
        <w:ind w:firstLineChars="200" w:firstLine="562"/>
        <w:rPr>
          <w:rFonts w:ascii="Times New Roman" w:hAnsi="Times New Roman" w:cs="Times New Roman"/>
          <w:b/>
          <w:bCs/>
          <w:sz w:val="28"/>
          <w:szCs w:val="28"/>
        </w:rPr>
      </w:pPr>
      <w:bookmarkStart w:id="8" w:name="_Toc988896"/>
      <w:r w:rsidRPr="002D6740">
        <w:rPr>
          <w:rFonts w:ascii="Times New Roman" w:hAnsi="Times New Roman" w:cs="Times New Roman"/>
          <w:b/>
          <w:bCs/>
          <w:sz w:val="28"/>
          <w:szCs w:val="28"/>
        </w:rPr>
        <w:t>三、其他重要事项</w:t>
      </w:r>
      <w:bookmarkEnd w:id="8"/>
    </w:p>
    <w:p w:rsidR="006B6C44" w:rsidRPr="002D6740" w:rsidRDefault="00106009" w:rsidP="002D6740">
      <w:pPr>
        <w:spacing w:line="560" w:lineRule="exact"/>
        <w:ind w:firstLineChars="200" w:firstLine="560"/>
        <w:rPr>
          <w:rFonts w:ascii="仿宋" w:eastAsia="仿宋" w:hAnsi="仿宋" w:cs="Times New Roman"/>
          <w:kern w:val="0"/>
          <w:sz w:val="28"/>
          <w:szCs w:val="28"/>
        </w:rPr>
      </w:pPr>
      <w:r w:rsidRPr="002D6740">
        <w:rPr>
          <w:rFonts w:ascii="仿宋" w:eastAsia="仿宋" w:hAnsi="仿宋" w:cs="Times New Roman"/>
          <w:kern w:val="0"/>
          <w:sz w:val="28"/>
          <w:szCs w:val="28"/>
        </w:rPr>
        <w:t>□适用</w:t>
      </w:r>
      <w:r w:rsidR="002D6740">
        <w:rPr>
          <w:rFonts w:ascii="仿宋" w:eastAsia="仿宋" w:hAnsi="仿宋" w:cs="Times New Roman" w:hint="eastAsia"/>
          <w:kern w:val="0"/>
          <w:sz w:val="28"/>
          <w:szCs w:val="28"/>
        </w:rPr>
        <w:t xml:space="preserve"> </w:t>
      </w:r>
      <w:r w:rsidRPr="002D6740">
        <w:rPr>
          <w:rFonts w:ascii="仿宋" w:eastAsia="仿宋" w:hAnsi="仿宋" w:cs="Times New Roman"/>
          <w:kern w:val="0"/>
          <w:sz w:val="28"/>
          <w:szCs w:val="28"/>
        </w:rPr>
        <w:t xml:space="preserve"> </w:t>
      </w:r>
      <w:r w:rsidRPr="002D6740">
        <w:rPr>
          <w:rFonts w:ascii="仿宋" w:eastAsia="仿宋" w:hAnsi="仿宋" w:cs="Times New Roman"/>
          <w:kern w:val="0"/>
          <w:sz w:val="28"/>
          <w:szCs w:val="28"/>
        </w:rPr>
        <w:sym w:font="Wingdings 2" w:char="F052"/>
      </w:r>
      <w:r w:rsidRPr="002D6740">
        <w:rPr>
          <w:rFonts w:ascii="仿宋" w:eastAsia="仿宋" w:hAnsi="仿宋" w:cs="Times New Roman"/>
          <w:kern w:val="0"/>
          <w:sz w:val="28"/>
          <w:szCs w:val="28"/>
        </w:rPr>
        <w:t>不适用</w:t>
      </w:r>
    </w:p>
    <w:p w:rsidR="006B6C44" w:rsidRPr="002D6740" w:rsidRDefault="00106009" w:rsidP="002D6740">
      <w:pPr>
        <w:pStyle w:val="a3"/>
        <w:spacing w:before="0" w:beforeAutospacing="0" w:after="0" w:afterAutospacing="0" w:line="560" w:lineRule="exact"/>
        <w:ind w:firstLineChars="200" w:firstLine="562"/>
        <w:rPr>
          <w:rFonts w:ascii="Times New Roman" w:hAnsi="Times New Roman" w:cs="Times New Roman"/>
          <w:b/>
          <w:bCs/>
          <w:sz w:val="28"/>
          <w:szCs w:val="28"/>
        </w:rPr>
      </w:pPr>
      <w:bookmarkStart w:id="9" w:name="_Toc988897"/>
      <w:r w:rsidRPr="002D6740">
        <w:rPr>
          <w:rFonts w:ascii="Times New Roman" w:hAnsi="Times New Roman" w:cs="Times New Roman"/>
          <w:b/>
          <w:bCs/>
          <w:sz w:val="28"/>
          <w:szCs w:val="28"/>
        </w:rPr>
        <w:t>四、季度财务报表</w:t>
      </w:r>
      <w:bookmarkEnd w:id="9"/>
    </w:p>
    <w:p w:rsidR="006B6C44" w:rsidRPr="002D6740" w:rsidRDefault="00106009" w:rsidP="002D6740">
      <w:pPr>
        <w:spacing w:line="560" w:lineRule="exact"/>
        <w:ind w:firstLineChars="200" w:firstLine="562"/>
        <w:jc w:val="both"/>
        <w:rPr>
          <w:rFonts w:ascii="仿宋" w:eastAsia="仿宋" w:hAnsi="仿宋" w:cs="Times New Roman"/>
          <w:b/>
          <w:sz w:val="28"/>
          <w:szCs w:val="28"/>
        </w:rPr>
      </w:pPr>
      <w:bookmarkStart w:id="10" w:name="_Toc988898"/>
      <w:r w:rsidRPr="002D6740">
        <w:rPr>
          <w:rFonts w:ascii="仿宋" w:eastAsia="仿宋" w:hAnsi="仿宋" w:cs="Times New Roman"/>
          <w:b/>
          <w:sz w:val="28"/>
          <w:szCs w:val="28"/>
        </w:rPr>
        <w:t>（一） 财务报表</w:t>
      </w:r>
      <w:bookmarkEnd w:id="10"/>
    </w:p>
    <w:p w:rsidR="006B6C44" w:rsidRPr="002D6740" w:rsidRDefault="00106009" w:rsidP="002D6740">
      <w:pPr>
        <w:spacing w:line="560" w:lineRule="exact"/>
        <w:ind w:firstLineChars="200" w:firstLine="562"/>
        <w:jc w:val="both"/>
        <w:rPr>
          <w:rFonts w:ascii="仿宋" w:eastAsia="仿宋" w:hAnsi="仿宋" w:cs="Times New Roman"/>
          <w:b/>
          <w:sz w:val="28"/>
          <w:szCs w:val="28"/>
        </w:rPr>
      </w:pPr>
      <w:bookmarkStart w:id="11" w:name="_Toc988899"/>
      <w:r w:rsidRPr="002D6740">
        <w:rPr>
          <w:rFonts w:ascii="仿宋" w:eastAsia="仿宋" w:hAnsi="仿宋" w:cs="Times New Roman"/>
          <w:b/>
          <w:sz w:val="28"/>
          <w:szCs w:val="28"/>
        </w:rPr>
        <w:t>1、合并资产负债表</w:t>
      </w:r>
      <w:bookmarkEnd w:id="11"/>
    </w:p>
    <w:p w:rsidR="006B6C44" w:rsidRDefault="00106009" w:rsidP="009C3E77">
      <w:pPr>
        <w:spacing w:line="560" w:lineRule="exact"/>
        <w:ind w:firstLineChars="200" w:firstLine="360"/>
        <w:rPr>
          <w:rFonts w:ascii="宋体" w:eastAsia="宋体" w:hAnsi="宋体" w:cs="宋体"/>
          <w:sz w:val="18"/>
          <w:szCs w:val="18"/>
        </w:rPr>
      </w:pPr>
      <w:r>
        <w:rPr>
          <w:rFonts w:ascii="宋体" w:eastAsia="宋体" w:hAnsi="宋体" w:cs="宋体"/>
          <w:sz w:val="18"/>
          <w:szCs w:val="18"/>
        </w:rPr>
        <w:t>编制单位：广东甘化科工股份有限公司</w:t>
      </w:r>
    </w:p>
    <w:p w:rsidR="006B6C44" w:rsidRDefault="00106009">
      <w:pPr>
        <w:spacing w:line="240" w:lineRule="exact"/>
        <w:jc w:val="center"/>
        <w:rPr>
          <w:rFonts w:ascii="宋体" w:eastAsia="宋体" w:hAnsi="宋体" w:cs="宋体"/>
          <w:sz w:val="18"/>
          <w:szCs w:val="18"/>
        </w:rPr>
      </w:pPr>
      <w:r>
        <w:rPr>
          <w:rFonts w:ascii="宋体" w:eastAsia="宋体" w:hAnsi="宋体" w:cs="宋体"/>
          <w:sz w:val="18"/>
          <w:szCs w:val="18"/>
        </w:rPr>
        <w:t>2023年03月31日</w:t>
      </w:r>
    </w:p>
    <w:p w:rsidR="006B6C44" w:rsidRDefault="00106009">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jc w:val="center"/>
              <w:rPr>
                <w:rFonts w:ascii="宋体" w:eastAsia="宋体" w:hAnsi="宋体" w:cs="宋体"/>
                <w:sz w:val="18"/>
                <w:szCs w:val="18"/>
              </w:rPr>
            </w:pPr>
            <w:r>
              <w:rPr>
                <w:rFonts w:ascii="宋体" w:eastAsia="宋体" w:hAnsi="宋体" w:cs="宋体"/>
                <w:sz w:val="18"/>
                <w:szCs w:val="18"/>
              </w:rPr>
              <w:t>年初余额</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205,669,729.66</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141,639,744.87</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117,578,695.52</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292,231,491.07</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177,492,095.94</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156,156,288.85</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191,590,233.60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151,471,551.63</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17,245,885.13</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2,576,171.12</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5,024,695.64</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3,567,612.39</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lastRenderedPageBreak/>
              <w:t>存货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163,472,130.59</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159,144,000.01</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555,645.54</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4,846,215.85</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4,259,768.85</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883,475,327.47</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911,602,274.33</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5,260,610.02</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5,260,610.02</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180,933,063.76</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164,439,177.20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22,000,000.00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22,000,000.00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22,397,670.61</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22,577,561.65</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59,330,851.22</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57,770,822.39</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293,362.83</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273,451.33</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56,602,960.86</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57,660,520.15</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12,380,590.77</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10,951,948.68</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718,624,779.20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718,624,779.20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21,312,711.52</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14,366,851.59</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19,990,965.68</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19,028,178.81</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293,400.00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2,126,692.16</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1,119,420,966.47</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1,095,080,593.18</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2,002,896,293.94</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2,006,682,867.51</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17,083,657.60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24,091,793.12</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39,627,939.48</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30,547,001.40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1,435,068.98</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5,520,477.18</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14,113,036.49</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40,046,442.41</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17,571,573.44</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20,732,485.44</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29,183,678.12</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28,106,873.04</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lastRenderedPageBreak/>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923,915.18</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923,915.18</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2,696,996.66</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2,693,991.27</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187,686.02</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718,789.14</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121,899,636.79</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152,457,853.00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59,508,632.61</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60,071,068.19</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4,303,874.41</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32,993.52</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1,535,381.75</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1,720,365.19</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3,322,926.98</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3,423,779.10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68,670,815.75</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65,248,206.00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190,570,452.54</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217,706,059.00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442,861,324.00</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710,120,959.49</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708,693,669.05</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65,326,541.77</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5,832,742.38</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5,317,066.43</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90,928,947.53</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593,729,677.37</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572,279,282.75</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1,778,147,109.00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1,754,753,747.99</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34,178,732.40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34,223,060.52</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1,812,325,841.40</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1,788,976,808.51</w:t>
            </w:r>
          </w:p>
        </w:tc>
      </w:tr>
      <w:tr w:rsidR="006B6C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2,002,896,293.94</w:t>
            </w:r>
          </w:p>
        </w:tc>
        <w:tc>
          <w:tcPr>
            <w:tcW w:w="3213"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2,006,682,867.51</w:t>
            </w:r>
          </w:p>
        </w:tc>
      </w:tr>
    </w:tbl>
    <w:p w:rsidR="002D6740" w:rsidRDefault="002D6740" w:rsidP="002D6740">
      <w:pPr>
        <w:spacing w:line="240" w:lineRule="exact"/>
        <w:jc w:val="center"/>
        <w:rPr>
          <w:rFonts w:ascii="宋体" w:eastAsia="宋体" w:hAnsi="宋体" w:cs="宋体"/>
          <w:sz w:val="18"/>
          <w:szCs w:val="18"/>
        </w:rPr>
      </w:pPr>
    </w:p>
    <w:p w:rsidR="006B6C44" w:rsidRDefault="00106009" w:rsidP="002D6740">
      <w:pPr>
        <w:spacing w:line="240" w:lineRule="exact"/>
        <w:jc w:val="center"/>
        <w:rPr>
          <w:rFonts w:ascii="宋体" w:eastAsia="宋体" w:hAnsi="宋体" w:cs="宋体"/>
          <w:sz w:val="18"/>
          <w:szCs w:val="18"/>
        </w:rPr>
      </w:pPr>
      <w:r>
        <w:rPr>
          <w:rFonts w:ascii="宋体" w:eastAsia="宋体" w:hAnsi="宋体" w:cs="宋体"/>
          <w:sz w:val="18"/>
          <w:szCs w:val="18"/>
        </w:rPr>
        <w:t xml:space="preserve">法定代表人：黄克  </w:t>
      </w:r>
      <w:r w:rsidR="002D6740">
        <w:rPr>
          <w:rFonts w:ascii="宋体" w:eastAsia="宋体" w:hAnsi="宋体" w:cs="宋体" w:hint="eastAsia"/>
          <w:sz w:val="18"/>
          <w:szCs w:val="18"/>
        </w:rPr>
        <w:t xml:space="preserve">              </w:t>
      </w:r>
      <w:r>
        <w:rPr>
          <w:rFonts w:ascii="宋体" w:eastAsia="宋体" w:hAnsi="宋体" w:cs="宋体"/>
          <w:sz w:val="18"/>
          <w:szCs w:val="18"/>
        </w:rPr>
        <w:t xml:space="preserve">  主管会计工作负责人：陈波     </w:t>
      </w:r>
      <w:r w:rsidR="002D6740">
        <w:rPr>
          <w:rFonts w:ascii="宋体" w:eastAsia="宋体" w:hAnsi="宋体" w:cs="宋体" w:hint="eastAsia"/>
          <w:sz w:val="18"/>
          <w:szCs w:val="18"/>
        </w:rPr>
        <w:t xml:space="preserve">         </w:t>
      </w:r>
      <w:r>
        <w:rPr>
          <w:rFonts w:ascii="宋体" w:eastAsia="宋体" w:hAnsi="宋体" w:cs="宋体"/>
          <w:sz w:val="18"/>
          <w:szCs w:val="18"/>
        </w:rPr>
        <w:t xml:space="preserve"> 会计机构负责人：徐佳君</w:t>
      </w:r>
    </w:p>
    <w:p w:rsidR="002D6740" w:rsidRDefault="002D6740" w:rsidP="002D6740">
      <w:pPr>
        <w:spacing w:line="560" w:lineRule="exact"/>
        <w:ind w:firstLineChars="200" w:firstLine="562"/>
        <w:jc w:val="both"/>
        <w:rPr>
          <w:rFonts w:ascii="仿宋" w:eastAsia="仿宋" w:hAnsi="仿宋" w:cs="Times New Roman"/>
          <w:b/>
          <w:sz w:val="28"/>
          <w:szCs w:val="28"/>
        </w:rPr>
      </w:pPr>
      <w:bookmarkStart w:id="12" w:name="_Toc988900"/>
    </w:p>
    <w:p w:rsidR="009C3E77" w:rsidRDefault="009C3E77" w:rsidP="002D6740">
      <w:pPr>
        <w:spacing w:line="560" w:lineRule="exact"/>
        <w:ind w:firstLineChars="200" w:firstLine="562"/>
        <w:jc w:val="both"/>
        <w:rPr>
          <w:rFonts w:ascii="仿宋" w:eastAsia="仿宋" w:hAnsi="仿宋" w:cs="Times New Roman"/>
          <w:b/>
          <w:sz w:val="28"/>
          <w:szCs w:val="28"/>
        </w:rPr>
      </w:pPr>
    </w:p>
    <w:p w:rsidR="006B6C44" w:rsidRPr="002D6740" w:rsidRDefault="00106009" w:rsidP="002D6740">
      <w:pPr>
        <w:spacing w:line="560" w:lineRule="exact"/>
        <w:ind w:firstLineChars="200" w:firstLine="562"/>
        <w:jc w:val="both"/>
        <w:rPr>
          <w:rFonts w:ascii="仿宋" w:eastAsia="仿宋" w:hAnsi="仿宋" w:cs="Times New Roman"/>
          <w:b/>
          <w:sz w:val="28"/>
          <w:szCs w:val="28"/>
        </w:rPr>
      </w:pPr>
      <w:r w:rsidRPr="002D6740">
        <w:rPr>
          <w:rFonts w:ascii="仿宋" w:eastAsia="仿宋" w:hAnsi="仿宋" w:cs="Times New Roman"/>
          <w:b/>
          <w:sz w:val="28"/>
          <w:szCs w:val="28"/>
        </w:rPr>
        <w:lastRenderedPageBreak/>
        <w:t>2、合并利润表</w:t>
      </w:r>
      <w:bookmarkEnd w:id="12"/>
      <w:r w:rsidR="002D6740" w:rsidRPr="002D6740">
        <w:rPr>
          <w:rFonts w:ascii="仿宋" w:eastAsia="仿宋" w:hAnsi="仿宋" w:cs="Times New Roman" w:hint="eastAsia"/>
          <w:b/>
          <w:sz w:val="28"/>
          <w:szCs w:val="28"/>
        </w:rPr>
        <w:t xml:space="preserve">         </w:t>
      </w:r>
    </w:p>
    <w:p w:rsidR="006B6C44" w:rsidRDefault="00106009">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928"/>
        <w:gridCol w:w="2551"/>
        <w:gridCol w:w="2160"/>
      </w:tblGrid>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一、营业总收入</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84,905,860.32</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90,211,676.77</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84,905,860.32</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90,211,676.77</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二、营业总成本</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61,375,123.45</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63,398,291.22</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27,172,075.69</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40,419,442.59</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733,435.52</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338,988.14</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4,931,076.77</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1,644,153.17</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11,196,142.58</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12,877,099.80</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17,108,328.96</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8,055,487.45</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234,063.93</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63,120.07</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789,752.99</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747,178.31</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467,508.21</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622,671.18</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985,388.55</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3,635,570.68</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4,198,184.15</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2,414,040.16</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1,493,886.56</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2,194,703.88</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-1,312,692.05</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-4,360,889.58</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-2,500,023.54</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3,479.67</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14,654.49</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三、营业利润（亏损以“－”填列）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24,905,073.65</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28,516,761.30</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24,970.02</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4,956.61</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5.93</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12.34</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四、利润总额（亏损总额以“－”填列）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24,930,037.74</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28,521,705.57</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3,551,553.35</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3,052,827.16</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五、净利润（净亏损以“－”号填列）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21,378,484.39</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25,468,878.41</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21,378,484.39</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25,468,878.41</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lastRenderedPageBreak/>
              <w:t>1.归属于母公司所有者的净利润</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21,450,394.62</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25,216,906.58</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-71,910.23</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251,971.83</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2D6740">
            <w:pPr>
              <w:spacing w:line="300" w:lineRule="exact"/>
              <w:jc w:val="right"/>
              <w:rPr>
                <w:rFonts w:ascii="宋体" w:eastAsia="宋体" w:hAnsi="宋体" w:cs="宋体"/>
                <w:sz w:val="18"/>
                <w:szCs w:val="18"/>
              </w:rPr>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七、综合收益总额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21,378,484.39</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25,468,878.41</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21,450,394.62</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25,216,906.58</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-71,910.23</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251,971.83</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rPr>
                <w:rFonts w:ascii="宋体" w:eastAsia="宋体" w:hAnsi="宋体" w:cs="宋体"/>
                <w:sz w:val="18"/>
                <w:szCs w:val="18"/>
              </w:rPr>
            </w:pPr>
            <w:r>
              <w:rPr>
                <w:rFonts w:ascii="宋体" w:eastAsia="宋体" w:hAnsi="宋体" w:cs="宋体"/>
                <w:sz w:val="18"/>
                <w:szCs w:val="18"/>
              </w:rPr>
              <w:t>八、每股收益：</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2D6740">
            <w:pPr>
              <w:spacing w:line="300" w:lineRule="exact"/>
            </w:pP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0.0493</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0.0581</w:t>
            </w:r>
          </w:p>
        </w:tc>
      </w:tr>
      <w:tr w:rsidR="006B6C44" w:rsidTr="002D6740">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2D6740">
            <w:pPr>
              <w:spacing w:line="30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0.0491</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2D6740">
            <w:pPr>
              <w:spacing w:line="300" w:lineRule="exact"/>
              <w:jc w:val="right"/>
              <w:rPr>
                <w:rFonts w:ascii="宋体" w:eastAsia="宋体" w:hAnsi="宋体" w:cs="宋体"/>
                <w:sz w:val="18"/>
                <w:szCs w:val="18"/>
              </w:rPr>
            </w:pPr>
            <w:r>
              <w:rPr>
                <w:rFonts w:ascii="宋体" w:eastAsia="宋体" w:hAnsi="宋体" w:cs="宋体"/>
                <w:sz w:val="18"/>
                <w:szCs w:val="18"/>
              </w:rPr>
              <w:t>0.0578</w:t>
            </w:r>
          </w:p>
        </w:tc>
      </w:tr>
    </w:tbl>
    <w:p w:rsidR="006B6C44" w:rsidRDefault="00106009" w:rsidP="00216C24">
      <w:pPr>
        <w:spacing w:line="560" w:lineRule="exact"/>
        <w:jc w:val="center"/>
        <w:rPr>
          <w:rFonts w:ascii="宋体" w:eastAsia="宋体" w:hAnsi="宋体" w:cs="宋体"/>
          <w:sz w:val="18"/>
          <w:szCs w:val="18"/>
        </w:rPr>
      </w:pPr>
      <w:r>
        <w:rPr>
          <w:rFonts w:ascii="宋体" w:eastAsia="宋体" w:hAnsi="宋体" w:cs="宋体"/>
          <w:sz w:val="18"/>
          <w:szCs w:val="18"/>
        </w:rPr>
        <w:t xml:space="preserve">法定代表人：黄克  </w:t>
      </w:r>
      <w:r w:rsidR="002D6740">
        <w:rPr>
          <w:rFonts w:ascii="宋体" w:eastAsia="宋体" w:hAnsi="宋体" w:cs="宋体" w:hint="eastAsia"/>
          <w:sz w:val="18"/>
          <w:szCs w:val="18"/>
        </w:rPr>
        <w:t xml:space="preserve">              </w:t>
      </w:r>
      <w:r>
        <w:rPr>
          <w:rFonts w:ascii="宋体" w:eastAsia="宋体" w:hAnsi="宋体" w:cs="宋体"/>
          <w:sz w:val="18"/>
          <w:szCs w:val="18"/>
        </w:rPr>
        <w:t xml:space="preserve"> 主管会计工作负责人：陈波 </w:t>
      </w:r>
      <w:r w:rsidR="002D6740">
        <w:rPr>
          <w:rFonts w:ascii="宋体" w:eastAsia="宋体" w:hAnsi="宋体" w:cs="宋体" w:hint="eastAsia"/>
          <w:sz w:val="18"/>
          <w:szCs w:val="18"/>
        </w:rPr>
        <w:t xml:space="preserve">               </w:t>
      </w:r>
      <w:r>
        <w:rPr>
          <w:rFonts w:ascii="宋体" w:eastAsia="宋体" w:hAnsi="宋体" w:cs="宋体"/>
          <w:sz w:val="18"/>
          <w:szCs w:val="18"/>
        </w:rPr>
        <w:t xml:space="preserve">   会计机构负责人：徐佳君</w:t>
      </w:r>
    </w:p>
    <w:p w:rsidR="006B6C44" w:rsidRPr="002D6740" w:rsidRDefault="00106009" w:rsidP="00216C24">
      <w:pPr>
        <w:spacing w:line="560" w:lineRule="exact"/>
        <w:ind w:firstLineChars="200" w:firstLine="562"/>
        <w:jc w:val="both"/>
        <w:rPr>
          <w:rFonts w:ascii="仿宋" w:eastAsia="仿宋" w:hAnsi="仿宋" w:cs="Times New Roman"/>
          <w:b/>
          <w:sz w:val="28"/>
          <w:szCs w:val="28"/>
        </w:rPr>
      </w:pPr>
      <w:bookmarkStart w:id="13" w:name="_Toc988901"/>
      <w:r w:rsidRPr="002D6740">
        <w:rPr>
          <w:rFonts w:ascii="仿宋" w:eastAsia="仿宋" w:hAnsi="仿宋" w:cs="Times New Roman"/>
          <w:b/>
          <w:sz w:val="28"/>
          <w:szCs w:val="28"/>
        </w:rPr>
        <w:t>3、合并现金流量表</w:t>
      </w:r>
      <w:bookmarkEnd w:id="13"/>
    </w:p>
    <w:p w:rsidR="006B6C44" w:rsidRDefault="00106009">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928"/>
        <w:gridCol w:w="2551"/>
        <w:gridCol w:w="2160"/>
      </w:tblGrid>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jc w:val="center"/>
              <w:rPr>
                <w:rFonts w:ascii="宋体" w:eastAsia="宋体" w:hAnsi="宋体" w:cs="宋体"/>
                <w:sz w:val="18"/>
                <w:szCs w:val="18"/>
              </w:rPr>
            </w:pPr>
            <w:r>
              <w:rPr>
                <w:rFonts w:ascii="宋体" w:eastAsia="宋体" w:hAnsi="宋体" w:cs="宋体"/>
                <w:sz w:val="18"/>
                <w:szCs w:val="18"/>
              </w:rPr>
              <w:t>项目</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jc w:val="center"/>
              <w:rPr>
                <w:rFonts w:ascii="宋体" w:eastAsia="宋体" w:hAnsi="宋体" w:cs="宋体"/>
                <w:sz w:val="18"/>
                <w:szCs w:val="18"/>
              </w:rPr>
            </w:pPr>
            <w:r>
              <w:rPr>
                <w:rFonts w:ascii="宋体" w:eastAsia="宋体" w:hAnsi="宋体" w:cs="宋体"/>
                <w:sz w:val="18"/>
                <w:szCs w:val="18"/>
              </w:rPr>
              <w:t>本期发生额</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jc w:val="center"/>
              <w:rPr>
                <w:rFonts w:ascii="宋体" w:eastAsia="宋体" w:hAnsi="宋体" w:cs="宋体"/>
                <w:sz w:val="18"/>
                <w:szCs w:val="18"/>
              </w:rPr>
            </w:pPr>
            <w:r>
              <w:rPr>
                <w:rFonts w:ascii="宋体" w:eastAsia="宋体" w:hAnsi="宋体" w:cs="宋体"/>
                <w:sz w:val="18"/>
                <w:szCs w:val="18"/>
              </w:rPr>
              <w:t>上期发生额</w:t>
            </w: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B51C80">
            <w:pPr>
              <w:spacing w:line="31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6B6C44" w:rsidP="00B51C80">
            <w:pPr>
              <w:spacing w:line="310" w:lineRule="exact"/>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27,987,049.96</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88,514,459.04</w:t>
            </w: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1,167,563.49</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10" w:lineRule="exact"/>
              <w:jc w:val="right"/>
              <w:rPr>
                <w:rFonts w:ascii="宋体" w:eastAsia="宋体" w:hAnsi="宋体" w:cs="宋体"/>
                <w:sz w:val="18"/>
                <w:szCs w:val="18"/>
              </w:rPr>
            </w:pPr>
            <w:r>
              <w:rPr>
                <w:rFonts w:ascii="宋体" w:eastAsia="宋体" w:hAnsi="宋体" w:cs="宋体"/>
                <w:sz w:val="18"/>
                <w:szCs w:val="18"/>
              </w:rPr>
              <w:t>1,848,191.65</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2,260,063.73</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lastRenderedPageBreak/>
              <w:t>经营活动现金流入小计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10" w:lineRule="exact"/>
              <w:jc w:val="right"/>
              <w:rPr>
                <w:rFonts w:ascii="宋体" w:eastAsia="宋体" w:hAnsi="宋体" w:cs="宋体"/>
                <w:sz w:val="18"/>
                <w:szCs w:val="18"/>
              </w:rPr>
            </w:pPr>
            <w:r w:rsidRPr="00C12D6B">
              <w:rPr>
                <w:rFonts w:ascii="宋体" w:eastAsia="宋体" w:hAnsi="宋体" w:cs="宋体"/>
                <w:sz w:val="18"/>
                <w:szCs w:val="18"/>
              </w:rPr>
              <w:t>29,835,241.61</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91,942,086.26</w:t>
            </w: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45,444,204.48</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66,479,953.34</w:t>
            </w: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6B6C44" w:rsidP="00B51C80">
            <w:pPr>
              <w:spacing w:line="310" w:lineRule="exact"/>
              <w:jc w:val="right"/>
              <w:rPr>
                <w:rFonts w:ascii="宋体" w:eastAsia="宋体" w:hAnsi="宋体" w:cs="宋体"/>
                <w:sz w:val="18"/>
                <w:szCs w:val="18"/>
              </w:rPr>
            </w:pP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37,203,998.53</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46,155,634.64</w:t>
            </w: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21,591,137.74</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4,046,411.20</w:t>
            </w: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6,683,508.29</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7,310,378.24</w:t>
            </w:r>
          </w:p>
        </w:tc>
      </w:tr>
      <w:tr w:rsidR="006B6C44"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6B6C44" w:rsidRDefault="00106009" w:rsidP="00B51C80">
            <w:pPr>
              <w:spacing w:line="310" w:lineRule="exact"/>
              <w:rPr>
                <w:rFonts w:ascii="宋体" w:eastAsia="宋体" w:hAnsi="宋体" w:cs="宋体"/>
                <w:sz w:val="18"/>
                <w:szCs w:val="18"/>
              </w:rPr>
            </w:pPr>
            <w:r>
              <w:rPr>
                <w:rFonts w:ascii="宋体" w:eastAsia="宋体" w:hAnsi="宋体" w:cs="宋体"/>
                <w:sz w:val="18"/>
                <w:szCs w:val="18"/>
              </w:rPr>
              <w:t>经营活动现金流出小计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110,922,849.04</w:t>
            </w:r>
          </w:p>
        </w:tc>
        <w:tc>
          <w:tcPr>
            <w:tcW w:w="2160" w:type="dxa"/>
            <w:tcBorders>
              <w:top w:val="single" w:sz="2" w:space="0" w:color="auto"/>
              <w:left w:val="single" w:sz="2" w:space="0" w:color="auto"/>
              <w:bottom w:val="single" w:sz="2" w:space="0" w:color="auto"/>
              <w:right w:val="single" w:sz="2" w:space="0" w:color="auto"/>
            </w:tcBorders>
            <w:vAlign w:val="center"/>
          </w:tcPr>
          <w:p w:rsidR="006B6C44" w:rsidRDefault="00106009" w:rsidP="00B51C80">
            <w:pPr>
              <w:spacing w:line="310" w:lineRule="exact"/>
              <w:jc w:val="right"/>
              <w:rPr>
                <w:rFonts w:ascii="宋体" w:eastAsia="宋体" w:hAnsi="宋体" w:cs="宋体"/>
                <w:sz w:val="18"/>
                <w:szCs w:val="18"/>
              </w:rPr>
            </w:pPr>
            <w:r>
              <w:rPr>
                <w:rFonts w:ascii="宋体" w:eastAsia="宋体" w:hAnsi="宋体" w:cs="宋体"/>
                <w:sz w:val="18"/>
                <w:szCs w:val="18"/>
              </w:rPr>
              <w:t>123,992,377.42</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10" w:lineRule="exact"/>
              <w:jc w:val="right"/>
              <w:rPr>
                <w:rFonts w:ascii="宋体" w:eastAsia="宋体" w:hAnsi="宋体" w:cs="宋体"/>
                <w:sz w:val="18"/>
                <w:szCs w:val="18"/>
              </w:rPr>
            </w:pPr>
            <w:r w:rsidRPr="00C12D6B">
              <w:rPr>
                <w:rFonts w:ascii="宋体" w:eastAsia="宋体" w:hAnsi="宋体" w:cs="宋体"/>
                <w:sz w:val="18"/>
                <w:szCs w:val="18"/>
              </w:rPr>
              <w:t>-81,087,607.43</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10" w:lineRule="exact"/>
              <w:jc w:val="right"/>
              <w:rPr>
                <w:rFonts w:ascii="宋体" w:eastAsia="宋体" w:hAnsi="宋体" w:cs="宋体"/>
                <w:sz w:val="18"/>
                <w:szCs w:val="18"/>
              </w:rPr>
            </w:pPr>
            <w:r>
              <w:rPr>
                <w:rFonts w:ascii="宋体" w:eastAsia="宋体" w:hAnsi="宋体" w:cs="宋体"/>
                <w:sz w:val="18"/>
                <w:szCs w:val="18"/>
              </w:rPr>
              <w:t>-32,050,291.16</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301,616,595.00</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509,673,634.70</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2,794,620.53</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3,630,113.59</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11,200.00</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22,123.90</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投资活动现金流入小计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304,422,415.53</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513,325,872.19</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购建固定资产、无形资产和其他长期资产所支付的现金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13,900,822.01</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6,033,422.42</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141,100,000.00</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441,113,728.98</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投资活动现金流出小计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155,000,822.01</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447,147,151.40</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149,421,593.52</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66,178,720.79</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200" w:firstLine="36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2,463,471.15</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筹资活动现金流入小计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2,463,471.15</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1,500,000.00</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1,200,000.00</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筹资活动现金流出小计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2,700,000.00</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-2,700,000.00</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2,463,471.15</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-3,720.09</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1,031.18</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10" w:lineRule="exact"/>
              <w:jc w:val="right"/>
              <w:rPr>
                <w:rFonts w:ascii="宋体" w:eastAsia="宋体" w:hAnsi="宋体" w:cs="宋体"/>
                <w:sz w:val="18"/>
                <w:szCs w:val="18"/>
              </w:rPr>
            </w:pPr>
            <w:r w:rsidRPr="00C12D6B">
              <w:rPr>
                <w:rFonts w:ascii="宋体" w:eastAsia="宋体" w:hAnsi="宋体" w:cs="宋体"/>
                <w:sz w:val="18"/>
                <w:szCs w:val="18"/>
              </w:rPr>
              <w:t>65,630,266.00</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36,592,931.96</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51003B">
            <w:pPr>
              <w:spacing w:line="310" w:lineRule="exact"/>
              <w:jc w:val="right"/>
              <w:rPr>
                <w:rFonts w:ascii="宋体" w:eastAsia="宋体" w:hAnsi="宋体" w:cs="宋体"/>
                <w:sz w:val="18"/>
                <w:szCs w:val="18"/>
              </w:rPr>
            </w:pPr>
            <w:r w:rsidRPr="00C12D6B">
              <w:rPr>
                <w:rFonts w:ascii="宋体" w:eastAsia="宋体" w:hAnsi="宋体" w:cs="宋体"/>
                <w:sz w:val="18"/>
                <w:szCs w:val="18"/>
              </w:rPr>
              <w:t>94,345,379.71</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69,503,359.41</w:t>
            </w:r>
          </w:p>
        </w:tc>
      </w:tr>
      <w:tr w:rsidR="00135D0A" w:rsidTr="00216C24">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35D0A" w:rsidRDefault="00135D0A" w:rsidP="00B51C80">
            <w:pPr>
              <w:spacing w:line="31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551"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159,975,645.71</w:t>
            </w:r>
          </w:p>
        </w:tc>
        <w:tc>
          <w:tcPr>
            <w:tcW w:w="2160" w:type="dxa"/>
            <w:tcBorders>
              <w:top w:val="single" w:sz="2" w:space="0" w:color="auto"/>
              <w:left w:val="single" w:sz="2" w:space="0" w:color="auto"/>
              <w:bottom w:val="single" w:sz="2" w:space="0" w:color="auto"/>
              <w:right w:val="single" w:sz="2" w:space="0" w:color="auto"/>
            </w:tcBorders>
            <w:vAlign w:val="center"/>
          </w:tcPr>
          <w:p w:rsidR="00135D0A" w:rsidRDefault="00135D0A" w:rsidP="00B51C80">
            <w:pPr>
              <w:spacing w:line="310" w:lineRule="exact"/>
              <w:jc w:val="right"/>
              <w:rPr>
                <w:rFonts w:ascii="宋体" w:eastAsia="宋体" w:hAnsi="宋体" w:cs="宋体"/>
                <w:sz w:val="18"/>
                <w:szCs w:val="18"/>
              </w:rPr>
            </w:pPr>
            <w:r>
              <w:rPr>
                <w:rFonts w:ascii="宋体" w:eastAsia="宋体" w:hAnsi="宋体" w:cs="宋体"/>
                <w:sz w:val="18"/>
                <w:szCs w:val="18"/>
              </w:rPr>
              <w:t>106,096,291.37</w:t>
            </w:r>
          </w:p>
        </w:tc>
      </w:tr>
    </w:tbl>
    <w:p w:rsidR="006B6C44" w:rsidRPr="00216C24" w:rsidRDefault="00106009" w:rsidP="00216C24">
      <w:pPr>
        <w:spacing w:line="560" w:lineRule="exact"/>
        <w:ind w:firstLineChars="200" w:firstLine="562"/>
        <w:rPr>
          <w:rFonts w:ascii="仿宋" w:eastAsia="仿宋" w:hAnsi="仿宋" w:cs="Times New Roman"/>
          <w:b/>
          <w:kern w:val="0"/>
          <w:sz w:val="28"/>
          <w:szCs w:val="28"/>
        </w:rPr>
      </w:pPr>
      <w:bookmarkStart w:id="14" w:name="_Toc988902"/>
      <w:r w:rsidRPr="00216C24">
        <w:rPr>
          <w:rFonts w:ascii="仿宋" w:eastAsia="仿宋" w:hAnsi="仿宋" w:cs="Times New Roman"/>
          <w:b/>
          <w:kern w:val="0"/>
          <w:sz w:val="28"/>
          <w:szCs w:val="28"/>
        </w:rPr>
        <w:lastRenderedPageBreak/>
        <w:t>（二） 审计报告</w:t>
      </w:r>
      <w:bookmarkEnd w:id="14"/>
    </w:p>
    <w:p w:rsidR="006B6C44" w:rsidRPr="00216C24" w:rsidRDefault="00106009" w:rsidP="00216C24">
      <w:pPr>
        <w:spacing w:line="560" w:lineRule="exact"/>
        <w:ind w:firstLineChars="200" w:firstLine="562"/>
        <w:rPr>
          <w:rFonts w:ascii="仿宋" w:eastAsia="仿宋" w:hAnsi="仿宋" w:cs="Times New Roman"/>
          <w:b/>
          <w:kern w:val="0"/>
          <w:sz w:val="28"/>
          <w:szCs w:val="28"/>
        </w:rPr>
      </w:pPr>
      <w:r w:rsidRPr="00216C24">
        <w:rPr>
          <w:rFonts w:ascii="仿宋" w:eastAsia="仿宋" w:hAnsi="仿宋" w:cs="Times New Roman"/>
          <w:b/>
          <w:kern w:val="0"/>
          <w:sz w:val="28"/>
          <w:szCs w:val="28"/>
        </w:rPr>
        <w:t>第一季度报告是否经过审计</w:t>
      </w:r>
    </w:p>
    <w:p w:rsidR="006B6C44" w:rsidRPr="00216C24" w:rsidRDefault="00106009" w:rsidP="00216C24">
      <w:pPr>
        <w:spacing w:line="560" w:lineRule="exact"/>
        <w:ind w:firstLineChars="200" w:firstLine="560"/>
        <w:rPr>
          <w:rFonts w:ascii="仿宋" w:eastAsia="仿宋" w:hAnsi="仿宋" w:cs="Times New Roman"/>
          <w:kern w:val="0"/>
          <w:sz w:val="28"/>
          <w:szCs w:val="28"/>
        </w:rPr>
      </w:pPr>
      <w:r w:rsidRPr="00216C24">
        <w:rPr>
          <w:rFonts w:ascii="仿宋" w:eastAsia="仿宋" w:hAnsi="仿宋" w:cs="Times New Roman"/>
          <w:kern w:val="0"/>
          <w:sz w:val="28"/>
          <w:szCs w:val="28"/>
        </w:rPr>
        <w:t>□是</w:t>
      </w:r>
      <w:r w:rsidR="009C3E77">
        <w:rPr>
          <w:rFonts w:ascii="仿宋" w:eastAsia="仿宋" w:hAnsi="仿宋" w:cs="Times New Roman" w:hint="eastAsia"/>
          <w:kern w:val="0"/>
          <w:sz w:val="28"/>
          <w:szCs w:val="28"/>
        </w:rPr>
        <w:t xml:space="preserve"> </w:t>
      </w:r>
      <w:r w:rsidRPr="00216C24">
        <w:rPr>
          <w:rFonts w:ascii="仿宋" w:eastAsia="仿宋" w:hAnsi="仿宋" w:cs="Times New Roman"/>
          <w:kern w:val="0"/>
          <w:sz w:val="28"/>
          <w:szCs w:val="28"/>
        </w:rPr>
        <w:t xml:space="preserve"> </w:t>
      </w:r>
      <w:r w:rsidRPr="00216C24">
        <w:rPr>
          <w:rFonts w:ascii="仿宋" w:eastAsia="仿宋" w:hAnsi="仿宋" w:cs="Times New Roman"/>
          <w:kern w:val="0"/>
          <w:sz w:val="28"/>
          <w:szCs w:val="28"/>
        </w:rPr>
        <w:sym w:font="Wingdings 2" w:char="F052"/>
      </w:r>
      <w:r w:rsidRPr="00216C24">
        <w:rPr>
          <w:rFonts w:ascii="仿宋" w:eastAsia="仿宋" w:hAnsi="仿宋" w:cs="Times New Roman"/>
          <w:kern w:val="0"/>
          <w:sz w:val="28"/>
          <w:szCs w:val="28"/>
        </w:rPr>
        <w:t>否</w:t>
      </w:r>
    </w:p>
    <w:p w:rsidR="006B6C44" w:rsidRDefault="00106009" w:rsidP="00216C24">
      <w:pPr>
        <w:spacing w:line="560" w:lineRule="exact"/>
        <w:ind w:firstLineChars="200" w:firstLine="560"/>
        <w:rPr>
          <w:rFonts w:ascii="仿宋" w:eastAsia="仿宋" w:hAnsi="仿宋" w:cs="Times New Roman"/>
          <w:kern w:val="0"/>
          <w:sz w:val="28"/>
          <w:szCs w:val="28"/>
        </w:rPr>
      </w:pPr>
      <w:r w:rsidRPr="00216C24">
        <w:rPr>
          <w:rFonts w:ascii="仿宋" w:eastAsia="仿宋" w:hAnsi="仿宋" w:cs="Times New Roman"/>
          <w:kern w:val="0"/>
          <w:sz w:val="28"/>
          <w:szCs w:val="28"/>
        </w:rPr>
        <w:t>公司第一季度报告未经审计。</w:t>
      </w:r>
    </w:p>
    <w:p w:rsidR="00216C24" w:rsidRDefault="00216C24" w:rsidP="00216C24">
      <w:pPr>
        <w:spacing w:line="560" w:lineRule="exact"/>
        <w:ind w:firstLineChars="200" w:firstLine="560"/>
        <w:rPr>
          <w:rFonts w:ascii="仿宋" w:eastAsia="仿宋" w:hAnsi="仿宋" w:cs="Times New Roman"/>
          <w:kern w:val="0"/>
          <w:sz w:val="28"/>
          <w:szCs w:val="28"/>
        </w:rPr>
      </w:pPr>
    </w:p>
    <w:p w:rsidR="00216C24" w:rsidRDefault="00216C24" w:rsidP="00216C24">
      <w:pPr>
        <w:spacing w:line="560" w:lineRule="exact"/>
        <w:ind w:firstLineChars="200" w:firstLine="560"/>
        <w:rPr>
          <w:rFonts w:ascii="仿宋" w:eastAsia="仿宋" w:hAnsi="仿宋" w:cs="Times New Roman"/>
          <w:kern w:val="0"/>
          <w:sz w:val="28"/>
          <w:szCs w:val="28"/>
        </w:rPr>
      </w:pPr>
    </w:p>
    <w:p w:rsidR="00216C24" w:rsidRDefault="00216C24" w:rsidP="00216C24">
      <w:pPr>
        <w:spacing w:line="560" w:lineRule="exact"/>
        <w:ind w:firstLineChars="200" w:firstLine="560"/>
        <w:rPr>
          <w:rFonts w:ascii="仿宋" w:eastAsia="仿宋" w:hAnsi="仿宋" w:cs="Times New Roman"/>
          <w:kern w:val="0"/>
          <w:sz w:val="28"/>
          <w:szCs w:val="28"/>
        </w:rPr>
      </w:pPr>
    </w:p>
    <w:p w:rsidR="009C3E77" w:rsidRPr="00216C24" w:rsidRDefault="009C3E77" w:rsidP="00216C24">
      <w:pPr>
        <w:spacing w:line="560" w:lineRule="exact"/>
        <w:ind w:firstLineChars="200" w:firstLine="560"/>
        <w:rPr>
          <w:rFonts w:ascii="仿宋" w:eastAsia="仿宋" w:hAnsi="仿宋" w:cs="Times New Roman"/>
          <w:kern w:val="0"/>
          <w:sz w:val="28"/>
          <w:szCs w:val="28"/>
        </w:rPr>
      </w:pPr>
    </w:p>
    <w:p w:rsidR="00216C24" w:rsidRDefault="00216C24" w:rsidP="00216C24">
      <w:pPr>
        <w:spacing w:line="560" w:lineRule="exact"/>
        <w:ind w:firstLineChars="200" w:firstLine="560"/>
        <w:jc w:val="right"/>
        <w:rPr>
          <w:rFonts w:ascii="仿宋" w:eastAsia="仿宋" w:hAnsi="仿宋"/>
          <w:sz w:val="28"/>
          <w:szCs w:val="28"/>
        </w:rPr>
      </w:pPr>
      <w:r w:rsidRPr="008332FD">
        <w:rPr>
          <w:rFonts w:ascii="仿宋" w:eastAsia="仿宋" w:hAnsi="仿宋" w:hint="eastAsia"/>
          <w:sz w:val="28"/>
          <w:szCs w:val="28"/>
        </w:rPr>
        <w:t>广东甘化科工股份有限公司董事会</w:t>
      </w:r>
    </w:p>
    <w:p w:rsidR="00216C24" w:rsidRPr="008332FD" w:rsidRDefault="00216C24" w:rsidP="00216C24">
      <w:pPr>
        <w:spacing w:line="560" w:lineRule="exact"/>
        <w:ind w:right="560" w:firstLineChars="200" w:firstLine="560"/>
        <w:jc w:val="center"/>
        <w:rPr>
          <w:rFonts w:ascii="仿宋" w:eastAsia="仿宋" w:hAnsi="仿宋"/>
          <w:sz w:val="28"/>
          <w:szCs w:val="28"/>
        </w:rPr>
      </w:pPr>
      <w:r>
        <w:rPr>
          <w:rFonts w:ascii="仿宋" w:eastAsia="仿宋" w:hAnsi="仿宋"/>
          <w:sz w:val="28"/>
          <w:szCs w:val="28"/>
        </w:rPr>
        <w:t xml:space="preserve">                                </w:t>
      </w:r>
      <w:r w:rsidR="009C3E77">
        <w:rPr>
          <w:rFonts w:ascii="仿宋" w:eastAsia="仿宋" w:hAnsi="仿宋" w:hint="eastAsia"/>
          <w:sz w:val="28"/>
          <w:szCs w:val="28"/>
        </w:rPr>
        <w:t xml:space="preserve"> </w:t>
      </w:r>
      <w:r>
        <w:rPr>
          <w:rFonts w:ascii="仿宋" w:eastAsia="仿宋" w:hAnsi="仿宋"/>
          <w:sz w:val="28"/>
          <w:szCs w:val="28"/>
        </w:rPr>
        <w:t xml:space="preserve">   </w:t>
      </w:r>
      <w:r w:rsidR="009C3E77">
        <w:rPr>
          <w:rFonts w:ascii="仿宋" w:eastAsia="仿宋" w:hAnsi="仿宋" w:hint="eastAsia"/>
          <w:sz w:val="28"/>
          <w:szCs w:val="28"/>
        </w:rPr>
        <w:t xml:space="preserve"> </w:t>
      </w:r>
      <w:r>
        <w:rPr>
          <w:rFonts w:ascii="仿宋" w:eastAsia="仿宋" w:hAnsi="仿宋" w:hint="eastAsia"/>
          <w:sz w:val="28"/>
          <w:szCs w:val="28"/>
        </w:rPr>
        <w:t>二〇二三年四月二十二日</w:t>
      </w:r>
    </w:p>
    <w:p w:rsidR="006B6C44" w:rsidRDefault="006B6C44">
      <w:pPr>
        <w:spacing w:line="240" w:lineRule="exact"/>
        <w:jc w:val="right"/>
        <w:rPr>
          <w:rFonts w:ascii="宋体" w:eastAsia="宋体" w:hAnsi="宋体" w:cs="宋体"/>
          <w:sz w:val="18"/>
          <w:szCs w:val="18"/>
        </w:rPr>
      </w:pPr>
    </w:p>
    <w:sectPr w:rsidR="006B6C44" w:rsidSect="006B6C44">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AED" w:rsidRDefault="00FF6AED" w:rsidP="006B6C44">
      <w:r>
        <w:separator/>
      </w:r>
    </w:p>
  </w:endnote>
  <w:endnote w:type="continuationSeparator" w:id="0">
    <w:p w:rsidR="00FF6AED" w:rsidRDefault="00FF6AED" w:rsidP="006B6C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61173"/>
      <w:docPartObj>
        <w:docPartGallery w:val="Page Numbers (Bottom of Page)"/>
        <w:docPartUnique/>
      </w:docPartObj>
    </w:sdtPr>
    <w:sdtContent>
      <w:p w:rsidR="00DD14E9" w:rsidRDefault="00FD57F5">
        <w:pPr>
          <w:pStyle w:val="a5"/>
          <w:jc w:val="center"/>
        </w:pPr>
        <w:r w:rsidRPr="00FD57F5">
          <w:fldChar w:fldCharType="begin"/>
        </w:r>
        <w:r w:rsidR="00DD14E9">
          <w:instrText xml:space="preserve"> PAGE   \* MERGEFORMAT </w:instrText>
        </w:r>
        <w:r w:rsidRPr="00FD57F5">
          <w:fldChar w:fldCharType="separate"/>
        </w:r>
        <w:r w:rsidR="00575A11" w:rsidRPr="00575A11">
          <w:rPr>
            <w:noProof/>
            <w:lang w:val="zh-CN"/>
          </w:rPr>
          <w:t>11</w:t>
        </w:r>
        <w:r>
          <w:rPr>
            <w:noProof/>
            <w:lang w:val="zh-CN"/>
          </w:rPr>
          <w:fldChar w:fldCharType="end"/>
        </w:r>
      </w:p>
    </w:sdtContent>
  </w:sdt>
  <w:p w:rsidR="00DD14E9" w:rsidRDefault="00DD14E9">
    <w:pPr>
      <w:pStyle w:val="fot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AED" w:rsidRDefault="00FF6AED" w:rsidP="006B6C44">
      <w:r>
        <w:separator/>
      </w:r>
    </w:p>
  </w:footnote>
  <w:footnote w:type="continuationSeparator" w:id="0">
    <w:p w:rsidR="00FF6AED" w:rsidRDefault="00FF6AED" w:rsidP="006B6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4E9" w:rsidRDefault="00DD14E9">
    <w:pPr>
      <w:pStyle w:val="Header1"/>
      <w:pBdr>
        <w:bottom w:val="single" w:sz="6" w:space="1" w:color="auto"/>
      </w:pBdr>
    </w:pPr>
    <w:r>
      <w:t>广东甘化科工股份有限公司2023年第一季度报告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4338"/>
  </w:hdrShapeDefaults>
  <w:footnotePr>
    <w:footnote w:id="-1"/>
    <w:footnote w:id="0"/>
  </w:footnotePr>
  <w:endnotePr>
    <w:endnote w:id="-1"/>
    <w:endnote w:id="0"/>
  </w:endnotePr>
  <w:compat>
    <w:useFELayout/>
  </w:compat>
  <w:rsids>
    <w:rsidRoot w:val="006B6C44"/>
    <w:rsid w:val="00106009"/>
    <w:rsid w:val="001127F3"/>
    <w:rsid w:val="00135D0A"/>
    <w:rsid w:val="00147440"/>
    <w:rsid w:val="001A783D"/>
    <w:rsid w:val="00216C24"/>
    <w:rsid w:val="002D6740"/>
    <w:rsid w:val="00416047"/>
    <w:rsid w:val="004F4FB2"/>
    <w:rsid w:val="004F6125"/>
    <w:rsid w:val="004F79A7"/>
    <w:rsid w:val="00575A11"/>
    <w:rsid w:val="005F5E64"/>
    <w:rsid w:val="00656D02"/>
    <w:rsid w:val="006B6C44"/>
    <w:rsid w:val="007469BA"/>
    <w:rsid w:val="007C1CB1"/>
    <w:rsid w:val="00857DED"/>
    <w:rsid w:val="009779AB"/>
    <w:rsid w:val="009C3E77"/>
    <w:rsid w:val="009C49EC"/>
    <w:rsid w:val="00B06906"/>
    <w:rsid w:val="00B51C80"/>
    <w:rsid w:val="00BE4BB3"/>
    <w:rsid w:val="00C06449"/>
    <w:rsid w:val="00CB1A9A"/>
    <w:rsid w:val="00D65FC7"/>
    <w:rsid w:val="00DD14E9"/>
    <w:rsid w:val="00ED1D57"/>
    <w:rsid w:val="00F80243"/>
    <w:rsid w:val="00FD57F5"/>
    <w:rsid w:val="00FF6A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44"/>
    <w:pPr>
      <w:widowControl w:val="0"/>
    </w:pPr>
  </w:style>
  <w:style w:type="paragraph" w:styleId="2">
    <w:name w:val="heading 2"/>
    <w:basedOn w:val="a"/>
    <w:next w:val="a"/>
    <w:uiPriority w:val="9"/>
    <w:unhideWhenUsed/>
    <w:qFormat/>
    <w:rsid w:val="006B6C44"/>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rsid w:val="006B6C44"/>
    <w:pPr>
      <w:jc w:val="right"/>
    </w:pPr>
    <w:rPr>
      <w:rFonts w:ascii="宋体" w:eastAsia="宋体"/>
      <w:sz w:val="18"/>
      <w:szCs w:val="18"/>
    </w:rPr>
  </w:style>
  <w:style w:type="paragraph" w:customStyle="1" w:styleId="headingh1">
    <w:name w:val="heading h1"/>
    <w:basedOn w:val="a"/>
    <w:next w:val="a"/>
    <w:uiPriority w:val="9"/>
    <w:qFormat/>
    <w:rsid w:val="006B6C44"/>
    <w:pPr>
      <w:keepNext/>
      <w:keepLines/>
      <w:spacing w:before="240" w:after="240" w:line="578" w:lineRule="auto"/>
      <w:outlineLvl w:val="0"/>
    </w:pPr>
    <w:rPr>
      <w:kern w:val="44"/>
      <w:sz w:val="44"/>
      <w:szCs w:val="44"/>
    </w:rPr>
  </w:style>
  <w:style w:type="paragraph" w:customStyle="1" w:styleId="fotter1">
    <w:name w:val="fotter 1"/>
    <w:rsid w:val="006B6C44"/>
    <w:pPr>
      <w:jc w:val="right"/>
    </w:pPr>
    <w:rPr>
      <w:rFonts w:ascii="宋体" w:eastAsia="宋体"/>
      <w:sz w:val="18"/>
      <w:szCs w:val="18"/>
    </w:rPr>
  </w:style>
  <w:style w:type="paragraph" w:styleId="1">
    <w:name w:val="toc 1"/>
    <w:basedOn w:val="a"/>
    <w:next w:val="a"/>
    <w:autoRedefine/>
    <w:uiPriority w:val="39"/>
    <w:rsid w:val="006B6C44"/>
  </w:style>
  <w:style w:type="paragraph" w:styleId="20">
    <w:name w:val="toc 2"/>
    <w:basedOn w:val="a"/>
    <w:next w:val="a"/>
    <w:autoRedefine/>
    <w:uiPriority w:val="39"/>
    <w:unhideWhenUsed/>
    <w:rsid w:val="006B6C44"/>
    <w:pPr>
      <w:ind w:leftChars="200" w:left="420"/>
    </w:pPr>
  </w:style>
  <w:style w:type="paragraph" w:styleId="a3">
    <w:name w:val="Normal (Web)"/>
    <w:basedOn w:val="a"/>
    <w:uiPriority w:val="99"/>
    <w:unhideWhenUsed/>
    <w:rsid w:val="006B6C44"/>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semiHidden/>
    <w:unhideWhenUsed/>
    <w:rsid w:val="00106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06009"/>
    <w:rPr>
      <w:sz w:val="18"/>
      <w:szCs w:val="18"/>
    </w:rPr>
  </w:style>
  <w:style w:type="paragraph" w:styleId="a5">
    <w:name w:val="footer"/>
    <w:basedOn w:val="a"/>
    <w:link w:val="Char0"/>
    <w:uiPriority w:val="99"/>
    <w:unhideWhenUsed/>
    <w:rsid w:val="00106009"/>
    <w:pPr>
      <w:tabs>
        <w:tab w:val="center" w:pos="4153"/>
        <w:tab w:val="right" w:pos="8306"/>
      </w:tabs>
      <w:snapToGrid w:val="0"/>
    </w:pPr>
    <w:rPr>
      <w:sz w:val="18"/>
      <w:szCs w:val="18"/>
    </w:rPr>
  </w:style>
  <w:style w:type="character" w:customStyle="1" w:styleId="Char0">
    <w:name w:val="页脚 Char"/>
    <w:basedOn w:val="a0"/>
    <w:link w:val="a5"/>
    <w:uiPriority w:val="99"/>
    <w:rsid w:val="00106009"/>
    <w:rPr>
      <w:sz w:val="18"/>
      <w:szCs w:val="18"/>
    </w:rPr>
  </w:style>
  <w:style w:type="paragraph" w:customStyle="1" w:styleId="Chapter">
    <w:name w:val="Chapter"/>
    <w:next w:val="a"/>
    <w:uiPriority w:val="99"/>
    <w:rsid w:val="00106009"/>
    <w:pPr>
      <w:keepNext/>
      <w:keepLines/>
      <w:widowControl w:val="0"/>
      <w:spacing w:before="300" w:after="300" w:line="241" w:lineRule="auto"/>
      <w:jc w:val="both"/>
    </w:pPr>
    <w:rPr>
      <w:rFonts w:ascii="Times New Roman" w:eastAsia="宋体" w:hAnsi="Times New Roman" w:cs="Times New Roman"/>
      <w:b/>
      <w:bCs/>
      <w:kern w:val="28"/>
      <w:sz w:val="24"/>
      <w:szCs w:val="24"/>
    </w:rPr>
  </w:style>
  <w:style w:type="paragraph" w:customStyle="1" w:styleId="Section">
    <w:name w:val="Section"/>
    <w:next w:val="a"/>
    <w:uiPriority w:val="99"/>
    <w:rsid w:val="00106009"/>
    <w:pPr>
      <w:keepNext/>
      <w:keepLines/>
      <w:widowControl w:val="0"/>
      <w:spacing w:before="300" w:after="300" w:line="241" w:lineRule="auto"/>
      <w:jc w:val="both"/>
    </w:pPr>
    <w:rPr>
      <w:rFonts w:ascii="Times New Roman" w:eastAsia="宋体" w:hAnsi="Times New Roman" w:cs="Times New Roman"/>
      <w:b/>
      <w:bCs/>
      <w:kern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0757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1418</Words>
  <Characters>8085</Characters>
  <Application>Microsoft Office Word</Application>
  <DocSecurity>0</DocSecurity>
  <Lines>67</Lines>
  <Paragraphs>18</Paragraphs>
  <ScaleCrop>false</ScaleCrop>
  <Company>Sky123.Org</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沈峰</cp:lastModifiedBy>
  <cp:revision>16</cp:revision>
  <dcterms:created xsi:type="dcterms:W3CDTF">2023-04-14T09:23:00Z</dcterms:created>
  <dcterms:modified xsi:type="dcterms:W3CDTF">2023-04-21T07:05:00Z</dcterms:modified>
</cp:coreProperties>
</file>