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441" w:rsidRPr="00980BC4" w:rsidRDefault="00376441">
      <w:pPr>
        <w:spacing w:before="2400" w:line="773" w:lineRule="exact"/>
        <w:jc w:val="center"/>
        <w:rPr>
          <w:rFonts w:ascii="宋体" w:eastAsia="宋体" w:hAnsi="宋体" w:cs="宋体"/>
          <w:b/>
          <w:bCs/>
          <w:sz w:val="36"/>
          <w:szCs w:val="36"/>
        </w:rPr>
      </w:pPr>
      <w:r w:rsidRPr="00980BC4">
        <w:rPr>
          <w:rFonts w:ascii="宋体" w:eastAsia="宋体" w:hAnsi="宋体" w:cs="宋体"/>
          <w:b/>
          <w:bCs/>
          <w:noProof/>
          <w:sz w:val="36"/>
          <w:szCs w:val="36"/>
        </w:rPr>
        <w:drawing>
          <wp:inline distT="0" distB="0" distL="0" distR="0">
            <wp:extent cx="3705225" cy="150495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05225" cy="1504950"/>
                    </a:xfrm>
                    <a:prstGeom prst="rect">
                      <a:avLst/>
                    </a:prstGeom>
                    <a:noFill/>
                    <a:ln w="9525">
                      <a:noFill/>
                      <a:miter lim="800000"/>
                      <a:headEnd/>
                      <a:tailEnd/>
                    </a:ln>
                  </pic:spPr>
                </pic:pic>
              </a:graphicData>
            </a:graphic>
          </wp:inline>
        </w:drawing>
      </w:r>
    </w:p>
    <w:p w:rsidR="00376441" w:rsidRPr="00980BC4" w:rsidRDefault="00376441" w:rsidP="00376441">
      <w:pPr>
        <w:spacing w:line="560" w:lineRule="exact"/>
        <w:jc w:val="center"/>
        <w:rPr>
          <w:rFonts w:ascii="宋体" w:eastAsia="宋体" w:hAnsi="宋体" w:cs="宋体"/>
          <w:b/>
          <w:bCs/>
          <w:sz w:val="36"/>
          <w:szCs w:val="36"/>
        </w:rPr>
      </w:pPr>
    </w:p>
    <w:p w:rsidR="002A3304" w:rsidRPr="00980BC4" w:rsidRDefault="00DF4EBF" w:rsidP="00376441">
      <w:pPr>
        <w:spacing w:line="720" w:lineRule="auto"/>
        <w:jc w:val="center"/>
        <w:rPr>
          <w:rFonts w:ascii="宋体" w:eastAsia="宋体" w:hAnsi="宋体" w:cs="宋体"/>
          <w:b/>
          <w:bCs/>
          <w:sz w:val="36"/>
          <w:szCs w:val="36"/>
        </w:rPr>
      </w:pPr>
      <w:r w:rsidRPr="00980BC4">
        <w:rPr>
          <w:rFonts w:ascii="宋体" w:eastAsia="宋体" w:hAnsi="宋体" w:cs="宋体"/>
          <w:b/>
          <w:bCs/>
          <w:sz w:val="36"/>
          <w:szCs w:val="36"/>
        </w:rPr>
        <w:t>广东甘化科工股份有限公司</w:t>
      </w:r>
    </w:p>
    <w:p w:rsidR="002A3304" w:rsidRPr="00980BC4" w:rsidRDefault="00DF4EBF" w:rsidP="00376441">
      <w:pPr>
        <w:spacing w:line="720" w:lineRule="auto"/>
        <w:jc w:val="center"/>
        <w:rPr>
          <w:rFonts w:ascii="宋体" w:eastAsia="宋体" w:hAnsi="宋体" w:cs="宋体"/>
          <w:b/>
          <w:bCs/>
          <w:sz w:val="32"/>
          <w:szCs w:val="32"/>
        </w:rPr>
      </w:pPr>
      <w:r w:rsidRPr="00980BC4">
        <w:rPr>
          <w:rFonts w:ascii="宋体" w:eastAsia="宋体" w:hAnsi="宋体" w:cs="宋体"/>
          <w:b/>
          <w:bCs/>
          <w:sz w:val="32"/>
          <w:szCs w:val="32"/>
        </w:rPr>
        <w:t>2022年度报告</w:t>
      </w:r>
    </w:p>
    <w:p w:rsidR="002A3304" w:rsidRPr="00980BC4" w:rsidRDefault="002A3304" w:rsidP="00376441">
      <w:pPr>
        <w:spacing w:line="560" w:lineRule="exact"/>
        <w:jc w:val="center"/>
        <w:rPr>
          <w:rFonts w:ascii="宋体" w:eastAsia="宋体" w:hAnsi="宋体" w:cs="宋体"/>
          <w:b/>
          <w:bCs/>
          <w:szCs w:val="21"/>
        </w:rPr>
      </w:pPr>
    </w:p>
    <w:p w:rsidR="002A3304" w:rsidRPr="00980BC4" w:rsidRDefault="002A3304" w:rsidP="00376441">
      <w:pPr>
        <w:spacing w:line="560" w:lineRule="exact"/>
        <w:jc w:val="center"/>
        <w:rPr>
          <w:rFonts w:ascii="Times New Roman" w:eastAsia="宋体" w:hAnsi="Times New Roman" w:cs="Times New Roman"/>
        </w:rPr>
      </w:pPr>
    </w:p>
    <w:p w:rsidR="00376441" w:rsidRPr="00980BC4" w:rsidRDefault="00376441" w:rsidP="00376441">
      <w:pPr>
        <w:spacing w:line="560" w:lineRule="exact"/>
        <w:jc w:val="center"/>
        <w:rPr>
          <w:rFonts w:ascii="Times New Roman" w:eastAsia="宋体" w:hAnsi="Times New Roman" w:cs="Times New Roman"/>
        </w:rPr>
      </w:pPr>
    </w:p>
    <w:p w:rsidR="00376441" w:rsidRPr="00980BC4" w:rsidRDefault="00376441" w:rsidP="00376441">
      <w:pPr>
        <w:spacing w:line="560" w:lineRule="exact"/>
        <w:jc w:val="center"/>
        <w:rPr>
          <w:rFonts w:ascii="Times New Roman" w:eastAsia="宋体" w:hAnsi="Times New Roman" w:cs="Times New Roman"/>
        </w:rPr>
      </w:pPr>
    </w:p>
    <w:p w:rsidR="00376441" w:rsidRPr="00980BC4" w:rsidRDefault="00376441" w:rsidP="00376441">
      <w:pPr>
        <w:spacing w:line="560" w:lineRule="exact"/>
        <w:jc w:val="center"/>
        <w:rPr>
          <w:rFonts w:ascii="Times New Roman" w:eastAsia="宋体" w:hAnsi="Times New Roman" w:cs="Times New Roman"/>
        </w:rPr>
      </w:pPr>
    </w:p>
    <w:p w:rsidR="00376441" w:rsidRPr="00980BC4" w:rsidRDefault="00376441" w:rsidP="00376441">
      <w:pPr>
        <w:spacing w:line="560" w:lineRule="exact"/>
        <w:jc w:val="center"/>
        <w:rPr>
          <w:rFonts w:ascii="Times New Roman" w:eastAsia="宋体" w:hAnsi="Times New Roman" w:cs="Times New Roman"/>
        </w:rPr>
      </w:pPr>
    </w:p>
    <w:p w:rsidR="00376441" w:rsidRPr="00980BC4" w:rsidRDefault="00376441" w:rsidP="00376441">
      <w:pPr>
        <w:spacing w:line="560" w:lineRule="exact"/>
        <w:jc w:val="center"/>
        <w:rPr>
          <w:rFonts w:ascii="Times New Roman" w:eastAsia="宋体" w:hAnsi="Times New Roman" w:cs="Times New Roman"/>
        </w:rPr>
      </w:pPr>
    </w:p>
    <w:p w:rsidR="00376441" w:rsidRPr="00980BC4" w:rsidRDefault="00376441" w:rsidP="00376441">
      <w:pPr>
        <w:spacing w:line="560" w:lineRule="exact"/>
        <w:jc w:val="center"/>
        <w:rPr>
          <w:rFonts w:ascii="Times New Roman" w:eastAsia="宋体" w:hAnsi="Times New Roman" w:cs="Times New Roman"/>
        </w:rPr>
      </w:pPr>
    </w:p>
    <w:p w:rsidR="00376441" w:rsidRPr="00980BC4" w:rsidRDefault="00376441" w:rsidP="00376441">
      <w:pPr>
        <w:spacing w:line="560" w:lineRule="exact"/>
        <w:jc w:val="center"/>
        <w:rPr>
          <w:rFonts w:ascii="Times New Roman" w:eastAsia="宋体" w:hAnsi="Times New Roman" w:cs="Times New Roman"/>
        </w:rPr>
      </w:pPr>
    </w:p>
    <w:p w:rsidR="00376441" w:rsidRPr="00980BC4" w:rsidRDefault="00376441" w:rsidP="00376441">
      <w:pPr>
        <w:spacing w:line="560" w:lineRule="exact"/>
        <w:jc w:val="center"/>
        <w:rPr>
          <w:rFonts w:ascii="Times New Roman" w:eastAsia="宋体" w:hAnsi="Times New Roman" w:cs="Times New Roman"/>
        </w:rPr>
      </w:pPr>
    </w:p>
    <w:p w:rsidR="00376441" w:rsidRPr="00980BC4" w:rsidRDefault="00376441" w:rsidP="00376441">
      <w:pPr>
        <w:spacing w:line="560" w:lineRule="exact"/>
        <w:jc w:val="center"/>
        <w:rPr>
          <w:rFonts w:ascii="Times New Roman" w:eastAsia="宋体" w:hAnsi="Times New Roman" w:cs="Times New Roman"/>
        </w:rPr>
      </w:pPr>
    </w:p>
    <w:p w:rsidR="00376441" w:rsidRPr="00980BC4" w:rsidRDefault="00376441" w:rsidP="00376441">
      <w:pPr>
        <w:spacing w:line="560" w:lineRule="exact"/>
        <w:jc w:val="center"/>
        <w:rPr>
          <w:rFonts w:ascii="Times New Roman" w:eastAsia="宋体" w:hAnsi="Times New Roman" w:cs="Times New Roman"/>
        </w:rPr>
      </w:pPr>
    </w:p>
    <w:p w:rsidR="002A3304" w:rsidRPr="00980BC4" w:rsidRDefault="00376441" w:rsidP="00376441">
      <w:pPr>
        <w:spacing w:line="560" w:lineRule="exact"/>
        <w:jc w:val="center"/>
        <w:rPr>
          <w:rFonts w:ascii="宋体" w:eastAsia="宋体" w:hAnsi="宋体" w:cs="宋体"/>
          <w:b/>
          <w:bCs/>
          <w:sz w:val="32"/>
          <w:szCs w:val="32"/>
        </w:rPr>
      </w:pPr>
      <w:r w:rsidRPr="00980BC4">
        <w:rPr>
          <w:rFonts w:ascii="宋体" w:eastAsia="宋体" w:hAnsi="宋体" w:cs="宋体" w:hint="eastAsia"/>
          <w:b/>
          <w:bCs/>
          <w:sz w:val="32"/>
          <w:szCs w:val="32"/>
        </w:rPr>
        <w:t>202</w:t>
      </w:r>
      <w:r w:rsidR="00E4707F" w:rsidRPr="00980BC4">
        <w:rPr>
          <w:rFonts w:ascii="宋体" w:eastAsia="宋体" w:hAnsi="宋体" w:cs="宋体" w:hint="eastAsia"/>
          <w:b/>
          <w:bCs/>
          <w:sz w:val="32"/>
          <w:szCs w:val="32"/>
        </w:rPr>
        <w:t>3</w:t>
      </w:r>
      <w:r w:rsidRPr="00980BC4">
        <w:rPr>
          <w:rFonts w:ascii="宋体" w:eastAsia="宋体" w:hAnsi="宋体" w:cs="宋体" w:hint="eastAsia"/>
          <w:b/>
          <w:bCs/>
          <w:sz w:val="32"/>
          <w:szCs w:val="32"/>
        </w:rPr>
        <w:t>年04月</w:t>
      </w:r>
    </w:p>
    <w:p w:rsidR="002A3304" w:rsidRPr="00980BC4" w:rsidRDefault="00DF4EBF" w:rsidP="00376441">
      <w:pPr>
        <w:spacing w:line="560" w:lineRule="exact"/>
      </w:pPr>
      <w:r w:rsidRPr="00980BC4">
        <w:br w:type="page"/>
      </w:r>
    </w:p>
    <w:p w:rsidR="002A3304" w:rsidRPr="00980BC4" w:rsidRDefault="00DF4EBF">
      <w:pPr>
        <w:pStyle w:val="headingh1"/>
        <w:spacing w:before="340" w:after="330" w:line="773" w:lineRule="exact"/>
        <w:jc w:val="center"/>
        <w:rPr>
          <w:rFonts w:ascii="宋体" w:eastAsia="宋体" w:hAnsi="宋体" w:cs="宋体"/>
          <w:b/>
          <w:bCs/>
          <w:sz w:val="32"/>
          <w:szCs w:val="32"/>
        </w:rPr>
      </w:pPr>
      <w:bookmarkStart w:id="0" w:name="_Toc988889"/>
      <w:r w:rsidRPr="00980BC4">
        <w:rPr>
          <w:rFonts w:ascii="宋体" w:eastAsia="宋体" w:hAnsi="宋体" w:cs="宋体"/>
          <w:b/>
          <w:bCs/>
          <w:sz w:val="32"/>
          <w:szCs w:val="32"/>
        </w:rPr>
        <w:lastRenderedPageBreak/>
        <w:t>第一节 重要提示、目录和释义</w:t>
      </w:r>
      <w:bookmarkEnd w:id="0"/>
    </w:p>
    <w:p w:rsidR="002A3304" w:rsidRPr="00980BC4" w:rsidRDefault="00DF4EBF" w:rsidP="00BB1824">
      <w:pPr>
        <w:spacing w:line="560" w:lineRule="exact"/>
        <w:ind w:firstLineChars="200" w:firstLine="562"/>
        <w:rPr>
          <w:rFonts w:ascii="宋体" w:eastAsia="宋体" w:hAnsi="宋体" w:cs="宋体"/>
          <w:b/>
          <w:bCs/>
          <w:sz w:val="28"/>
          <w:szCs w:val="28"/>
        </w:rPr>
      </w:pPr>
      <w:r w:rsidRPr="00980BC4">
        <w:rPr>
          <w:rFonts w:ascii="宋体" w:eastAsia="宋体" w:hAnsi="宋体" w:cs="宋体"/>
          <w:b/>
          <w:bCs/>
          <w:sz w:val="28"/>
          <w:szCs w:val="28"/>
        </w:rPr>
        <w:t>公司董事会、监事会及董事、监事、高级管理人员保证年度报告内容的真实、准确、完整，不存在虚假记载、误导性陈述或重大遗漏，并承担个别和连带的法律责任。</w:t>
      </w:r>
    </w:p>
    <w:p w:rsidR="002A3304" w:rsidRPr="00980BC4" w:rsidRDefault="00DF4EBF" w:rsidP="00BB1824">
      <w:pPr>
        <w:spacing w:line="560" w:lineRule="exact"/>
        <w:ind w:firstLineChars="200" w:firstLine="562"/>
        <w:rPr>
          <w:rFonts w:ascii="宋体" w:eastAsia="宋体" w:hAnsi="宋体" w:cs="宋体"/>
          <w:b/>
          <w:bCs/>
          <w:sz w:val="28"/>
          <w:szCs w:val="28"/>
        </w:rPr>
      </w:pPr>
      <w:r w:rsidRPr="00980BC4">
        <w:rPr>
          <w:rFonts w:ascii="宋体" w:eastAsia="宋体" w:hAnsi="宋体" w:cs="宋体"/>
          <w:b/>
          <w:bCs/>
          <w:sz w:val="28"/>
          <w:szCs w:val="28"/>
        </w:rPr>
        <w:t>公司负责人黄克、主管会计工作负责人陈波及会计机构负责人(会计主管人员)徐佳君声明：保证本年度报告中财务报告的真实、准确、完整。</w:t>
      </w:r>
    </w:p>
    <w:p w:rsidR="002A3304" w:rsidRPr="00980BC4" w:rsidRDefault="00DF4EBF" w:rsidP="00BB1824">
      <w:pPr>
        <w:spacing w:line="560" w:lineRule="exact"/>
        <w:ind w:firstLineChars="200" w:firstLine="562"/>
        <w:rPr>
          <w:rFonts w:ascii="宋体" w:eastAsia="宋体" w:hAnsi="宋体" w:cs="宋体"/>
          <w:b/>
          <w:bCs/>
          <w:sz w:val="28"/>
          <w:szCs w:val="28"/>
        </w:rPr>
      </w:pPr>
      <w:r w:rsidRPr="00980BC4">
        <w:rPr>
          <w:rFonts w:ascii="宋体" w:eastAsia="宋体" w:hAnsi="宋体" w:cs="宋体"/>
          <w:b/>
          <w:bCs/>
          <w:sz w:val="28"/>
          <w:szCs w:val="28"/>
        </w:rPr>
        <w:t>所有董事均已出席了审议本报告的董事会会议。</w:t>
      </w:r>
    </w:p>
    <w:p w:rsidR="002A3304" w:rsidRPr="00980BC4" w:rsidRDefault="002A3304" w:rsidP="00BB1824">
      <w:pPr>
        <w:pStyle w:val="a3"/>
        <w:spacing w:before="0" w:beforeAutospacing="0" w:after="0" w:afterAutospacing="0" w:line="560" w:lineRule="exact"/>
        <w:ind w:firstLine="648"/>
        <w:divId w:val="1861234845"/>
        <w:rPr>
          <w:b/>
          <w:bCs/>
          <w:sz w:val="28"/>
          <w:szCs w:val="28"/>
        </w:rPr>
      </w:pPr>
      <w:r w:rsidRPr="00980BC4">
        <w:rPr>
          <w:rFonts w:hint="eastAsia"/>
          <w:b/>
          <w:bCs/>
          <w:sz w:val="28"/>
          <w:szCs w:val="28"/>
        </w:rPr>
        <w:t>本报告中所涉及的公司未来计划、发展战略等前瞻性描述不构成公司对投资者的实质承诺，投资者及相关人士均应当对此保持足够的风险认识，并且应当理解计划、预测与承诺之间的差异，敬请投资者注意投资风险。</w:t>
      </w:r>
    </w:p>
    <w:p w:rsidR="002A3304" w:rsidRPr="00980BC4" w:rsidRDefault="002A3304" w:rsidP="00BB1824">
      <w:pPr>
        <w:pStyle w:val="a3"/>
        <w:spacing w:before="0" w:beforeAutospacing="0" w:after="0" w:afterAutospacing="0" w:line="560" w:lineRule="exact"/>
        <w:ind w:firstLine="648"/>
        <w:divId w:val="1554660664"/>
        <w:rPr>
          <w:b/>
          <w:bCs/>
          <w:sz w:val="28"/>
          <w:szCs w:val="28"/>
        </w:rPr>
      </w:pPr>
      <w:r w:rsidRPr="00980BC4">
        <w:rPr>
          <w:rFonts w:hint="eastAsia"/>
          <w:b/>
          <w:bCs/>
          <w:sz w:val="28"/>
          <w:szCs w:val="28"/>
        </w:rPr>
        <w:t>公司已在本报告“第三节 经营情况讨论与分析”之“十一、（四）可能面对的风险”中详细描述公司可能存在的风险因素，敬请投资者注意投资风险。</w:t>
      </w:r>
    </w:p>
    <w:p w:rsidR="002A3304" w:rsidRPr="00980BC4" w:rsidRDefault="00DF4EBF" w:rsidP="00BB1824">
      <w:pPr>
        <w:spacing w:line="560" w:lineRule="exact"/>
        <w:ind w:firstLineChars="200" w:firstLine="562"/>
        <w:rPr>
          <w:rFonts w:ascii="宋体" w:eastAsia="宋体" w:hAnsi="宋体" w:cs="宋体"/>
          <w:b/>
          <w:bCs/>
          <w:sz w:val="28"/>
          <w:szCs w:val="28"/>
        </w:rPr>
      </w:pPr>
      <w:r w:rsidRPr="00980BC4">
        <w:rPr>
          <w:rFonts w:ascii="宋体" w:eastAsia="宋体" w:hAnsi="宋体" w:cs="宋体"/>
          <w:b/>
          <w:bCs/>
          <w:sz w:val="28"/>
          <w:szCs w:val="28"/>
        </w:rPr>
        <w:t>公司计划不派发现金红利，不送红股，不以公积金转增股本。</w:t>
      </w:r>
    </w:p>
    <w:p w:rsidR="002A3304" w:rsidRPr="00980BC4" w:rsidRDefault="00DF4EBF">
      <w:pPr>
        <w:rPr>
          <w:b/>
        </w:rPr>
      </w:pPr>
      <w:r w:rsidRPr="00980BC4">
        <w:rPr>
          <w:b/>
        </w:rPr>
        <w:br w:type="page"/>
      </w:r>
    </w:p>
    <w:p w:rsidR="002A3304" w:rsidRPr="00980BC4" w:rsidRDefault="00DF4EBF">
      <w:pPr>
        <w:spacing w:line="720" w:lineRule="exact"/>
        <w:jc w:val="center"/>
        <w:rPr>
          <w:rFonts w:ascii="宋体" w:eastAsia="宋体" w:hAnsi="宋体" w:cs="宋体"/>
          <w:b/>
          <w:bCs/>
          <w:sz w:val="36"/>
          <w:szCs w:val="36"/>
        </w:rPr>
      </w:pPr>
      <w:r w:rsidRPr="00980BC4">
        <w:rPr>
          <w:rFonts w:ascii="宋体" w:eastAsia="宋体" w:hAnsi="宋体" w:cs="宋体"/>
          <w:b/>
          <w:bCs/>
          <w:sz w:val="36"/>
          <w:szCs w:val="36"/>
        </w:rPr>
        <w:lastRenderedPageBreak/>
        <w:t>目</w:t>
      </w:r>
      <w:r w:rsidR="00F645A8" w:rsidRPr="00980BC4">
        <w:rPr>
          <w:rFonts w:ascii="宋体" w:eastAsia="宋体" w:hAnsi="宋体" w:cs="宋体" w:hint="eastAsia"/>
          <w:b/>
          <w:bCs/>
          <w:sz w:val="36"/>
          <w:szCs w:val="36"/>
        </w:rPr>
        <w:t xml:space="preserve">  </w:t>
      </w:r>
      <w:r w:rsidRPr="00980BC4">
        <w:rPr>
          <w:rFonts w:ascii="宋体" w:eastAsia="宋体" w:hAnsi="宋体" w:cs="宋体"/>
          <w:b/>
          <w:bCs/>
          <w:sz w:val="36"/>
          <w:szCs w:val="36"/>
        </w:rPr>
        <w:t>录</w:t>
      </w:r>
    </w:p>
    <w:p w:rsidR="00F645A8" w:rsidRPr="00980BC4" w:rsidRDefault="00F645A8">
      <w:pPr>
        <w:spacing w:line="720" w:lineRule="exact"/>
        <w:jc w:val="center"/>
        <w:rPr>
          <w:rFonts w:ascii="宋体" w:eastAsia="宋体" w:hAnsi="宋体" w:cs="宋体"/>
          <w:b/>
          <w:bCs/>
          <w:sz w:val="36"/>
          <w:szCs w:val="36"/>
        </w:rPr>
      </w:pPr>
    </w:p>
    <w:p w:rsidR="002A3304" w:rsidRPr="00980BC4" w:rsidRDefault="00A42485" w:rsidP="00F645A8">
      <w:pPr>
        <w:pStyle w:val="1"/>
        <w:tabs>
          <w:tab w:val="right" w:leader="dot" w:pos="9628"/>
        </w:tabs>
        <w:spacing w:before="40" w:after="40"/>
        <w:jc w:val="both"/>
        <w:rPr>
          <w:rStyle w:val="a9"/>
          <w:rFonts w:ascii="Times New Roman" w:eastAsia="宋体" w:hAnsi="Times New Roman"/>
          <w:noProof/>
          <w:sz w:val="28"/>
          <w:szCs w:val="28"/>
        </w:rPr>
      </w:pPr>
      <w:r w:rsidRPr="00980BC4">
        <w:rPr>
          <w:rStyle w:val="a9"/>
          <w:rFonts w:ascii="Times New Roman" w:eastAsia="宋体" w:hAnsi="Times New Roman"/>
          <w:noProof/>
          <w:sz w:val="28"/>
          <w:szCs w:val="28"/>
        </w:rPr>
        <w:fldChar w:fldCharType="begin"/>
      </w:r>
      <w:r w:rsidR="00DF4EBF" w:rsidRPr="00980BC4">
        <w:rPr>
          <w:rStyle w:val="a9"/>
          <w:rFonts w:ascii="Times New Roman" w:eastAsia="宋体" w:hAnsi="Times New Roman"/>
          <w:noProof/>
          <w:sz w:val="28"/>
          <w:szCs w:val="28"/>
        </w:rPr>
        <w:instrText xml:space="preserve"> </w:instrText>
      </w:r>
      <w:r w:rsidR="00DF4EBF" w:rsidRPr="00980BC4">
        <w:rPr>
          <w:rStyle w:val="a9"/>
          <w:rFonts w:ascii="Times New Roman" w:hAnsi="Times New Roman" w:hint="eastAsia"/>
          <w:noProof/>
          <w:sz w:val="28"/>
          <w:szCs w:val="28"/>
        </w:rPr>
        <w:instrText>TOC \o "1-2" \h \z \u</w:instrText>
      </w:r>
      <w:r w:rsidR="00DF4EBF" w:rsidRPr="00980BC4">
        <w:rPr>
          <w:rStyle w:val="a9"/>
          <w:rFonts w:ascii="Times New Roman" w:eastAsia="宋体" w:hAnsi="Times New Roman"/>
          <w:noProof/>
          <w:sz w:val="28"/>
          <w:szCs w:val="28"/>
        </w:rPr>
        <w:instrText xml:space="preserve"> </w:instrText>
      </w:r>
      <w:r w:rsidRPr="00980BC4">
        <w:rPr>
          <w:rStyle w:val="a9"/>
          <w:rFonts w:ascii="Times New Roman" w:eastAsia="宋体" w:hAnsi="Times New Roman"/>
          <w:noProof/>
          <w:sz w:val="28"/>
          <w:szCs w:val="28"/>
        </w:rPr>
        <w:fldChar w:fldCharType="separate"/>
      </w:r>
      <w:hyperlink w:anchor="_Toc988889" w:history="1">
        <w:r w:rsidR="00DF4EBF" w:rsidRPr="00980BC4">
          <w:rPr>
            <w:rStyle w:val="a9"/>
            <w:rFonts w:ascii="Times New Roman" w:hAnsi="Times New Roman" w:hint="eastAsia"/>
            <w:noProof/>
            <w:sz w:val="28"/>
            <w:szCs w:val="28"/>
          </w:rPr>
          <w:t>第一节</w:t>
        </w:r>
        <w:r w:rsidR="00DF4EBF" w:rsidRPr="00980BC4">
          <w:rPr>
            <w:rStyle w:val="a9"/>
            <w:rFonts w:ascii="Times New Roman" w:hAnsi="Times New Roman" w:hint="eastAsia"/>
            <w:noProof/>
            <w:sz w:val="28"/>
            <w:szCs w:val="28"/>
          </w:rPr>
          <w:t xml:space="preserve"> </w:t>
        </w:r>
        <w:r w:rsidR="00DF4EBF" w:rsidRPr="00980BC4">
          <w:rPr>
            <w:rStyle w:val="a9"/>
            <w:rFonts w:ascii="Times New Roman" w:hAnsi="Times New Roman" w:hint="eastAsia"/>
            <w:noProof/>
            <w:sz w:val="28"/>
            <w:szCs w:val="28"/>
          </w:rPr>
          <w:t>重要提示、目录和释义</w:t>
        </w:r>
        <w:r w:rsidR="00DF4EBF" w:rsidRPr="00980BC4">
          <w:rPr>
            <w:rStyle w:val="a9"/>
            <w:rFonts w:ascii="Times New Roman" w:eastAsia="宋体" w:hAnsi="Times New Roman"/>
            <w:noProof/>
            <w:webHidden/>
            <w:sz w:val="28"/>
            <w:szCs w:val="28"/>
          </w:rPr>
          <w:tab/>
        </w:r>
        <w:r w:rsidRPr="00980BC4">
          <w:rPr>
            <w:rStyle w:val="a9"/>
            <w:rFonts w:ascii="Times New Roman" w:eastAsia="宋体" w:hAnsi="Times New Roman"/>
            <w:noProof/>
            <w:webHidden/>
            <w:sz w:val="28"/>
            <w:szCs w:val="28"/>
          </w:rPr>
          <w:fldChar w:fldCharType="begin"/>
        </w:r>
        <w:r w:rsidR="00DF4EBF" w:rsidRPr="00980BC4">
          <w:rPr>
            <w:rStyle w:val="a9"/>
            <w:rFonts w:ascii="Times New Roman" w:eastAsia="宋体" w:hAnsi="Times New Roman"/>
            <w:noProof/>
            <w:webHidden/>
            <w:sz w:val="28"/>
            <w:szCs w:val="28"/>
          </w:rPr>
          <w:instrText xml:space="preserve"> PAGEREF _Toc988889 \h </w:instrText>
        </w:r>
        <w:r w:rsidRPr="00980BC4">
          <w:rPr>
            <w:rStyle w:val="a9"/>
            <w:rFonts w:ascii="Times New Roman" w:eastAsia="宋体" w:hAnsi="Times New Roman"/>
            <w:noProof/>
            <w:webHidden/>
            <w:sz w:val="28"/>
            <w:szCs w:val="28"/>
          </w:rPr>
        </w:r>
        <w:r w:rsidRPr="00980BC4">
          <w:rPr>
            <w:rStyle w:val="a9"/>
            <w:rFonts w:ascii="Times New Roman" w:eastAsia="宋体" w:hAnsi="Times New Roman"/>
            <w:noProof/>
            <w:webHidden/>
            <w:sz w:val="28"/>
            <w:szCs w:val="28"/>
          </w:rPr>
          <w:fldChar w:fldCharType="separate"/>
        </w:r>
        <w:r w:rsidR="00397F42">
          <w:rPr>
            <w:rStyle w:val="a9"/>
            <w:rFonts w:ascii="Times New Roman" w:eastAsia="宋体" w:hAnsi="Times New Roman"/>
            <w:noProof/>
            <w:webHidden/>
            <w:sz w:val="28"/>
            <w:szCs w:val="28"/>
          </w:rPr>
          <w:t>2</w:t>
        </w:r>
        <w:r w:rsidRPr="00980BC4">
          <w:rPr>
            <w:rStyle w:val="a9"/>
            <w:rFonts w:ascii="Times New Roman" w:eastAsia="宋体" w:hAnsi="Times New Roman"/>
            <w:noProof/>
            <w:webHidden/>
            <w:sz w:val="28"/>
            <w:szCs w:val="28"/>
          </w:rPr>
          <w:fldChar w:fldCharType="end"/>
        </w:r>
      </w:hyperlink>
    </w:p>
    <w:p w:rsidR="002A3304" w:rsidRPr="00980BC4" w:rsidRDefault="00A42485" w:rsidP="00F645A8">
      <w:pPr>
        <w:pStyle w:val="1"/>
        <w:tabs>
          <w:tab w:val="right" w:leader="dot" w:pos="9628"/>
        </w:tabs>
        <w:spacing w:before="40" w:after="40"/>
        <w:jc w:val="both"/>
        <w:rPr>
          <w:rStyle w:val="a9"/>
          <w:rFonts w:ascii="Times New Roman" w:eastAsia="宋体" w:hAnsi="Times New Roman"/>
          <w:noProof/>
          <w:sz w:val="28"/>
          <w:szCs w:val="28"/>
        </w:rPr>
      </w:pPr>
      <w:hyperlink w:anchor="_Toc988890" w:history="1">
        <w:r w:rsidR="00DF4EBF" w:rsidRPr="00980BC4">
          <w:rPr>
            <w:rStyle w:val="a9"/>
            <w:rFonts w:ascii="Times New Roman" w:hAnsi="Times New Roman" w:hint="eastAsia"/>
            <w:noProof/>
            <w:sz w:val="28"/>
            <w:szCs w:val="28"/>
          </w:rPr>
          <w:t>第二节</w:t>
        </w:r>
        <w:r w:rsidR="00DF4EBF" w:rsidRPr="00980BC4">
          <w:rPr>
            <w:rStyle w:val="a9"/>
            <w:rFonts w:ascii="Times New Roman" w:hAnsi="Times New Roman" w:hint="eastAsia"/>
            <w:noProof/>
            <w:sz w:val="28"/>
            <w:szCs w:val="28"/>
          </w:rPr>
          <w:t xml:space="preserve"> </w:t>
        </w:r>
        <w:r w:rsidR="00DF4EBF" w:rsidRPr="00980BC4">
          <w:rPr>
            <w:rStyle w:val="a9"/>
            <w:rFonts w:ascii="Times New Roman" w:hAnsi="Times New Roman" w:hint="eastAsia"/>
            <w:noProof/>
            <w:sz w:val="28"/>
            <w:szCs w:val="28"/>
          </w:rPr>
          <w:t>公司简介和主要财务指标</w:t>
        </w:r>
        <w:r w:rsidR="00DF4EBF" w:rsidRPr="00980BC4">
          <w:rPr>
            <w:rStyle w:val="a9"/>
            <w:rFonts w:ascii="Times New Roman" w:eastAsia="宋体" w:hAnsi="Times New Roman"/>
            <w:noProof/>
            <w:webHidden/>
            <w:sz w:val="28"/>
            <w:szCs w:val="28"/>
          </w:rPr>
          <w:tab/>
        </w:r>
        <w:r w:rsidRPr="00980BC4">
          <w:rPr>
            <w:rStyle w:val="a9"/>
            <w:rFonts w:ascii="Times New Roman" w:eastAsia="宋体" w:hAnsi="Times New Roman"/>
            <w:noProof/>
            <w:webHidden/>
            <w:sz w:val="28"/>
            <w:szCs w:val="28"/>
          </w:rPr>
          <w:fldChar w:fldCharType="begin"/>
        </w:r>
        <w:r w:rsidR="00DF4EBF" w:rsidRPr="00980BC4">
          <w:rPr>
            <w:rStyle w:val="a9"/>
            <w:rFonts w:ascii="Times New Roman" w:eastAsia="宋体" w:hAnsi="Times New Roman"/>
            <w:noProof/>
            <w:webHidden/>
            <w:sz w:val="28"/>
            <w:szCs w:val="28"/>
          </w:rPr>
          <w:instrText xml:space="preserve"> PAGEREF _Toc988890 \h </w:instrText>
        </w:r>
        <w:r w:rsidRPr="00980BC4">
          <w:rPr>
            <w:rStyle w:val="a9"/>
            <w:rFonts w:ascii="Times New Roman" w:eastAsia="宋体" w:hAnsi="Times New Roman"/>
            <w:noProof/>
            <w:webHidden/>
            <w:sz w:val="28"/>
            <w:szCs w:val="28"/>
          </w:rPr>
        </w:r>
        <w:r w:rsidRPr="00980BC4">
          <w:rPr>
            <w:rStyle w:val="a9"/>
            <w:rFonts w:ascii="Times New Roman" w:eastAsia="宋体" w:hAnsi="Times New Roman"/>
            <w:noProof/>
            <w:webHidden/>
            <w:sz w:val="28"/>
            <w:szCs w:val="28"/>
          </w:rPr>
          <w:fldChar w:fldCharType="separate"/>
        </w:r>
        <w:r w:rsidR="00397F42">
          <w:rPr>
            <w:rStyle w:val="a9"/>
            <w:rFonts w:ascii="Times New Roman" w:eastAsia="宋体" w:hAnsi="Times New Roman"/>
            <w:noProof/>
            <w:webHidden/>
            <w:sz w:val="28"/>
            <w:szCs w:val="28"/>
          </w:rPr>
          <w:t>6</w:t>
        </w:r>
        <w:r w:rsidRPr="00980BC4">
          <w:rPr>
            <w:rStyle w:val="a9"/>
            <w:rFonts w:ascii="Times New Roman" w:eastAsia="宋体" w:hAnsi="Times New Roman"/>
            <w:noProof/>
            <w:webHidden/>
            <w:sz w:val="28"/>
            <w:szCs w:val="28"/>
          </w:rPr>
          <w:fldChar w:fldCharType="end"/>
        </w:r>
      </w:hyperlink>
    </w:p>
    <w:p w:rsidR="002A3304" w:rsidRPr="00980BC4" w:rsidRDefault="00A42485" w:rsidP="00F645A8">
      <w:pPr>
        <w:pStyle w:val="1"/>
        <w:tabs>
          <w:tab w:val="right" w:leader="dot" w:pos="9628"/>
        </w:tabs>
        <w:spacing w:before="40" w:after="40"/>
        <w:jc w:val="both"/>
        <w:rPr>
          <w:rStyle w:val="a9"/>
          <w:rFonts w:ascii="Times New Roman" w:eastAsia="宋体" w:hAnsi="Times New Roman"/>
          <w:noProof/>
          <w:sz w:val="28"/>
          <w:szCs w:val="28"/>
        </w:rPr>
      </w:pPr>
      <w:hyperlink w:anchor="_Toc988902" w:history="1">
        <w:r w:rsidR="00DF4EBF" w:rsidRPr="00980BC4">
          <w:rPr>
            <w:rStyle w:val="a9"/>
            <w:rFonts w:ascii="Times New Roman" w:hAnsi="Times New Roman" w:hint="eastAsia"/>
            <w:noProof/>
            <w:sz w:val="28"/>
            <w:szCs w:val="28"/>
          </w:rPr>
          <w:t>第三节</w:t>
        </w:r>
        <w:r w:rsidR="00DF4EBF" w:rsidRPr="00980BC4">
          <w:rPr>
            <w:rStyle w:val="a9"/>
            <w:rFonts w:ascii="Times New Roman" w:hAnsi="Times New Roman" w:hint="eastAsia"/>
            <w:noProof/>
            <w:sz w:val="28"/>
            <w:szCs w:val="28"/>
          </w:rPr>
          <w:t xml:space="preserve"> </w:t>
        </w:r>
        <w:r w:rsidR="00DF4EBF" w:rsidRPr="00980BC4">
          <w:rPr>
            <w:rStyle w:val="a9"/>
            <w:rFonts w:ascii="Times New Roman" w:hAnsi="Times New Roman" w:hint="eastAsia"/>
            <w:noProof/>
            <w:sz w:val="28"/>
            <w:szCs w:val="28"/>
          </w:rPr>
          <w:t>管理层讨论与分析</w:t>
        </w:r>
        <w:r w:rsidR="00DF4EBF" w:rsidRPr="00980BC4">
          <w:rPr>
            <w:rStyle w:val="a9"/>
            <w:rFonts w:ascii="Times New Roman" w:eastAsia="宋体" w:hAnsi="Times New Roman"/>
            <w:noProof/>
            <w:webHidden/>
            <w:sz w:val="28"/>
            <w:szCs w:val="28"/>
          </w:rPr>
          <w:tab/>
        </w:r>
        <w:r w:rsidRPr="00980BC4">
          <w:rPr>
            <w:rStyle w:val="a9"/>
            <w:rFonts w:ascii="Times New Roman" w:eastAsia="宋体" w:hAnsi="Times New Roman"/>
            <w:noProof/>
            <w:webHidden/>
            <w:sz w:val="28"/>
            <w:szCs w:val="28"/>
          </w:rPr>
          <w:fldChar w:fldCharType="begin"/>
        </w:r>
        <w:r w:rsidR="00DF4EBF" w:rsidRPr="00980BC4">
          <w:rPr>
            <w:rStyle w:val="a9"/>
            <w:rFonts w:ascii="Times New Roman" w:eastAsia="宋体" w:hAnsi="Times New Roman"/>
            <w:noProof/>
            <w:webHidden/>
            <w:sz w:val="28"/>
            <w:szCs w:val="28"/>
          </w:rPr>
          <w:instrText xml:space="preserve"> PAGEREF _Toc988902 \h </w:instrText>
        </w:r>
        <w:r w:rsidRPr="00980BC4">
          <w:rPr>
            <w:rStyle w:val="a9"/>
            <w:rFonts w:ascii="Times New Roman" w:eastAsia="宋体" w:hAnsi="Times New Roman"/>
            <w:noProof/>
            <w:webHidden/>
            <w:sz w:val="28"/>
            <w:szCs w:val="28"/>
          </w:rPr>
        </w:r>
        <w:r w:rsidRPr="00980BC4">
          <w:rPr>
            <w:rStyle w:val="a9"/>
            <w:rFonts w:ascii="Times New Roman" w:eastAsia="宋体" w:hAnsi="Times New Roman"/>
            <w:noProof/>
            <w:webHidden/>
            <w:sz w:val="28"/>
            <w:szCs w:val="28"/>
          </w:rPr>
          <w:fldChar w:fldCharType="separate"/>
        </w:r>
        <w:r w:rsidR="00397F42">
          <w:rPr>
            <w:rStyle w:val="a9"/>
            <w:rFonts w:ascii="Times New Roman" w:eastAsia="宋体" w:hAnsi="Times New Roman"/>
            <w:noProof/>
            <w:webHidden/>
            <w:sz w:val="28"/>
            <w:szCs w:val="28"/>
          </w:rPr>
          <w:t>10</w:t>
        </w:r>
        <w:r w:rsidRPr="00980BC4">
          <w:rPr>
            <w:rStyle w:val="a9"/>
            <w:rFonts w:ascii="Times New Roman" w:eastAsia="宋体" w:hAnsi="Times New Roman"/>
            <w:noProof/>
            <w:webHidden/>
            <w:sz w:val="28"/>
            <w:szCs w:val="28"/>
          </w:rPr>
          <w:fldChar w:fldCharType="end"/>
        </w:r>
      </w:hyperlink>
    </w:p>
    <w:p w:rsidR="002A3304" w:rsidRPr="00980BC4" w:rsidRDefault="00A42485" w:rsidP="00F645A8">
      <w:pPr>
        <w:pStyle w:val="1"/>
        <w:tabs>
          <w:tab w:val="right" w:leader="dot" w:pos="9628"/>
        </w:tabs>
        <w:spacing w:before="40" w:after="40"/>
        <w:jc w:val="both"/>
        <w:rPr>
          <w:rStyle w:val="a9"/>
          <w:rFonts w:ascii="Times New Roman" w:eastAsia="宋体" w:hAnsi="Times New Roman"/>
          <w:noProof/>
          <w:sz w:val="28"/>
          <w:szCs w:val="28"/>
        </w:rPr>
      </w:pPr>
      <w:hyperlink w:anchor="_Toc988940" w:history="1">
        <w:r w:rsidR="00DF4EBF" w:rsidRPr="00980BC4">
          <w:rPr>
            <w:rStyle w:val="a9"/>
            <w:rFonts w:ascii="Times New Roman" w:hAnsi="Times New Roman" w:hint="eastAsia"/>
            <w:noProof/>
            <w:sz w:val="28"/>
            <w:szCs w:val="28"/>
          </w:rPr>
          <w:t>第四节</w:t>
        </w:r>
        <w:r w:rsidR="00DF4EBF" w:rsidRPr="00980BC4">
          <w:rPr>
            <w:rStyle w:val="a9"/>
            <w:rFonts w:ascii="Times New Roman" w:hAnsi="Times New Roman" w:hint="eastAsia"/>
            <w:noProof/>
            <w:sz w:val="28"/>
            <w:szCs w:val="28"/>
          </w:rPr>
          <w:t xml:space="preserve"> </w:t>
        </w:r>
        <w:r w:rsidR="00DF4EBF" w:rsidRPr="00980BC4">
          <w:rPr>
            <w:rStyle w:val="a9"/>
            <w:rFonts w:ascii="Times New Roman" w:hAnsi="Times New Roman" w:hint="eastAsia"/>
            <w:noProof/>
            <w:sz w:val="28"/>
            <w:szCs w:val="28"/>
          </w:rPr>
          <w:t>公司治理</w:t>
        </w:r>
        <w:r w:rsidR="00DF4EBF" w:rsidRPr="00980BC4">
          <w:rPr>
            <w:rStyle w:val="a9"/>
            <w:rFonts w:ascii="Times New Roman" w:eastAsia="宋体" w:hAnsi="Times New Roman"/>
            <w:noProof/>
            <w:webHidden/>
            <w:sz w:val="28"/>
            <w:szCs w:val="28"/>
          </w:rPr>
          <w:tab/>
        </w:r>
        <w:r w:rsidRPr="00980BC4">
          <w:rPr>
            <w:rStyle w:val="a9"/>
            <w:rFonts w:ascii="Times New Roman" w:eastAsia="宋体" w:hAnsi="Times New Roman"/>
            <w:noProof/>
            <w:webHidden/>
            <w:sz w:val="28"/>
            <w:szCs w:val="28"/>
          </w:rPr>
          <w:fldChar w:fldCharType="begin"/>
        </w:r>
        <w:r w:rsidR="00DF4EBF" w:rsidRPr="00980BC4">
          <w:rPr>
            <w:rStyle w:val="a9"/>
            <w:rFonts w:ascii="Times New Roman" w:eastAsia="宋体" w:hAnsi="Times New Roman"/>
            <w:noProof/>
            <w:webHidden/>
            <w:sz w:val="28"/>
            <w:szCs w:val="28"/>
          </w:rPr>
          <w:instrText xml:space="preserve"> PAGEREF _Toc988940 \h </w:instrText>
        </w:r>
        <w:r w:rsidRPr="00980BC4">
          <w:rPr>
            <w:rStyle w:val="a9"/>
            <w:rFonts w:ascii="Times New Roman" w:eastAsia="宋体" w:hAnsi="Times New Roman"/>
            <w:noProof/>
            <w:webHidden/>
            <w:sz w:val="28"/>
            <w:szCs w:val="28"/>
          </w:rPr>
        </w:r>
        <w:r w:rsidRPr="00980BC4">
          <w:rPr>
            <w:rStyle w:val="a9"/>
            <w:rFonts w:ascii="Times New Roman" w:eastAsia="宋体" w:hAnsi="Times New Roman"/>
            <w:noProof/>
            <w:webHidden/>
            <w:sz w:val="28"/>
            <w:szCs w:val="28"/>
          </w:rPr>
          <w:fldChar w:fldCharType="separate"/>
        </w:r>
        <w:r w:rsidR="00397F42">
          <w:rPr>
            <w:rStyle w:val="a9"/>
            <w:rFonts w:ascii="Times New Roman" w:eastAsia="宋体" w:hAnsi="Times New Roman"/>
            <w:noProof/>
            <w:webHidden/>
            <w:sz w:val="28"/>
            <w:szCs w:val="28"/>
          </w:rPr>
          <w:t>35</w:t>
        </w:r>
        <w:r w:rsidRPr="00980BC4">
          <w:rPr>
            <w:rStyle w:val="a9"/>
            <w:rFonts w:ascii="Times New Roman" w:eastAsia="宋体" w:hAnsi="Times New Roman"/>
            <w:noProof/>
            <w:webHidden/>
            <w:sz w:val="28"/>
            <w:szCs w:val="28"/>
          </w:rPr>
          <w:fldChar w:fldCharType="end"/>
        </w:r>
      </w:hyperlink>
    </w:p>
    <w:p w:rsidR="002A3304" w:rsidRPr="00980BC4" w:rsidRDefault="00A42485" w:rsidP="00F645A8">
      <w:pPr>
        <w:pStyle w:val="1"/>
        <w:tabs>
          <w:tab w:val="right" w:leader="dot" w:pos="9628"/>
        </w:tabs>
        <w:spacing w:before="40" w:after="40"/>
        <w:jc w:val="both"/>
        <w:rPr>
          <w:rStyle w:val="a9"/>
          <w:rFonts w:ascii="Times New Roman" w:eastAsia="宋体" w:hAnsi="Times New Roman"/>
          <w:noProof/>
          <w:sz w:val="28"/>
          <w:szCs w:val="28"/>
        </w:rPr>
      </w:pPr>
      <w:hyperlink w:anchor="_Toc988976" w:history="1">
        <w:r w:rsidR="00DF4EBF" w:rsidRPr="00980BC4">
          <w:rPr>
            <w:rStyle w:val="a9"/>
            <w:rFonts w:ascii="Times New Roman" w:hAnsi="Times New Roman" w:hint="eastAsia"/>
            <w:noProof/>
            <w:sz w:val="28"/>
            <w:szCs w:val="28"/>
          </w:rPr>
          <w:t>第五节</w:t>
        </w:r>
        <w:r w:rsidR="00DF4EBF" w:rsidRPr="00980BC4">
          <w:rPr>
            <w:rStyle w:val="a9"/>
            <w:rFonts w:ascii="Times New Roman" w:hAnsi="Times New Roman" w:hint="eastAsia"/>
            <w:noProof/>
            <w:sz w:val="28"/>
            <w:szCs w:val="28"/>
          </w:rPr>
          <w:t xml:space="preserve"> </w:t>
        </w:r>
        <w:r w:rsidR="00DF4EBF" w:rsidRPr="00980BC4">
          <w:rPr>
            <w:rStyle w:val="a9"/>
            <w:rFonts w:ascii="Times New Roman" w:hAnsi="Times New Roman" w:hint="eastAsia"/>
            <w:noProof/>
            <w:sz w:val="28"/>
            <w:szCs w:val="28"/>
          </w:rPr>
          <w:t>环境和社会责任</w:t>
        </w:r>
        <w:r w:rsidR="00DF4EBF" w:rsidRPr="00980BC4">
          <w:rPr>
            <w:rStyle w:val="a9"/>
            <w:rFonts w:ascii="Times New Roman" w:eastAsia="宋体" w:hAnsi="Times New Roman"/>
            <w:noProof/>
            <w:webHidden/>
            <w:sz w:val="28"/>
            <w:szCs w:val="28"/>
          </w:rPr>
          <w:tab/>
        </w:r>
        <w:r w:rsidRPr="00980BC4">
          <w:rPr>
            <w:rStyle w:val="a9"/>
            <w:rFonts w:ascii="Times New Roman" w:eastAsia="宋体" w:hAnsi="Times New Roman"/>
            <w:noProof/>
            <w:webHidden/>
            <w:sz w:val="28"/>
            <w:szCs w:val="28"/>
          </w:rPr>
          <w:fldChar w:fldCharType="begin"/>
        </w:r>
        <w:r w:rsidR="00DF4EBF" w:rsidRPr="00980BC4">
          <w:rPr>
            <w:rStyle w:val="a9"/>
            <w:rFonts w:ascii="Times New Roman" w:eastAsia="宋体" w:hAnsi="Times New Roman"/>
            <w:noProof/>
            <w:webHidden/>
            <w:sz w:val="28"/>
            <w:szCs w:val="28"/>
          </w:rPr>
          <w:instrText xml:space="preserve"> PAGEREF _Toc988976 \h </w:instrText>
        </w:r>
        <w:r w:rsidRPr="00980BC4">
          <w:rPr>
            <w:rStyle w:val="a9"/>
            <w:rFonts w:ascii="Times New Roman" w:eastAsia="宋体" w:hAnsi="Times New Roman"/>
            <w:noProof/>
            <w:webHidden/>
            <w:sz w:val="28"/>
            <w:szCs w:val="28"/>
          </w:rPr>
        </w:r>
        <w:r w:rsidRPr="00980BC4">
          <w:rPr>
            <w:rStyle w:val="a9"/>
            <w:rFonts w:ascii="Times New Roman" w:eastAsia="宋体" w:hAnsi="Times New Roman"/>
            <w:noProof/>
            <w:webHidden/>
            <w:sz w:val="28"/>
            <w:szCs w:val="28"/>
          </w:rPr>
          <w:fldChar w:fldCharType="separate"/>
        </w:r>
        <w:r w:rsidR="00397F42">
          <w:rPr>
            <w:rStyle w:val="a9"/>
            <w:rFonts w:ascii="Times New Roman" w:eastAsia="宋体" w:hAnsi="Times New Roman"/>
            <w:noProof/>
            <w:webHidden/>
            <w:sz w:val="28"/>
            <w:szCs w:val="28"/>
          </w:rPr>
          <w:t>58</w:t>
        </w:r>
        <w:r w:rsidRPr="00980BC4">
          <w:rPr>
            <w:rStyle w:val="a9"/>
            <w:rFonts w:ascii="Times New Roman" w:eastAsia="宋体" w:hAnsi="Times New Roman"/>
            <w:noProof/>
            <w:webHidden/>
            <w:sz w:val="28"/>
            <w:szCs w:val="28"/>
          </w:rPr>
          <w:fldChar w:fldCharType="end"/>
        </w:r>
      </w:hyperlink>
    </w:p>
    <w:p w:rsidR="002A3304" w:rsidRPr="00980BC4" w:rsidRDefault="00A42485" w:rsidP="00F645A8">
      <w:pPr>
        <w:pStyle w:val="1"/>
        <w:tabs>
          <w:tab w:val="right" w:leader="dot" w:pos="9628"/>
        </w:tabs>
        <w:spacing w:before="40" w:after="40"/>
        <w:jc w:val="both"/>
        <w:rPr>
          <w:rStyle w:val="a9"/>
          <w:rFonts w:ascii="Times New Roman" w:eastAsia="宋体" w:hAnsi="Times New Roman"/>
          <w:noProof/>
          <w:sz w:val="28"/>
          <w:szCs w:val="28"/>
        </w:rPr>
      </w:pPr>
      <w:hyperlink w:anchor="_Toc988980" w:history="1">
        <w:r w:rsidR="00DF4EBF" w:rsidRPr="00980BC4">
          <w:rPr>
            <w:rStyle w:val="a9"/>
            <w:rFonts w:ascii="Times New Roman" w:hAnsi="Times New Roman" w:hint="eastAsia"/>
            <w:noProof/>
            <w:sz w:val="28"/>
            <w:szCs w:val="28"/>
          </w:rPr>
          <w:t>第六节</w:t>
        </w:r>
        <w:r w:rsidR="00DF4EBF" w:rsidRPr="00980BC4">
          <w:rPr>
            <w:rStyle w:val="a9"/>
            <w:rFonts w:ascii="Times New Roman" w:hAnsi="Times New Roman" w:hint="eastAsia"/>
            <w:noProof/>
            <w:sz w:val="28"/>
            <w:szCs w:val="28"/>
          </w:rPr>
          <w:t xml:space="preserve"> </w:t>
        </w:r>
        <w:r w:rsidR="00DF4EBF" w:rsidRPr="00980BC4">
          <w:rPr>
            <w:rStyle w:val="a9"/>
            <w:rFonts w:ascii="Times New Roman" w:hAnsi="Times New Roman" w:hint="eastAsia"/>
            <w:noProof/>
            <w:sz w:val="28"/>
            <w:szCs w:val="28"/>
          </w:rPr>
          <w:t>重要事项</w:t>
        </w:r>
        <w:r w:rsidR="00DF4EBF" w:rsidRPr="00980BC4">
          <w:rPr>
            <w:rStyle w:val="a9"/>
            <w:rFonts w:ascii="Times New Roman" w:eastAsia="宋体" w:hAnsi="Times New Roman"/>
            <w:noProof/>
            <w:webHidden/>
            <w:sz w:val="28"/>
            <w:szCs w:val="28"/>
          </w:rPr>
          <w:tab/>
        </w:r>
        <w:r w:rsidRPr="00980BC4">
          <w:rPr>
            <w:rStyle w:val="a9"/>
            <w:rFonts w:ascii="Times New Roman" w:eastAsia="宋体" w:hAnsi="Times New Roman"/>
            <w:noProof/>
            <w:webHidden/>
            <w:sz w:val="28"/>
            <w:szCs w:val="28"/>
          </w:rPr>
          <w:fldChar w:fldCharType="begin"/>
        </w:r>
        <w:r w:rsidR="00DF4EBF" w:rsidRPr="00980BC4">
          <w:rPr>
            <w:rStyle w:val="a9"/>
            <w:rFonts w:ascii="Times New Roman" w:eastAsia="宋体" w:hAnsi="Times New Roman"/>
            <w:noProof/>
            <w:webHidden/>
            <w:sz w:val="28"/>
            <w:szCs w:val="28"/>
          </w:rPr>
          <w:instrText xml:space="preserve"> PAGEREF _Toc988980 \h </w:instrText>
        </w:r>
        <w:r w:rsidRPr="00980BC4">
          <w:rPr>
            <w:rStyle w:val="a9"/>
            <w:rFonts w:ascii="Times New Roman" w:eastAsia="宋体" w:hAnsi="Times New Roman"/>
            <w:noProof/>
            <w:webHidden/>
            <w:sz w:val="28"/>
            <w:szCs w:val="28"/>
          </w:rPr>
        </w:r>
        <w:r w:rsidRPr="00980BC4">
          <w:rPr>
            <w:rStyle w:val="a9"/>
            <w:rFonts w:ascii="Times New Roman" w:eastAsia="宋体" w:hAnsi="Times New Roman"/>
            <w:noProof/>
            <w:webHidden/>
            <w:sz w:val="28"/>
            <w:szCs w:val="28"/>
          </w:rPr>
          <w:fldChar w:fldCharType="separate"/>
        </w:r>
        <w:r w:rsidR="00397F42">
          <w:rPr>
            <w:rStyle w:val="a9"/>
            <w:rFonts w:ascii="Times New Roman" w:eastAsia="宋体" w:hAnsi="Times New Roman"/>
            <w:noProof/>
            <w:webHidden/>
            <w:sz w:val="28"/>
            <w:szCs w:val="28"/>
          </w:rPr>
          <w:t>61</w:t>
        </w:r>
        <w:r w:rsidRPr="00980BC4">
          <w:rPr>
            <w:rStyle w:val="a9"/>
            <w:rFonts w:ascii="Times New Roman" w:eastAsia="宋体" w:hAnsi="Times New Roman"/>
            <w:noProof/>
            <w:webHidden/>
            <w:sz w:val="28"/>
            <w:szCs w:val="28"/>
          </w:rPr>
          <w:fldChar w:fldCharType="end"/>
        </w:r>
      </w:hyperlink>
    </w:p>
    <w:p w:rsidR="002A3304" w:rsidRPr="00980BC4" w:rsidRDefault="00A42485" w:rsidP="00F645A8">
      <w:pPr>
        <w:pStyle w:val="1"/>
        <w:tabs>
          <w:tab w:val="right" w:leader="dot" w:pos="9628"/>
        </w:tabs>
        <w:spacing w:before="40" w:after="40"/>
        <w:jc w:val="both"/>
        <w:rPr>
          <w:rStyle w:val="a9"/>
          <w:rFonts w:ascii="Times New Roman" w:eastAsia="宋体" w:hAnsi="Times New Roman"/>
          <w:noProof/>
          <w:sz w:val="28"/>
          <w:szCs w:val="28"/>
        </w:rPr>
      </w:pPr>
      <w:hyperlink w:anchor="_Toc989016" w:history="1">
        <w:r w:rsidR="00DF4EBF" w:rsidRPr="00980BC4">
          <w:rPr>
            <w:rStyle w:val="a9"/>
            <w:rFonts w:ascii="Times New Roman" w:hAnsi="Times New Roman" w:hint="eastAsia"/>
            <w:noProof/>
            <w:sz w:val="28"/>
            <w:szCs w:val="28"/>
          </w:rPr>
          <w:t>第七节</w:t>
        </w:r>
        <w:r w:rsidR="00DF4EBF" w:rsidRPr="00980BC4">
          <w:rPr>
            <w:rStyle w:val="a9"/>
            <w:rFonts w:ascii="Times New Roman" w:hAnsi="Times New Roman" w:hint="eastAsia"/>
            <w:noProof/>
            <w:sz w:val="28"/>
            <w:szCs w:val="28"/>
          </w:rPr>
          <w:t xml:space="preserve"> </w:t>
        </w:r>
        <w:r w:rsidR="00DF4EBF" w:rsidRPr="00980BC4">
          <w:rPr>
            <w:rStyle w:val="a9"/>
            <w:rFonts w:ascii="Times New Roman" w:hAnsi="Times New Roman" w:hint="eastAsia"/>
            <w:noProof/>
            <w:sz w:val="28"/>
            <w:szCs w:val="28"/>
          </w:rPr>
          <w:t>股份变动及股东情况</w:t>
        </w:r>
        <w:r w:rsidR="00DF4EBF" w:rsidRPr="00980BC4">
          <w:rPr>
            <w:rStyle w:val="a9"/>
            <w:rFonts w:ascii="Times New Roman" w:eastAsia="宋体" w:hAnsi="Times New Roman"/>
            <w:noProof/>
            <w:webHidden/>
            <w:sz w:val="28"/>
            <w:szCs w:val="28"/>
          </w:rPr>
          <w:tab/>
        </w:r>
        <w:r w:rsidRPr="00980BC4">
          <w:rPr>
            <w:rStyle w:val="a9"/>
            <w:rFonts w:ascii="Times New Roman" w:eastAsia="宋体" w:hAnsi="Times New Roman"/>
            <w:noProof/>
            <w:webHidden/>
            <w:sz w:val="28"/>
            <w:szCs w:val="28"/>
          </w:rPr>
          <w:fldChar w:fldCharType="begin"/>
        </w:r>
        <w:r w:rsidR="00DF4EBF" w:rsidRPr="00980BC4">
          <w:rPr>
            <w:rStyle w:val="a9"/>
            <w:rFonts w:ascii="Times New Roman" w:eastAsia="宋体" w:hAnsi="Times New Roman"/>
            <w:noProof/>
            <w:webHidden/>
            <w:sz w:val="28"/>
            <w:szCs w:val="28"/>
          </w:rPr>
          <w:instrText xml:space="preserve"> PAGEREF _Toc989016 \h </w:instrText>
        </w:r>
        <w:r w:rsidRPr="00980BC4">
          <w:rPr>
            <w:rStyle w:val="a9"/>
            <w:rFonts w:ascii="Times New Roman" w:eastAsia="宋体" w:hAnsi="Times New Roman"/>
            <w:noProof/>
            <w:webHidden/>
            <w:sz w:val="28"/>
            <w:szCs w:val="28"/>
          </w:rPr>
        </w:r>
        <w:r w:rsidRPr="00980BC4">
          <w:rPr>
            <w:rStyle w:val="a9"/>
            <w:rFonts w:ascii="Times New Roman" w:eastAsia="宋体" w:hAnsi="Times New Roman"/>
            <w:noProof/>
            <w:webHidden/>
            <w:sz w:val="28"/>
            <w:szCs w:val="28"/>
          </w:rPr>
          <w:fldChar w:fldCharType="separate"/>
        </w:r>
        <w:r w:rsidR="00397F42">
          <w:rPr>
            <w:rStyle w:val="a9"/>
            <w:rFonts w:ascii="Times New Roman" w:eastAsia="宋体" w:hAnsi="Times New Roman"/>
            <w:noProof/>
            <w:webHidden/>
            <w:sz w:val="28"/>
            <w:szCs w:val="28"/>
          </w:rPr>
          <w:t>77</w:t>
        </w:r>
        <w:r w:rsidRPr="00980BC4">
          <w:rPr>
            <w:rStyle w:val="a9"/>
            <w:rFonts w:ascii="Times New Roman" w:eastAsia="宋体" w:hAnsi="Times New Roman"/>
            <w:noProof/>
            <w:webHidden/>
            <w:sz w:val="28"/>
            <w:szCs w:val="28"/>
          </w:rPr>
          <w:fldChar w:fldCharType="end"/>
        </w:r>
      </w:hyperlink>
      <w:r w:rsidR="003F4527" w:rsidRPr="00980BC4">
        <w:rPr>
          <w:rStyle w:val="a9"/>
          <w:rFonts w:ascii="Times New Roman" w:eastAsia="宋体" w:hAnsi="Times New Roman" w:hint="eastAsia"/>
          <w:noProof/>
          <w:sz w:val="28"/>
          <w:szCs w:val="28"/>
        </w:rPr>
        <w:tab/>
      </w:r>
    </w:p>
    <w:p w:rsidR="002A3304" w:rsidRPr="00980BC4" w:rsidRDefault="00A42485" w:rsidP="00F645A8">
      <w:pPr>
        <w:pStyle w:val="1"/>
        <w:tabs>
          <w:tab w:val="right" w:leader="dot" w:pos="9628"/>
        </w:tabs>
        <w:spacing w:before="40" w:after="40"/>
        <w:jc w:val="both"/>
        <w:rPr>
          <w:rStyle w:val="a9"/>
          <w:rFonts w:ascii="Times New Roman" w:eastAsia="宋体" w:hAnsi="Times New Roman"/>
          <w:noProof/>
          <w:sz w:val="28"/>
          <w:szCs w:val="28"/>
        </w:rPr>
      </w:pPr>
      <w:hyperlink w:anchor="_Toc989032" w:history="1">
        <w:r w:rsidR="00DF4EBF" w:rsidRPr="00980BC4">
          <w:rPr>
            <w:rStyle w:val="a9"/>
            <w:rFonts w:ascii="Times New Roman" w:hAnsi="Times New Roman" w:hint="eastAsia"/>
            <w:noProof/>
            <w:sz w:val="28"/>
            <w:szCs w:val="28"/>
          </w:rPr>
          <w:t>第八节</w:t>
        </w:r>
        <w:r w:rsidR="00DF4EBF" w:rsidRPr="00980BC4">
          <w:rPr>
            <w:rStyle w:val="a9"/>
            <w:rFonts w:ascii="Times New Roman" w:hAnsi="Times New Roman" w:hint="eastAsia"/>
            <w:noProof/>
            <w:sz w:val="28"/>
            <w:szCs w:val="28"/>
          </w:rPr>
          <w:t xml:space="preserve"> </w:t>
        </w:r>
        <w:r w:rsidR="00DF4EBF" w:rsidRPr="00980BC4">
          <w:rPr>
            <w:rStyle w:val="a9"/>
            <w:rFonts w:ascii="Times New Roman" w:hAnsi="Times New Roman" w:hint="eastAsia"/>
            <w:noProof/>
            <w:sz w:val="28"/>
            <w:szCs w:val="28"/>
          </w:rPr>
          <w:t>优先股相关情况</w:t>
        </w:r>
        <w:r w:rsidR="00DF4EBF" w:rsidRPr="00980BC4">
          <w:rPr>
            <w:rStyle w:val="a9"/>
            <w:rFonts w:ascii="Times New Roman" w:eastAsia="宋体" w:hAnsi="Times New Roman"/>
            <w:noProof/>
            <w:webHidden/>
            <w:sz w:val="28"/>
            <w:szCs w:val="28"/>
          </w:rPr>
          <w:tab/>
        </w:r>
        <w:r w:rsidRPr="00980BC4">
          <w:rPr>
            <w:rStyle w:val="a9"/>
            <w:rFonts w:ascii="Times New Roman" w:eastAsia="宋体" w:hAnsi="Times New Roman"/>
            <w:noProof/>
            <w:webHidden/>
            <w:sz w:val="28"/>
            <w:szCs w:val="28"/>
          </w:rPr>
          <w:fldChar w:fldCharType="begin"/>
        </w:r>
        <w:r w:rsidR="00DF4EBF" w:rsidRPr="00980BC4">
          <w:rPr>
            <w:rStyle w:val="a9"/>
            <w:rFonts w:ascii="Times New Roman" w:eastAsia="宋体" w:hAnsi="Times New Roman"/>
            <w:noProof/>
            <w:webHidden/>
            <w:sz w:val="28"/>
            <w:szCs w:val="28"/>
          </w:rPr>
          <w:instrText xml:space="preserve"> PAGEREF _Toc989032 \h </w:instrText>
        </w:r>
        <w:r w:rsidRPr="00980BC4">
          <w:rPr>
            <w:rStyle w:val="a9"/>
            <w:rFonts w:ascii="Times New Roman" w:eastAsia="宋体" w:hAnsi="Times New Roman"/>
            <w:noProof/>
            <w:webHidden/>
            <w:sz w:val="28"/>
            <w:szCs w:val="28"/>
          </w:rPr>
        </w:r>
        <w:r w:rsidRPr="00980BC4">
          <w:rPr>
            <w:rStyle w:val="a9"/>
            <w:rFonts w:ascii="Times New Roman" w:eastAsia="宋体" w:hAnsi="Times New Roman"/>
            <w:noProof/>
            <w:webHidden/>
            <w:sz w:val="28"/>
            <w:szCs w:val="28"/>
          </w:rPr>
          <w:fldChar w:fldCharType="separate"/>
        </w:r>
        <w:r w:rsidR="00397F42">
          <w:rPr>
            <w:rStyle w:val="a9"/>
            <w:rFonts w:ascii="Times New Roman" w:eastAsia="宋体" w:hAnsi="Times New Roman"/>
            <w:noProof/>
            <w:webHidden/>
            <w:sz w:val="28"/>
            <w:szCs w:val="28"/>
          </w:rPr>
          <w:t>84</w:t>
        </w:r>
        <w:r w:rsidRPr="00980BC4">
          <w:rPr>
            <w:rStyle w:val="a9"/>
            <w:rFonts w:ascii="Times New Roman" w:eastAsia="宋体" w:hAnsi="Times New Roman"/>
            <w:noProof/>
            <w:webHidden/>
            <w:sz w:val="28"/>
            <w:szCs w:val="28"/>
          </w:rPr>
          <w:fldChar w:fldCharType="end"/>
        </w:r>
      </w:hyperlink>
    </w:p>
    <w:p w:rsidR="002A3304" w:rsidRPr="00980BC4" w:rsidRDefault="00A42485" w:rsidP="00F645A8">
      <w:pPr>
        <w:pStyle w:val="1"/>
        <w:tabs>
          <w:tab w:val="right" w:leader="dot" w:pos="9628"/>
        </w:tabs>
        <w:spacing w:before="40" w:after="40"/>
        <w:jc w:val="both"/>
        <w:rPr>
          <w:rStyle w:val="a9"/>
          <w:rFonts w:ascii="Times New Roman" w:eastAsia="宋体" w:hAnsi="Times New Roman"/>
          <w:noProof/>
          <w:sz w:val="28"/>
          <w:szCs w:val="28"/>
        </w:rPr>
      </w:pPr>
      <w:hyperlink w:anchor="_Toc989033" w:history="1">
        <w:r w:rsidR="00DF4EBF" w:rsidRPr="00980BC4">
          <w:rPr>
            <w:rStyle w:val="a9"/>
            <w:rFonts w:ascii="Times New Roman" w:hAnsi="Times New Roman" w:hint="eastAsia"/>
            <w:noProof/>
            <w:sz w:val="28"/>
            <w:szCs w:val="28"/>
          </w:rPr>
          <w:t>第九节</w:t>
        </w:r>
        <w:r w:rsidR="00DF4EBF" w:rsidRPr="00980BC4">
          <w:rPr>
            <w:rStyle w:val="a9"/>
            <w:rFonts w:ascii="Times New Roman" w:hAnsi="Times New Roman" w:hint="eastAsia"/>
            <w:noProof/>
            <w:sz w:val="28"/>
            <w:szCs w:val="28"/>
          </w:rPr>
          <w:t xml:space="preserve"> </w:t>
        </w:r>
        <w:r w:rsidR="00DF4EBF" w:rsidRPr="00980BC4">
          <w:rPr>
            <w:rStyle w:val="a9"/>
            <w:rFonts w:ascii="Times New Roman" w:hAnsi="Times New Roman" w:hint="eastAsia"/>
            <w:noProof/>
            <w:sz w:val="28"/>
            <w:szCs w:val="28"/>
          </w:rPr>
          <w:t>债券相关情况</w:t>
        </w:r>
        <w:r w:rsidR="00DF4EBF" w:rsidRPr="00980BC4">
          <w:rPr>
            <w:rStyle w:val="a9"/>
            <w:rFonts w:ascii="Times New Roman" w:eastAsia="宋体" w:hAnsi="Times New Roman"/>
            <w:noProof/>
            <w:webHidden/>
            <w:sz w:val="28"/>
            <w:szCs w:val="28"/>
          </w:rPr>
          <w:tab/>
        </w:r>
        <w:r w:rsidRPr="00980BC4">
          <w:rPr>
            <w:rStyle w:val="a9"/>
            <w:rFonts w:ascii="Times New Roman" w:eastAsia="宋体" w:hAnsi="Times New Roman"/>
            <w:noProof/>
            <w:webHidden/>
            <w:sz w:val="28"/>
            <w:szCs w:val="28"/>
          </w:rPr>
          <w:fldChar w:fldCharType="begin"/>
        </w:r>
        <w:r w:rsidR="00DF4EBF" w:rsidRPr="00980BC4">
          <w:rPr>
            <w:rStyle w:val="a9"/>
            <w:rFonts w:ascii="Times New Roman" w:eastAsia="宋体" w:hAnsi="Times New Roman"/>
            <w:noProof/>
            <w:webHidden/>
            <w:sz w:val="28"/>
            <w:szCs w:val="28"/>
          </w:rPr>
          <w:instrText xml:space="preserve"> PAGEREF _Toc989033 \h </w:instrText>
        </w:r>
        <w:r w:rsidRPr="00980BC4">
          <w:rPr>
            <w:rStyle w:val="a9"/>
            <w:rFonts w:ascii="Times New Roman" w:eastAsia="宋体" w:hAnsi="Times New Roman"/>
            <w:noProof/>
            <w:webHidden/>
            <w:sz w:val="28"/>
            <w:szCs w:val="28"/>
          </w:rPr>
        </w:r>
        <w:r w:rsidRPr="00980BC4">
          <w:rPr>
            <w:rStyle w:val="a9"/>
            <w:rFonts w:ascii="Times New Roman" w:eastAsia="宋体" w:hAnsi="Times New Roman"/>
            <w:noProof/>
            <w:webHidden/>
            <w:sz w:val="28"/>
            <w:szCs w:val="28"/>
          </w:rPr>
          <w:fldChar w:fldCharType="separate"/>
        </w:r>
        <w:r w:rsidR="00397F42">
          <w:rPr>
            <w:rStyle w:val="a9"/>
            <w:rFonts w:ascii="Times New Roman" w:eastAsia="宋体" w:hAnsi="Times New Roman"/>
            <w:noProof/>
            <w:webHidden/>
            <w:sz w:val="28"/>
            <w:szCs w:val="28"/>
          </w:rPr>
          <w:t>85</w:t>
        </w:r>
        <w:r w:rsidRPr="00980BC4">
          <w:rPr>
            <w:rStyle w:val="a9"/>
            <w:rFonts w:ascii="Times New Roman" w:eastAsia="宋体" w:hAnsi="Times New Roman"/>
            <w:noProof/>
            <w:webHidden/>
            <w:sz w:val="28"/>
            <w:szCs w:val="28"/>
          </w:rPr>
          <w:fldChar w:fldCharType="end"/>
        </w:r>
      </w:hyperlink>
    </w:p>
    <w:p w:rsidR="002A3304" w:rsidRPr="00980BC4" w:rsidRDefault="00A42485" w:rsidP="00F645A8">
      <w:pPr>
        <w:pStyle w:val="1"/>
        <w:tabs>
          <w:tab w:val="right" w:leader="dot" w:pos="9628"/>
        </w:tabs>
        <w:spacing w:before="40" w:after="40"/>
        <w:jc w:val="both"/>
        <w:rPr>
          <w:rStyle w:val="a9"/>
          <w:rFonts w:ascii="Times New Roman" w:eastAsia="宋体" w:hAnsi="Times New Roman"/>
          <w:sz w:val="28"/>
          <w:szCs w:val="28"/>
        </w:rPr>
      </w:pPr>
      <w:hyperlink w:anchor="_Toc989034" w:history="1">
        <w:r w:rsidR="00DF4EBF" w:rsidRPr="00980BC4">
          <w:rPr>
            <w:rStyle w:val="a9"/>
            <w:rFonts w:ascii="Times New Roman" w:hAnsi="Times New Roman" w:hint="eastAsia"/>
            <w:noProof/>
            <w:sz w:val="28"/>
            <w:szCs w:val="28"/>
          </w:rPr>
          <w:t>第十节</w:t>
        </w:r>
        <w:r w:rsidR="00DF4EBF" w:rsidRPr="00980BC4">
          <w:rPr>
            <w:rStyle w:val="a9"/>
            <w:rFonts w:ascii="Times New Roman" w:hAnsi="Times New Roman" w:hint="eastAsia"/>
            <w:noProof/>
            <w:sz w:val="28"/>
            <w:szCs w:val="28"/>
          </w:rPr>
          <w:t xml:space="preserve"> </w:t>
        </w:r>
        <w:r w:rsidR="00DF4EBF" w:rsidRPr="00980BC4">
          <w:rPr>
            <w:rStyle w:val="a9"/>
            <w:rFonts w:ascii="Times New Roman" w:hAnsi="Times New Roman" w:hint="eastAsia"/>
            <w:noProof/>
            <w:sz w:val="28"/>
            <w:szCs w:val="28"/>
          </w:rPr>
          <w:t>财务报告</w:t>
        </w:r>
        <w:r w:rsidR="00DF4EBF" w:rsidRPr="00980BC4">
          <w:rPr>
            <w:rStyle w:val="a9"/>
            <w:rFonts w:ascii="Times New Roman" w:eastAsia="宋体" w:hAnsi="Times New Roman"/>
            <w:noProof/>
            <w:webHidden/>
            <w:sz w:val="28"/>
            <w:szCs w:val="28"/>
          </w:rPr>
          <w:tab/>
        </w:r>
        <w:r w:rsidRPr="00980BC4">
          <w:rPr>
            <w:rStyle w:val="a9"/>
            <w:rFonts w:ascii="Times New Roman" w:eastAsia="宋体" w:hAnsi="Times New Roman"/>
            <w:noProof/>
            <w:webHidden/>
            <w:sz w:val="28"/>
            <w:szCs w:val="28"/>
          </w:rPr>
          <w:fldChar w:fldCharType="begin"/>
        </w:r>
        <w:r w:rsidR="00DF4EBF" w:rsidRPr="00980BC4">
          <w:rPr>
            <w:rStyle w:val="a9"/>
            <w:rFonts w:ascii="Times New Roman" w:eastAsia="宋体" w:hAnsi="Times New Roman"/>
            <w:noProof/>
            <w:webHidden/>
            <w:sz w:val="28"/>
            <w:szCs w:val="28"/>
          </w:rPr>
          <w:instrText xml:space="preserve"> PAGEREF _Toc989034 \h </w:instrText>
        </w:r>
        <w:r w:rsidRPr="00980BC4">
          <w:rPr>
            <w:rStyle w:val="a9"/>
            <w:rFonts w:ascii="Times New Roman" w:eastAsia="宋体" w:hAnsi="Times New Roman"/>
            <w:noProof/>
            <w:webHidden/>
            <w:sz w:val="28"/>
            <w:szCs w:val="28"/>
          </w:rPr>
        </w:r>
        <w:r w:rsidRPr="00980BC4">
          <w:rPr>
            <w:rStyle w:val="a9"/>
            <w:rFonts w:ascii="Times New Roman" w:eastAsia="宋体" w:hAnsi="Times New Roman"/>
            <w:noProof/>
            <w:webHidden/>
            <w:sz w:val="28"/>
            <w:szCs w:val="28"/>
          </w:rPr>
          <w:fldChar w:fldCharType="separate"/>
        </w:r>
        <w:r w:rsidR="00397F42">
          <w:rPr>
            <w:rStyle w:val="a9"/>
            <w:rFonts w:ascii="Times New Roman" w:eastAsia="宋体" w:hAnsi="Times New Roman"/>
            <w:noProof/>
            <w:webHidden/>
            <w:sz w:val="28"/>
            <w:szCs w:val="28"/>
          </w:rPr>
          <w:t>86</w:t>
        </w:r>
        <w:r w:rsidRPr="00980BC4">
          <w:rPr>
            <w:rStyle w:val="a9"/>
            <w:rFonts w:ascii="Times New Roman" w:eastAsia="宋体" w:hAnsi="Times New Roman"/>
            <w:noProof/>
            <w:webHidden/>
            <w:sz w:val="28"/>
            <w:szCs w:val="28"/>
          </w:rPr>
          <w:fldChar w:fldCharType="end"/>
        </w:r>
      </w:hyperlink>
      <w:r w:rsidRPr="00980BC4">
        <w:rPr>
          <w:rStyle w:val="a9"/>
          <w:rFonts w:ascii="Times New Roman" w:eastAsia="宋体" w:hAnsi="Times New Roman"/>
          <w:noProof/>
          <w:sz w:val="28"/>
          <w:szCs w:val="28"/>
        </w:rPr>
        <w:fldChar w:fldCharType="end"/>
      </w:r>
    </w:p>
    <w:p w:rsidR="002A3304" w:rsidRPr="00980BC4" w:rsidRDefault="00DF4EBF" w:rsidP="00F645A8">
      <w:pPr>
        <w:pStyle w:val="1"/>
        <w:tabs>
          <w:tab w:val="right" w:leader="dot" w:pos="9628"/>
        </w:tabs>
        <w:spacing w:before="40" w:after="40"/>
        <w:jc w:val="both"/>
        <w:rPr>
          <w:rStyle w:val="a9"/>
          <w:rFonts w:ascii="Times New Roman" w:eastAsia="宋体" w:hAnsi="Times New Roman"/>
          <w:noProof/>
          <w:sz w:val="28"/>
          <w:szCs w:val="28"/>
        </w:rPr>
      </w:pPr>
      <w:r w:rsidRPr="00980BC4">
        <w:rPr>
          <w:rStyle w:val="a9"/>
          <w:rFonts w:ascii="Times New Roman" w:eastAsia="宋体" w:hAnsi="Times New Roman"/>
          <w:noProof/>
          <w:sz w:val="28"/>
          <w:szCs w:val="28"/>
        </w:rPr>
        <w:br w:type="page"/>
      </w:r>
    </w:p>
    <w:p w:rsidR="002A3304" w:rsidRPr="00980BC4" w:rsidRDefault="00DF4EBF">
      <w:pPr>
        <w:spacing w:line="640" w:lineRule="exact"/>
        <w:jc w:val="center"/>
        <w:rPr>
          <w:rFonts w:ascii="宋体" w:eastAsia="宋体" w:hAnsi="宋体" w:cs="宋体"/>
          <w:b/>
          <w:bCs/>
          <w:sz w:val="32"/>
          <w:szCs w:val="32"/>
        </w:rPr>
      </w:pPr>
      <w:r w:rsidRPr="00980BC4">
        <w:rPr>
          <w:rFonts w:ascii="宋体" w:eastAsia="宋体" w:hAnsi="宋体" w:cs="宋体"/>
          <w:b/>
          <w:bCs/>
          <w:sz w:val="32"/>
          <w:szCs w:val="32"/>
        </w:rPr>
        <w:lastRenderedPageBreak/>
        <w:t>备查文件目录</w:t>
      </w:r>
    </w:p>
    <w:p w:rsidR="003F4527" w:rsidRPr="00980BC4" w:rsidRDefault="003F4527">
      <w:pPr>
        <w:spacing w:line="640" w:lineRule="exact"/>
        <w:jc w:val="center"/>
        <w:rPr>
          <w:rFonts w:ascii="宋体" w:eastAsia="宋体" w:hAnsi="宋体" w:cs="宋体"/>
          <w:b/>
          <w:bCs/>
          <w:sz w:val="32"/>
          <w:szCs w:val="32"/>
        </w:rPr>
      </w:pPr>
    </w:p>
    <w:p w:rsidR="002A3304" w:rsidRPr="00980BC4" w:rsidRDefault="002A3304" w:rsidP="003F4527">
      <w:pPr>
        <w:spacing w:line="560" w:lineRule="exact"/>
        <w:ind w:firstLineChars="200" w:firstLine="560"/>
        <w:divId w:val="1230844848"/>
        <w:rPr>
          <w:rFonts w:ascii="仿宋" w:eastAsia="仿宋" w:hAnsi="仿宋" w:cs="Times New Roman"/>
          <w:sz w:val="28"/>
          <w:szCs w:val="28"/>
        </w:rPr>
      </w:pPr>
      <w:r w:rsidRPr="00980BC4">
        <w:rPr>
          <w:rFonts w:ascii="仿宋" w:eastAsia="仿宋" w:hAnsi="仿宋" w:cs="Times New Roman" w:hint="eastAsia"/>
          <w:sz w:val="28"/>
          <w:szCs w:val="28"/>
        </w:rPr>
        <w:t>在本公司证券事务部备有下列文件供股东查询：</w:t>
      </w:r>
    </w:p>
    <w:p w:rsidR="002A3304" w:rsidRPr="00980BC4" w:rsidRDefault="002A3304" w:rsidP="003F4527">
      <w:pPr>
        <w:spacing w:line="560" w:lineRule="exact"/>
        <w:ind w:firstLineChars="200" w:firstLine="560"/>
        <w:divId w:val="1230844848"/>
        <w:rPr>
          <w:rFonts w:ascii="仿宋" w:eastAsia="仿宋" w:hAnsi="仿宋" w:cs="Times New Roman"/>
          <w:sz w:val="28"/>
          <w:szCs w:val="28"/>
        </w:rPr>
      </w:pPr>
      <w:r w:rsidRPr="00980BC4">
        <w:rPr>
          <w:rFonts w:ascii="仿宋" w:eastAsia="仿宋" w:hAnsi="仿宋" w:cs="Times New Roman" w:hint="eastAsia"/>
          <w:sz w:val="28"/>
          <w:szCs w:val="28"/>
        </w:rPr>
        <w:t>（一）载有公司负责人、主管会计工作负责人、会计机构负责人签名并盖章的财务报表；</w:t>
      </w:r>
    </w:p>
    <w:p w:rsidR="002A3304" w:rsidRPr="00980BC4" w:rsidRDefault="002A3304" w:rsidP="003F4527">
      <w:pPr>
        <w:spacing w:line="560" w:lineRule="exact"/>
        <w:ind w:firstLineChars="200" w:firstLine="560"/>
        <w:divId w:val="1230844848"/>
        <w:rPr>
          <w:rFonts w:ascii="仿宋" w:eastAsia="仿宋" w:hAnsi="仿宋" w:cs="Times New Roman"/>
          <w:sz w:val="28"/>
          <w:szCs w:val="28"/>
        </w:rPr>
      </w:pPr>
      <w:r w:rsidRPr="00980BC4">
        <w:rPr>
          <w:rFonts w:ascii="仿宋" w:eastAsia="仿宋" w:hAnsi="仿宋" w:cs="Times New Roman" w:hint="eastAsia"/>
          <w:sz w:val="28"/>
          <w:szCs w:val="28"/>
        </w:rPr>
        <w:t>（二）载有广东司农会计师事务所（特殊普通合伙）盖章、注册会计师签名并盖章的审计报告原件；</w:t>
      </w:r>
    </w:p>
    <w:p w:rsidR="002A3304" w:rsidRPr="00980BC4" w:rsidRDefault="002A3304" w:rsidP="003F4527">
      <w:pPr>
        <w:spacing w:line="560" w:lineRule="exact"/>
        <w:ind w:firstLineChars="200" w:firstLine="560"/>
        <w:divId w:val="1230844848"/>
        <w:rPr>
          <w:rFonts w:ascii="仿宋" w:eastAsia="仿宋" w:hAnsi="仿宋" w:cs="Times New Roman"/>
          <w:sz w:val="28"/>
          <w:szCs w:val="28"/>
        </w:rPr>
      </w:pPr>
      <w:r w:rsidRPr="00980BC4">
        <w:rPr>
          <w:rFonts w:ascii="仿宋" w:eastAsia="仿宋" w:hAnsi="仿宋" w:cs="Times New Roman" w:hint="eastAsia"/>
          <w:sz w:val="28"/>
          <w:szCs w:val="28"/>
        </w:rPr>
        <w:t>（三）报告期内在《中国证券报》、《证券时报》、《证券日报》、《上海证券报》及巨潮资讯网(http://www.cninfo.com.cn)公开披露过的所有公司文件的正本及公告的原稿。</w:t>
      </w:r>
    </w:p>
    <w:p w:rsidR="002A3304" w:rsidRPr="00980BC4" w:rsidRDefault="00DF4EBF" w:rsidP="003F4527">
      <w:pPr>
        <w:spacing w:line="560" w:lineRule="exact"/>
        <w:ind w:firstLineChars="200" w:firstLine="560"/>
        <w:rPr>
          <w:rFonts w:ascii="仿宋" w:eastAsia="仿宋" w:hAnsi="仿宋" w:cs="Times New Roman"/>
          <w:sz w:val="28"/>
          <w:szCs w:val="28"/>
        </w:rPr>
      </w:pPr>
      <w:r w:rsidRPr="00980BC4">
        <w:rPr>
          <w:rFonts w:ascii="仿宋" w:eastAsia="仿宋" w:hAnsi="仿宋" w:cs="Times New Roman"/>
          <w:sz w:val="28"/>
          <w:szCs w:val="28"/>
        </w:rPr>
        <w:br w:type="page"/>
      </w:r>
    </w:p>
    <w:p w:rsidR="002A3304" w:rsidRPr="00980BC4" w:rsidRDefault="00DF4EBF">
      <w:pPr>
        <w:spacing w:before="40" w:after="40" w:line="560" w:lineRule="exact"/>
        <w:jc w:val="center"/>
        <w:rPr>
          <w:rFonts w:ascii="宋体" w:eastAsia="宋体" w:hAnsi="宋体" w:cs="宋体"/>
          <w:b/>
          <w:bCs/>
          <w:sz w:val="32"/>
          <w:szCs w:val="32"/>
        </w:rPr>
      </w:pPr>
      <w:r w:rsidRPr="00980BC4">
        <w:rPr>
          <w:rFonts w:ascii="宋体" w:eastAsia="宋体" w:hAnsi="宋体" w:cs="宋体"/>
          <w:b/>
          <w:bCs/>
          <w:sz w:val="32"/>
          <w:szCs w:val="32"/>
        </w:rPr>
        <w:lastRenderedPageBreak/>
        <w:t>释</w:t>
      </w:r>
      <w:r w:rsidRPr="00980BC4">
        <w:rPr>
          <w:rFonts w:ascii="宋体" w:eastAsia="宋体" w:hAnsi="宋体" w:cs="宋体" w:hint="eastAsia"/>
          <w:b/>
          <w:bCs/>
          <w:sz w:val="32"/>
          <w:szCs w:val="32"/>
        </w:rPr>
        <w:t xml:space="preserve">  </w:t>
      </w:r>
      <w:r w:rsidRPr="00980BC4">
        <w:rPr>
          <w:rFonts w:ascii="宋体" w:eastAsia="宋体" w:hAnsi="宋体" w:cs="宋体"/>
          <w:b/>
          <w:bCs/>
          <w:sz w:val="32"/>
          <w:szCs w:val="32"/>
        </w:rPr>
        <w:t>义</w:t>
      </w:r>
    </w:p>
    <w:p w:rsidR="00DF4EBF" w:rsidRPr="00980BC4" w:rsidRDefault="00DF4EBF">
      <w:pPr>
        <w:spacing w:before="40" w:after="40" w:line="560" w:lineRule="exact"/>
        <w:jc w:val="center"/>
        <w:rPr>
          <w:rFonts w:ascii="宋体" w:eastAsia="宋体" w:hAnsi="宋体" w:cs="宋体"/>
          <w:b/>
          <w:bCs/>
          <w:sz w:val="32"/>
          <w:szCs w:val="32"/>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936"/>
        <w:gridCol w:w="992"/>
        <w:gridCol w:w="4711"/>
      </w:tblGrid>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释义项</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释义内容</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公司、本公司、上市公司</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广东甘化科工股份有限公司</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江门甘蔗化工厂（集团）股份有限公司</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公司原名</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控股股东、大股东</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德力西集团有限公司</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升华电源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公司全资子公司四川升华电源科技有限公司</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沈阳含能</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公司控股子公司沈阳含能金属材料制造有限公司</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沈阳非晶</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公司控股子公司沈阳非晶金属材料制造有限公司</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四川甘华、甘华电源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公司全资子公司四川甘华电源科技有限公司</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四川德芯源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四川德芯源电子科技有限公司</w:t>
            </w:r>
          </w:p>
        </w:tc>
      </w:tr>
      <w:tr w:rsidR="00A05CB7"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A05CB7" w:rsidRPr="00980BC4" w:rsidRDefault="00A05CB7" w:rsidP="00DF4EBF">
            <w:pPr>
              <w:spacing w:line="380" w:lineRule="exact"/>
              <w:rPr>
                <w:rFonts w:ascii="宋体" w:eastAsia="宋体" w:hAnsi="宋体" w:cs="宋体"/>
                <w:sz w:val="18"/>
                <w:szCs w:val="18"/>
              </w:rPr>
            </w:pPr>
            <w:r w:rsidRPr="00980BC4">
              <w:rPr>
                <w:rFonts w:ascii="宋体" w:eastAsia="宋体" w:hAnsi="宋体" w:cs="宋体" w:hint="eastAsia"/>
                <w:sz w:val="18"/>
                <w:szCs w:val="18"/>
              </w:rPr>
              <w:t>福建卓越</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A05CB7" w:rsidRPr="00980BC4" w:rsidRDefault="00A05CB7"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A05CB7" w:rsidRPr="00980BC4" w:rsidRDefault="00A05CB7" w:rsidP="00DF4EBF">
            <w:pPr>
              <w:spacing w:line="380" w:lineRule="exact"/>
              <w:rPr>
                <w:rFonts w:ascii="宋体" w:eastAsia="宋体" w:hAnsi="宋体" w:cs="宋体"/>
                <w:sz w:val="18"/>
                <w:szCs w:val="18"/>
              </w:rPr>
            </w:pPr>
            <w:r w:rsidRPr="00980BC4">
              <w:rPr>
                <w:rFonts w:ascii="宋体" w:eastAsia="宋体" w:hAnsi="宋体" w:cs="宋体" w:hint="eastAsia"/>
                <w:sz w:val="18"/>
                <w:szCs w:val="18"/>
              </w:rPr>
              <w:t>福建将乐卓越金属材料有限公司</w:t>
            </w:r>
          </w:p>
        </w:tc>
      </w:tr>
      <w:tr w:rsidR="00A05CB7"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A05CB7" w:rsidRPr="00980BC4" w:rsidRDefault="00A05CB7" w:rsidP="00DF4EBF">
            <w:pPr>
              <w:spacing w:line="380" w:lineRule="exact"/>
              <w:rPr>
                <w:rFonts w:ascii="宋体" w:eastAsia="宋体" w:hAnsi="宋体" w:cs="宋体"/>
                <w:sz w:val="18"/>
                <w:szCs w:val="18"/>
              </w:rPr>
            </w:pPr>
            <w:r w:rsidRPr="00980BC4">
              <w:rPr>
                <w:rFonts w:ascii="宋体" w:eastAsia="宋体" w:hAnsi="宋体" w:cs="宋体" w:hint="eastAsia"/>
                <w:sz w:val="18"/>
                <w:szCs w:val="18"/>
              </w:rPr>
              <w:t>多普思电源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A05CB7" w:rsidRPr="00980BC4" w:rsidRDefault="00A05CB7"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A05CB7" w:rsidRPr="00980BC4" w:rsidRDefault="00A05CB7" w:rsidP="00DF4EBF">
            <w:pPr>
              <w:spacing w:line="380" w:lineRule="exact"/>
              <w:rPr>
                <w:rFonts w:ascii="宋体" w:eastAsia="宋体" w:hAnsi="宋体" w:cs="宋体"/>
                <w:sz w:val="18"/>
                <w:szCs w:val="18"/>
              </w:rPr>
            </w:pPr>
            <w:r w:rsidRPr="00980BC4">
              <w:rPr>
                <w:rFonts w:ascii="宋体" w:eastAsia="宋体" w:hAnsi="宋体" w:cs="宋体" w:hint="eastAsia"/>
                <w:sz w:val="18"/>
                <w:szCs w:val="18"/>
              </w:rPr>
              <w:t>上海多普思电源有限责任公司</w:t>
            </w:r>
          </w:p>
        </w:tc>
      </w:tr>
      <w:tr w:rsidR="00BB182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BB1824" w:rsidRPr="00980BC4" w:rsidRDefault="00BB1824" w:rsidP="00DF4EBF">
            <w:pPr>
              <w:spacing w:line="380" w:lineRule="exact"/>
              <w:rPr>
                <w:rFonts w:ascii="宋体" w:eastAsia="宋体" w:hAnsi="宋体" w:cs="宋体"/>
                <w:sz w:val="18"/>
                <w:szCs w:val="18"/>
              </w:rPr>
            </w:pPr>
            <w:r w:rsidRPr="00B41003">
              <w:rPr>
                <w:rFonts w:ascii="宋体" w:eastAsia="宋体" w:hAnsi="宋体" w:cs="宋体" w:hint="eastAsia"/>
                <w:sz w:val="18"/>
                <w:szCs w:val="18"/>
              </w:rPr>
              <w:t>升华源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B1824" w:rsidRPr="00980BC4" w:rsidRDefault="00BB1824"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BB1824" w:rsidRPr="00980BC4" w:rsidRDefault="00BB1824" w:rsidP="00DF4EBF">
            <w:pPr>
              <w:spacing w:line="380" w:lineRule="exact"/>
              <w:rPr>
                <w:rFonts w:ascii="宋体" w:eastAsia="宋体" w:hAnsi="宋体" w:cs="宋体"/>
                <w:sz w:val="18"/>
                <w:szCs w:val="18"/>
              </w:rPr>
            </w:pPr>
            <w:r w:rsidRPr="00B41003">
              <w:rPr>
                <w:rFonts w:ascii="宋体" w:eastAsia="宋体" w:hAnsi="宋体" w:cs="宋体" w:hint="eastAsia"/>
                <w:sz w:val="18"/>
                <w:szCs w:val="18"/>
              </w:rPr>
              <w:t>深圳升华源科技有限公司</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甘科物业</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江门甘科物业管理有限公司</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北京惠风</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北京惠风联合防务科技有限公司</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锴威特、锴威特半导体</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苏州锴威特半导体股份有限公司</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"三旧"改造</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旧城镇、旧厂房、旧村庄改造</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中国证监会</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中国证券监督管理委员会</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深交所</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深圳证券交易所</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《公司法》</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《中华人民共和国公司法》</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《证券法》</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《中华人民共和国证券法》</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《公司章程》</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2022年6月23日公司2021年度股东大会审议通过的《公司章程》</w:t>
            </w:r>
          </w:p>
        </w:tc>
      </w:tr>
      <w:tr w:rsidR="002A3304" w:rsidRPr="00980BC4" w:rsidTr="00DF4EBF">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元、万元</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DF4EBF">
            <w:pPr>
              <w:spacing w:before="40" w:after="40" w:line="380" w:lineRule="exact"/>
              <w:jc w:val="center"/>
              <w:rPr>
                <w:rFonts w:ascii="宋体" w:eastAsia="宋体" w:hAnsi="宋体" w:cs="宋体"/>
                <w:sz w:val="18"/>
                <w:szCs w:val="18"/>
              </w:rPr>
            </w:pPr>
            <w:r w:rsidRPr="00980BC4">
              <w:rPr>
                <w:rFonts w:ascii="宋体" w:eastAsia="宋体" w:hAnsi="宋体" w:cs="宋体"/>
                <w:sz w:val="18"/>
                <w:szCs w:val="18"/>
              </w:rPr>
              <w:t>指</w:t>
            </w:r>
          </w:p>
        </w:tc>
        <w:tc>
          <w:tcPr>
            <w:tcW w:w="471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F4EBF">
            <w:pPr>
              <w:spacing w:line="380" w:lineRule="exact"/>
              <w:rPr>
                <w:rFonts w:ascii="宋体" w:eastAsia="宋体" w:hAnsi="宋体" w:cs="宋体"/>
                <w:sz w:val="18"/>
                <w:szCs w:val="18"/>
              </w:rPr>
            </w:pPr>
            <w:r w:rsidRPr="00980BC4">
              <w:rPr>
                <w:rFonts w:ascii="宋体" w:eastAsia="宋体" w:hAnsi="宋体" w:cs="宋体"/>
                <w:sz w:val="18"/>
                <w:szCs w:val="18"/>
              </w:rPr>
              <w:t>人民币元、人民币万元</w:t>
            </w:r>
          </w:p>
        </w:tc>
      </w:tr>
    </w:tbl>
    <w:p w:rsidR="002A3304" w:rsidRPr="00980BC4" w:rsidRDefault="00DF4EBF">
      <w:r w:rsidRPr="00980BC4">
        <w:br w:type="page"/>
      </w:r>
    </w:p>
    <w:p w:rsidR="002A3304" w:rsidRPr="00980BC4" w:rsidRDefault="00DF4EBF">
      <w:pPr>
        <w:pStyle w:val="headingh1"/>
        <w:spacing w:before="340" w:after="330" w:line="773" w:lineRule="exact"/>
        <w:jc w:val="center"/>
        <w:rPr>
          <w:rFonts w:ascii="宋体" w:eastAsia="宋体" w:hAnsi="宋体" w:cs="宋体"/>
          <w:b/>
          <w:bCs/>
          <w:sz w:val="32"/>
          <w:szCs w:val="32"/>
        </w:rPr>
      </w:pPr>
      <w:bookmarkStart w:id="1" w:name="_Toc988890"/>
      <w:r w:rsidRPr="00980BC4">
        <w:rPr>
          <w:rFonts w:ascii="宋体" w:eastAsia="宋体" w:hAnsi="宋体" w:cs="宋体"/>
          <w:b/>
          <w:bCs/>
          <w:sz w:val="32"/>
          <w:szCs w:val="32"/>
        </w:rPr>
        <w:lastRenderedPageBreak/>
        <w:t>第二节 公司简介和主要财务指标</w:t>
      </w:r>
      <w:bookmarkEnd w:id="1"/>
    </w:p>
    <w:p w:rsidR="002A3304" w:rsidRPr="00980BC4" w:rsidRDefault="00DF4EBF" w:rsidP="00DF4EBF">
      <w:pPr>
        <w:pStyle w:val="Chapter"/>
        <w:spacing w:before="0" w:after="0" w:line="560" w:lineRule="exact"/>
        <w:ind w:firstLineChars="200" w:firstLine="562"/>
        <w:outlineLvl w:val="1"/>
        <w:rPr>
          <w:bCs w:val="0"/>
          <w:sz w:val="28"/>
          <w:szCs w:val="28"/>
        </w:rPr>
      </w:pPr>
      <w:bookmarkStart w:id="2" w:name="_Toc988891"/>
      <w:r w:rsidRPr="00980BC4">
        <w:rPr>
          <w:bCs w:val="0"/>
          <w:sz w:val="28"/>
          <w:szCs w:val="28"/>
        </w:rPr>
        <w:t>一、公司信息</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660"/>
        <w:gridCol w:w="2410"/>
        <w:gridCol w:w="2159"/>
        <w:gridCol w:w="2410"/>
      </w:tblGrid>
      <w:tr w:rsidR="002A3304" w:rsidRPr="00980BC4" w:rsidTr="00943A1B">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943A1B" w:rsidP="00943A1B">
            <w:pPr>
              <w:spacing w:line="280" w:lineRule="exact"/>
              <w:rPr>
                <w:rFonts w:ascii="宋体" w:eastAsia="宋体" w:hAnsi="宋体" w:cs="宋体"/>
                <w:sz w:val="18"/>
                <w:szCs w:val="18"/>
              </w:rPr>
            </w:pPr>
            <w:r w:rsidRPr="00980BC4">
              <w:rPr>
                <w:rFonts w:ascii="宋体" w:eastAsia="宋体" w:hAnsi="宋体" w:cs="宋体"/>
                <w:sz w:val="18"/>
                <w:szCs w:val="18"/>
              </w:rPr>
              <w:t>甘化科</w:t>
            </w:r>
            <w:r w:rsidR="00DF4EBF" w:rsidRPr="00980BC4">
              <w:rPr>
                <w:rFonts w:ascii="宋体" w:eastAsia="宋体" w:hAnsi="宋体" w:cs="宋体"/>
                <w:sz w:val="18"/>
                <w:szCs w:val="18"/>
              </w:rPr>
              <w:t>工</w:t>
            </w:r>
            <w:r w:rsidR="00DF4EBF" w:rsidRPr="00980BC4">
              <w:rPr>
                <w:rFonts w:ascii="Times New Roman" w:eastAsia="宋体" w:hAnsi="Times New Roman" w:cs="Times New Roman"/>
                <w:sz w:val="18"/>
                <w:szCs w:val="24"/>
              </w:rPr>
              <w:t>    </w:t>
            </w:r>
            <w:r w:rsidR="00DF4EBF" w:rsidRPr="00980BC4">
              <w:rPr>
                <w:rFonts w:ascii="宋体" w:eastAsia="宋体" w:hAnsi="宋体" w:cs="宋体"/>
                <w:sz w:val="18"/>
                <w:szCs w:val="18"/>
              </w:rPr>
              <w:t xml:space="preserve">       </w:t>
            </w:r>
          </w:p>
        </w:tc>
        <w:tc>
          <w:tcPr>
            <w:tcW w:w="215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000576</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股票上市证券交易所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深圳证券交易所</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公司的中文名称</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广东甘化科工股份有限公司</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公司的中文简称</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甘化科工</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公司的外文名称（如有）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Guangdong</w:t>
            </w:r>
            <w:r w:rsidR="00CF7985">
              <w:rPr>
                <w:rFonts w:ascii="宋体" w:eastAsia="宋体" w:hAnsi="宋体" w:cs="宋体"/>
                <w:sz w:val="18"/>
                <w:szCs w:val="18"/>
              </w:rPr>
              <w:t xml:space="preserve"> Ganhua Science &amp; Industry Co.,</w:t>
            </w:r>
            <w:r w:rsidRPr="00980BC4">
              <w:rPr>
                <w:rFonts w:ascii="宋体" w:eastAsia="宋体" w:hAnsi="宋体" w:cs="宋体"/>
                <w:sz w:val="18"/>
                <w:szCs w:val="18"/>
              </w:rPr>
              <w:t>Ltd.</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公司的外文名称缩写（如有）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GHSI</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公司的法定代表人</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黄克</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注册地址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广东省江门市甘化路62号</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注册地址的邮政编码</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529030</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公司注册地址历史变更情况</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2019年9月，公司注册地址由“广东省江门市甘化路56号”变更为“广东省江门市甘化路62号”。</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办公地址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广东省江门市甘化路62号</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办公地址的邮政编码</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529030</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公司网址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www.gdganhua.com</w:t>
            </w:r>
          </w:p>
        </w:tc>
      </w:tr>
      <w:tr w:rsidR="002A3304" w:rsidRPr="00980BC4" w:rsidTr="0000105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电子信箱</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gdganhua@126.com</w:t>
            </w:r>
          </w:p>
        </w:tc>
      </w:tr>
    </w:tbl>
    <w:p w:rsidR="002A3304" w:rsidRPr="00980BC4" w:rsidRDefault="00DF4EBF" w:rsidP="0000105E">
      <w:pPr>
        <w:pStyle w:val="Chapter"/>
        <w:spacing w:before="0" w:after="0" w:line="560" w:lineRule="exact"/>
        <w:ind w:firstLineChars="200" w:firstLine="562"/>
        <w:outlineLvl w:val="1"/>
        <w:rPr>
          <w:bCs w:val="0"/>
          <w:sz w:val="28"/>
          <w:szCs w:val="28"/>
        </w:rPr>
      </w:pPr>
      <w:bookmarkStart w:id="3" w:name="_Toc988892"/>
      <w:r w:rsidRPr="00980BC4">
        <w:rPr>
          <w:bCs w:val="0"/>
          <w:sz w:val="28"/>
          <w:szCs w:val="28"/>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2A3304" w:rsidRPr="00980BC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0105E">
            <w:pPr>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证券事务代表</w:t>
            </w:r>
          </w:p>
        </w:tc>
      </w:tr>
      <w:tr w:rsidR="002A3304" w:rsidRPr="00980BC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陈波</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龚健鹏</w:t>
            </w:r>
          </w:p>
        </w:tc>
      </w:tr>
      <w:tr w:rsidR="002A3304" w:rsidRPr="00980BC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广东省江门市甘化路62号</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广东省江门市甘化路62号</w:t>
            </w:r>
          </w:p>
        </w:tc>
      </w:tr>
      <w:tr w:rsidR="002A3304" w:rsidRPr="00980BC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（0750）3277650、3277651</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（0750）3277651、3277650</w:t>
            </w:r>
          </w:p>
        </w:tc>
      </w:tr>
      <w:tr w:rsidR="002A3304" w:rsidRPr="00980BC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（0750）3277666</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（0750）3277666</w:t>
            </w:r>
          </w:p>
        </w:tc>
      </w:tr>
      <w:tr w:rsidR="002A3304" w:rsidRPr="00980BC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cb@gdganhua.com</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gjp@gdganhua.com</w:t>
            </w:r>
          </w:p>
        </w:tc>
      </w:tr>
    </w:tbl>
    <w:p w:rsidR="002A3304" w:rsidRPr="00980BC4" w:rsidRDefault="00DF4EBF" w:rsidP="0000105E">
      <w:pPr>
        <w:pStyle w:val="Chapter"/>
        <w:spacing w:before="0" w:after="0" w:line="560" w:lineRule="exact"/>
        <w:ind w:firstLineChars="200" w:firstLine="562"/>
        <w:outlineLvl w:val="1"/>
        <w:rPr>
          <w:bCs w:val="0"/>
          <w:sz w:val="28"/>
          <w:szCs w:val="28"/>
        </w:rPr>
      </w:pPr>
      <w:bookmarkStart w:id="4" w:name="_Toc988893"/>
      <w:r w:rsidRPr="00980BC4">
        <w:rPr>
          <w:bCs w:val="0"/>
          <w:sz w:val="28"/>
          <w:szCs w:val="28"/>
        </w:rPr>
        <w:t>三、信息披露及备置地点</w:t>
      </w:r>
      <w:bookmarkEnd w:id="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219"/>
        <w:gridCol w:w="5420"/>
      </w:tblGrid>
      <w:tr w:rsidR="002A3304" w:rsidRPr="00980BC4" w:rsidTr="0000105E">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公司披露年度报告的证券交易所网站</w:t>
            </w:r>
          </w:p>
        </w:tc>
        <w:tc>
          <w:tcPr>
            <w:tcW w:w="5420" w:type="dxa"/>
            <w:tcBorders>
              <w:top w:val="single" w:sz="2" w:space="0" w:color="auto"/>
              <w:left w:val="single" w:sz="2" w:space="0" w:color="auto"/>
              <w:bottom w:val="single" w:sz="2" w:space="0" w:color="auto"/>
              <w:right w:val="single" w:sz="2" w:space="0" w:color="auto"/>
            </w:tcBorders>
            <w:vAlign w:val="center"/>
          </w:tcPr>
          <w:p w:rsidR="002A3304" w:rsidRPr="00980BC4" w:rsidRDefault="00F02179" w:rsidP="0000105E">
            <w:pPr>
              <w:spacing w:line="280" w:lineRule="exact"/>
              <w:rPr>
                <w:rFonts w:ascii="宋体" w:eastAsia="宋体" w:hAnsi="宋体" w:cs="宋体"/>
                <w:sz w:val="18"/>
                <w:szCs w:val="18"/>
              </w:rPr>
            </w:pPr>
            <w:r w:rsidRPr="00980BC4">
              <w:rPr>
                <w:rFonts w:ascii="宋体" w:eastAsia="宋体" w:hAnsi="宋体" w:cs="宋体"/>
                <w:sz w:val="18"/>
                <w:szCs w:val="18"/>
              </w:rPr>
              <w:t>深圳证券交易所：http://www.szse.cn</w:t>
            </w:r>
          </w:p>
        </w:tc>
      </w:tr>
      <w:tr w:rsidR="002A3304" w:rsidRPr="00980BC4" w:rsidTr="0000105E">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公司披露年度报告的媒体名称及网址</w:t>
            </w:r>
          </w:p>
        </w:tc>
        <w:tc>
          <w:tcPr>
            <w:tcW w:w="5420" w:type="dxa"/>
            <w:tcBorders>
              <w:top w:val="single" w:sz="2" w:space="0" w:color="auto"/>
              <w:left w:val="single" w:sz="2" w:space="0" w:color="auto"/>
              <w:bottom w:val="single" w:sz="2" w:space="0" w:color="auto"/>
              <w:right w:val="single" w:sz="2" w:space="0" w:color="auto"/>
            </w:tcBorders>
            <w:vAlign w:val="center"/>
          </w:tcPr>
          <w:p w:rsidR="002A3304" w:rsidRPr="00980BC4" w:rsidRDefault="00E0414E" w:rsidP="00943A1B">
            <w:pPr>
              <w:spacing w:line="280" w:lineRule="exact"/>
              <w:rPr>
                <w:rFonts w:ascii="宋体" w:eastAsia="宋体" w:hAnsi="宋体" w:cs="宋体"/>
                <w:sz w:val="18"/>
                <w:szCs w:val="18"/>
              </w:rPr>
            </w:pPr>
            <w:r w:rsidRPr="00980BC4">
              <w:rPr>
                <w:rFonts w:ascii="宋体" w:eastAsia="宋体" w:hAnsi="宋体" w:cs="宋体"/>
                <w:sz w:val="18"/>
                <w:szCs w:val="18"/>
              </w:rPr>
              <w:t>《证券时报》《中国证券报》《证券日报》</w:t>
            </w:r>
            <w:r w:rsidR="00943A1B" w:rsidRPr="00980BC4">
              <w:rPr>
                <w:rFonts w:ascii="宋体" w:eastAsia="宋体" w:hAnsi="宋体" w:cs="宋体"/>
                <w:sz w:val="18"/>
                <w:szCs w:val="18"/>
              </w:rPr>
              <w:t>《上海证券报》、巨潮资讯网（http://www.cninfo.com.cn）</w:t>
            </w:r>
          </w:p>
        </w:tc>
      </w:tr>
      <w:tr w:rsidR="002A3304" w:rsidRPr="00980BC4" w:rsidTr="0000105E">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公司年度报告备置地点</w:t>
            </w:r>
          </w:p>
        </w:tc>
        <w:tc>
          <w:tcPr>
            <w:tcW w:w="54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本公司证券事务部</w:t>
            </w:r>
          </w:p>
        </w:tc>
      </w:tr>
    </w:tbl>
    <w:p w:rsidR="002A3304" w:rsidRPr="00980BC4" w:rsidRDefault="00DF4EBF" w:rsidP="0000105E">
      <w:pPr>
        <w:pStyle w:val="Chapter"/>
        <w:spacing w:before="0" w:after="0" w:line="560" w:lineRule="exact"/>
        <w:ind w:firstLineChars="200" w:firstLine="562"/>
        <w:outlineLvl w:val="1"/>
        <w:rPr>
          <w:bCs w:val="0"/>
          <w:sz w:val="28"/>
          <w:szCs w:val="28"/>
        </w:rPr>
      </w:pPr>
      <w:bookmarkStart w:id="5" w:name="_Toc988894"/>
      <w:r w:rsidRPr="00980BC4">
        <w:rPr>
          <w:bCs w:val="0"/>
          <w:sz w:val="28"/>
          <w:szCs w:val="28"/>
        </w:rPr>
        <w:t>四、注册变更情况</w:t>
      </w:r>
      <w:bookmarkEnd w:id="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219"/>
        <w:gridCol w:w="5420"/>
      </w:tblGrid>
      <w:tr w:rsidR="002A3304" w:rsidRPr="00980BC4" w:rsidTr="0000105E">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统一社会信用代码</w:t>
            </w:r>
          </w:p>
        </w:tc>
        <w:tc>
          <w:tcPr>
            <w:tcW w:w="54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91440700190357288E</w:t>
            </w:r>
          </w:p>
        </w:tc>
      </w:tr>
      <w:tr w:rsidR="002A3304" w:rsidRPr="00980BC4" w:rsidTr="0000105E">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公司上市以来主营业务的变化情况（如有）</w:t>
            </w:r>
          </w:p>
        </w:tc>
        <w:tc>
          <w:tcPr>
            <w:tcW w:w="54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C5958">
            <w:pPr>
              <w:spacing w:line="280" w:lineRule="exact"/>
              <w:rPr>
                <w:rFonts w:ascii="宋体" w:eastAsia="宋体" w:hAnsi="宋体" w:cs="宋体"/>
                <w:sz w:val="18"/>
                <w:szCs w:val="18"/>
              </w:rPr>
            </w:pPr>
            <w:r w:rsidRPr="00980BC4">
              <w:rPr>
                <w:rFonts w:ascii="宋体" w:eastAsia="宋体" w:hAnsi="宋体" w:cs="宋体"/>
                <w:sz w:val="18"/>
                <w:szCs w:val="18"/>
              </w:rPr>
              <w:t>2013年，公司完成非公开发行后，主营业务由原来的制糖产业、浆纸产业和生化产业转变为LED产业、生化产业、糖纸贸易。2018年，公司出售了广东德力光电有限公司100%股权及广东江门生物技术开发中心有限公司55%股权，收购了沈阳含能控股权及升华电源100%股权，主营业务由LED产业、生化产业、糖纸贸易转</w:t>
            </w:r>
            <w:r w:rsidRPr="00980BC4">
              <w:rPr>
                <w:rFonts w:ascii="宋体" w:eastAsia="宋体" w:hAnsi="宋体" w:cs="宋体"/>
                <w:sz w:val="18"/>
                <w:szCs w:val="18"/>
              </w:rPr>
              <w:lastRenderedPageBreak/>
              <w:t>变为贸易业务和预制破片、电源等军工产品的研发、生产、销售。2022年5</w:t>
            </w:r>
            <w:r w:rsidR="005C5958" w:rsidRPr="00980BC4">
              <w:rPr>
                <w:rFonts w:ascii="宋体" w:eastAsia="宋体" w:hAnsi="宋体" w:cs="宋体"/>
                <w:sz w:val="18"/>
                <w:szCs w:val="18"/>
              </w:rPr>
              <w:t>月，公司停止开展食糖类</w:t>
            </w:r>
            <w:r w:rsidRPr="00980BC4">
              <w:rPr>
                <w:rFonts w:ascii="宋体" w:eastAsia="宋体" w:hAnsi="宋体" w:cs="宋体"/>
                <w:sz w:val="18"/>
                <w:szCs w:val="18"/>
              </w:rPr>
              <w:t>业务</w:t>
            </w:r>
            <w:r w:rsidR="005C5958" w:rsidRPr="00980BC4">
              <w:rPr>
                <w:rFonts w:ascii="宋体" w:eastAsia="宋体" w:hAnsi="宋体" w:cs="宋体" w:hint="eastAsia"/>
                <w:sz w:val="18"/>
                <w:szCs w:val="18"/>
              </w:rPr>
              <w:t>。目前</w:t>
            </w:r>
            <w:r w:rsidR="005C5958" w:rsidRPr="00980BC4">
              <w:rPr>
                <w:rFonts w:ascii="宋体" w:eastAsia="宋体" w:hAnsi="宋体" w:cs="宋体"/>
                <w:sz w:val="18"/>
                <w:szCs w:val="18"/>
              </w:rPr>
              <w:t>公司主营业务</w:t>
            </w:r>
            <w:r w:rsidRPr="00980BC4">
              <w:rPr>
                <w:rFonts w:ascii="宋体" w:eastAsia="宋体" w:hAnsi="宋体" w:cs="宋体"/>
                <w:sz w:val="18"/>
                <w:szCs w:val="18"/>
              </w:rPr>
              <w:t>为</w:t>
            </w:r>
            <w:r w:rsidR="005C5958" w:rsidRPr="00980BC4">
              <w:rPr>
                <w:rFonts w:ascii="宋体" w:eastAsia="宋体" w:hAnsi="宋体" w:cs="宋体"/>
                <w:sz w:val="18"/>
                <w:szCs w:val="18"/>
              </w:rPr>
              <w:t>电源及相关产品、高性能特种合金材料制品</w:t>
            </w:r>
            <w:r w:rsidRPr="00980BC4">
              <w:rPr>
                <w:rFonts w:ascii="宋体" w:eastAsia="宋体" w:hAnsi="宋体" w:cs="宋体"/>
                <w:sz w:val="18"/>
                <w:szCs w:val="18"/>
              </w:rPr>
              <w:t>等军工产品的研发、生产、销售。</w:t>
            </w:r>
          </w:p>
        </w:tc>
      </w:tr>
      <w:tr w:rsidR="002A3304" w:rsidRPr="00980BC4" w:rsidTr="0000105E">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历次控股股东的变更情况（如有）</w:t>
            </w:r>
          </w:p>
        </w:tc>
        <w:tc>
          <w:tcPr>
            <w:tcW w:w="54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2011年9月5日，公司控股股东由江门市资产管理局变更为德力西集团有限公司。</w:t>
            </w:r>
          </w:p>
        </w:tc>
      </w:tr>
    </w:tbl>
    <w:p w:rsidR="002A3304" w:rsidRPr="00980BC4" w:rsidRDefault="00DF4EBF" w:rsidP="0000105E">
      <w:pPr>
        <w:pStyle w:val="Chapter"/>
        <w:spacing w:before="0" w:after="0" w:line="560" w:lineRule="exact"/>
        <w:ind w:firstLineChars="200" w:firstLine="562"/>
        <w:outlineLvl w:val="1"/>
        <w:rPr>
          <w:bCs w:val="0"/>
          <w:sz w:val="28"/>
          <w:szCs w:val="28"/>
        </w:rPr>
      </w:pPr>
      <w:bookmarkStart w:id="6" w:name="_Toc988895"/>
      <w:r w:rsidRPr="00980BC4">
        <w:rPr>
          <w:bCs w:val="0"/>
          <w:sz w:val="28"/>
          <w:szCs w:val="28"/>
        </w:rPr>
        <w:t>五、其他有关资料</w:t>
      </w:r>
      <w:bookmarkEnd w:id="6"/>
    </w:p>
    <w:p w:rsidR="002A3304" w:rsidRPr="00980BC4" w:rsidRDefault="00DF4EBF" w:rsidP="0000105E">
      <w:pPr>
        <w:pStyle w:val="Chapter"/>
        <w:spacing w:before="0" w:after="0" w:line="560" w:lineRule="exact"/>
        <w:ind w:firstLineChars="200" w:firstLine="562"/>
        <w:outlineLvl w:val="1"/>
        <w:rPr>
          <w:rFonts w:ascii="仿宋" w:eastAsia="仿宋" w:hAnsi="仿宋"/>
          <w:sz w:val="28"/>
          <w:szCs w:val="28"/>
        </w:rPr>
      </w:pPr>
      <w:r w:rsidRPr="00980BC4">
        <w:rPr>
          <w:rFonts w:ascii="仿宋" w:eastAsia="仿宋" w:hAnsi="仿宋"/>
          <w:sz w:val="28"/>
          <w:szCs w:val="28"/>
        </w:rPr>
        <w:t>公司聘请的会计师事务所</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219"/>
        <w:gridCol w:w="5420"/>
      </w:tblGrid>
      <w:tr w:rsidR="002A3304" w:rsidRPr="00980BC4" w:rsidTr="0000105E">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会计师事务所名称</w:t>
            </w:r>
          </w:p>
        </w:tc>
        <w:tc>
          <w:tcPr>
            <w:tcW w:w="54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广东司农会计师事务所（特殊普通合伙）</w:t>
            </w:r>
          </w:p>
        </w:tc>
      </w:tr>
      <w:tr w:rsidR="002A3304" w:rsidRPr="00980BC4" w:rsidTr="0000105E">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会计师事务所办公地址</w:t>
            </w:r>
          </w:p>
        </w:tc>
        <w:tc>
          <w:tcPr>
            <w:tcW w:w="5420" w:type="dxa"/>
            <w:tcBorders>
              <w:top w:val="single" w:sz="2" w:space="0" w:color="auto"/>
              <w:left w:val="single" w:sz="2" w:space="0" w:color="auto"/>
              <w:bottom w:val="single" w:sz="2" w:space="0" w:color="auto"/>
              <w:right w:val="single" w:sz="2" w:space="0" w:color="auto"/>
            </w:tcBorders>
            <w:vAlign w:val="center"/>
          </w:tcPr>
          <w:p w:rsidR="002A3304" w:rsidRPr="00980BC4" w:rsidRDefault="00313F3A" w:rsidP="0000105E">
            <w:pPr>
              <w:spacing w:line="280" w:lineRule="exact"/>
              <w:rPr>
                <w:rFonts w:ascii="宋体" w:eastAsia="宋体" w:hAnsi="宋体" w:cs="宋体"/>
                <w:color w:val="FF0000"/>
                <w:sz w:val="18"/>
                <w:szCs w:val="18"/>
              </w:rPr>
            </w:pPr>
            <w:r w:rsidRPr="00980BC4">
              <w:rPr>
                <w:rFonts w:ascii="宋体" w:eastAsia="宋体" w:hAnsi="宋体" w:cs="宋体" w:hint="eastAsia"/>
                <w:sz w:val="18"/>
                <w:szCs w:val="18"/>
              </w:rPr>
              <w:t>广州市天河区珠江新城华夏路32号太平洋金融大厦10楼</w:t>
            </w:r>
          </w:p>
        </w:tc>
      </w:tr>
      <w:tr w:rsidR="002A3304" w:rsidRPr="00980BC4" w:rsidTr="0000105E">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0105E">
            <w:pPr>
              <w:spacing w:before="40" w:after="40" w:line="280" w:lineRule="exact"/>
              <w:rPr>
                <w:rFonts w:ascii="宋体" w:eastAsia="宋体" w:hAnsi="宋体" w:cs="宋体"/>
                <w:sz w:val="18"/>
                <w:szCs w:val="18"/>
              </w:rPr>
            </w:pPr>
            <w:r w:rsidRPr="00980BC4">
              <w:rPr>
                <w:rFonts w:ascii="宋体" w:eastAsia="宋体" w:hAnsi="宋体" w:cs="宋体"/>
                <w:sz w:val="18"/>
                <w:szCs w:val="18"/>
              </w:rPr>
              <w:t>签字会计师姓名</w:t>
            </w:r>
          </w:p>
        </w:tc>
        <w:tc>
          <w:tcPr>
            <w:tcW w:w="54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0105E">
            <w:pPr>
              <w:spacing w:line="280" w:lineRule="exact"/>
              <w:rPr>
                <w:rFonts w:ascii="宋体" w:eastAsia="宋体" w:hAnsi="宋体" w:cs="宋体"/>
                <w:sz w:val="18"/>
                <w:szCs w:val="18"/>
              </w:rPr>
            </w:pPr>
            <w:r w:rsidRPr="00980BC4">
              <w:rPr>
                <w:rFonts w:ascii="宋体" w:eastAsia="宋体" w:hAnsi="宋体" w:cs="宋体"/>
                <w:sz w:val="18"/>
                <w:szCs w:val="18"/>
              </w:rPr>
              <w:t>陈皓淳、梁剑云</w:t>
            </w:r>
          </w:p>
        </w:tc>
      </w:tr>
    </w:tbl>
    <w:p w:rsidR="002A3304" w:rsidRPr="00980BC4" w:rsidRDefault="00DF4EBF" w:rsidP="0000105E">
      <w:pPr>
        <w:pStyle w:val="Chapter"/>
        <w:spacing w:before="0" w:after="0" w:line="560" w:lineRule="exact"/>
        <w:ind w:firstLineChars="200" w:firstLine="562"/>
        <w:outlineLvl w:val="1"/>
        <w:rPr>
          <w:rFonts w:ascii="仿宋" w:eastAsia="仿宋" w:hAnsi="仿宋"/>
          <w:sz w:val="28"/>
          <w:szCs w:val="28"/>
        </w:rPr>
      </w:pPr>
      <w:r w:rsidRPr="00980BC4">
        <w:rPr>
          <w:rFonts w:ascii="仿宋" w:eastAsia="仿宋" w:hAnsi="仿宋"/>
          <w:sz w:val="28"/>
          <w:szCs w:val="28"/>
        </w:rPr>
        <w:t>公司聘请的报告期内履行持续督导职责的保荐机构</w:t>
      </w:r>
    </w:p>
    <w:p w:rsidR="002A3304" w:rsidRPr="00980BC4" w:rsidRDefault="00DF4EBF" w:rsidP="0000105E">
      <w:pPr>
        <w:pStyle w:val="Chapter"/>
        <w:spacing w:before="0" w:after="0" w:line="56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t xml:space="preserve">□适用 </w:t>
      </w:r>
      <w:r w:rsidR="0000105E" w:rsidRPr="00980BC4">
        <w:rPr>
          <w:rFonts w:ascii="仿宋" w:eastAsia="仿宋" w:hAnsi="仿宋" w:hint="eastAsia"/>
          <w:b w:val="0"/>
          <w:sz w:val="28"/>
          <w:szCs w:val="28"/>
        </w:rPr>
        <w:t xml:space="preserve"> </w:t>
      </w:r>
      <w:r w:rsidRPr="00980BC4">
        <w:rPr>
          <w:rFonts w:ascii="仿宋" w:eastAsia="仿宋" w:hAnsi="仿宋"/>
          <w:b w:val="0"/>
          <w:sz w:val="28"/>
          <w:szCs w:val="28"/>
        </w:rPr>
        <w:sym w:font="Wingdings 2" w:char="F052"/>
      </w:r>
      <w:r w:rsidRPr="00980BC4">
        <w:rPr>
          <w:rFonts w:ascii="仿宋" w:eastAsia="仿宋" w:hAnsi="仿宋"/>
          <w:b w:val="0"/>
          <w:sz w:val="28"/>
          <w:szCs w:val="28"/>
        </w:rPr>
        <w:t>不适用</w:t>
      </w:r>
    </w:p>
    <w:p w:rsidR="002A3304" w:rsidRPr="00980BC4" w:rsidRDefault="00DF4EBF" w:rsidP="0000105E">
      <w:pPr>
        <w:pStyle w:val="Chapter"/>
        <w:spacing w:before="0" w:after="0" w:line="560" w:lineRule="exact"/>
        <w:ind w:firstLineChars="200" w:firstLine="562"/>
        <w:outlineLvl w:val="1"/>
        <w:rPr>
          <w:rFonts w:ascii="仿宋" w:eastAsia="仿宋" w:hAnsi="仿宋"/>
          <w:sz w:val="28"/>
          <w:szCs w:val="28"/>
        </w:rPr>
      </w:pPr>
      <w:r w:rsidRPr="00980BC4">
        <w:rPr>
          <w:rFonts w:ascii="仿宋" w:eastAsia="仿宋" w:hAnsi="仿宋"/>
          <w:sz w:val="28"/>
          <w:szCs w:val="28"/>
        </w:rPr>
        <w:t>公司聘请的报告期内履行持续督导职责的财务顾问</w:t>
      </w:r>
    </w:p>
    <w:p w:rsidR="002A3304" w:rsidRPr="00980BC4" w:rsidRDefault="00DF4EBF" w:rsidP="0000105E">
      <w:pPr>
        <w:pStyle w:val="Chapter"/>
        <w:spacing w:before="0" w:after="0" w:line="56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t>□适用</w:t>
      </w:r>
      <w:r w:rsidR="0000105E" w:rsidRPr="00980BC4">
        <w:rPr>
          <w:rFonts w:ascii="仿宋" w:eastAsia="仿宋" w:hAnsi="仿宋" w:hint="eastAsia"/>
          <w:b w:val="0"/>
          <w:sz w:val="28"/>
          <w:szCs w:val="28"/>
        </w:rPr>
        <w:t xml:space="preserve"> </w:t>
      </w:r>
      <w:r w:rsidRPr="00980BC4">
        <w:rPr>
          <w:rFonts w:ascii="仿宋" w:eastAsia="仿宋" w:hAnsi="仿宋"/>
          <w:b w:val="0"/>
          <w:sz w:val="28"/>
          <w:szCs w:val="28"/>
        </w:rPr>
        <w:t xml:space="preserve"> </w:t>
      </w:r>
      <w:r w:rsidRPr="00980BC4">
        <w:rPr>
          <w:rFonts w:ascii="仿宋" w:eastAsia="仿宋" w:hAnsi="仿宋"/>
          <w:b w:val="0"/>
          <w:sz w:val="28"/>
          <w:szCs w:val="28"/>
        </w:rPr>
        <w:sym w:font="Wingdings 2" w:char="F052"/>
      </w:r>
      <w:r w:rsidRPr="00980BC4">
        <w:rPr>
          <w:rFonts w:ascii="仿宋" w:eastAsia="仿宋" w:hAnsi="仿宋"/>
          <w:b w:val="0"/>
          <w:sz w:val="28"/>
          <w:szCs w:val="28"/>
        </w:rPr>
        <w:t>不适用</w:t>
      </w:r>
    </w:p>
    <w:p w:rsidR="002A3304" w:rsidRPr="00980BC4" w:rsidRDefault="00DF4EBF" w:rsidP="0000105E">
      <w:pPr>
        <w:pStyle w:val="Chapter"/>
        <w:spacing w:before="0" w:after="0" w:line="560" w:lineRule="exact"/>
        <w:ind w:firstLineChars="200" w:firstLine="562"/>
        <w:outlineLvl w:val="1"/>
        <w:rPr>
          <w:bCs w:val="0"/>
          <w:sz w:val="28"/>
          <w:szCs w:val="28"/>
        </w:rPr>
      </w:pPr>
      <w:bookmarkStart w:id="7" w:name="_Toc988896"/>
      <w:r w:rsidRPr="00980BC4">
        <w:rPr>
          <w:bCs w:val="0"/>
          <w:sz w:val="28"/>
          <w:szCs w:val="28"/>
        </w:rPr>
        <w:t>六、主要会计数据和财务指标</w:t>
      </w:r>
      <w:bookmarkEnd w:id="7"/>
    </w:p>
    <w:p w:rsidR="002A3304" w:rsidRPr="00980BC4" w:rsidRDefault="00DF4EBF" w:rsidP="0000105E">
      <w:pPr>
        <w:pStyle w:val="Chapter"/>
        <w:spacing w:before="0" w:after="0" w:line="560" w:lineRule="exact"/>
        <w:ind w:firstLineChars="200" w:firstLine="562"/>
        <w:outlineLvl w:val="1"/>
        <w:rPr>
          <w:rFonts w:ascii="仿宋" w:eastAsia="仿宋" w:hAnsi="仿宋"/>
          <w:sz w:val="28"/>
          <w:szCs w:val="28"/>
        </w:rPr>
      </w:pPr>
      <w:r w:rsidRPr="00980BC4">
        <w:rPr>
          <w:rFonts w:ascii="仿宋" w:eastAsia="仿宋" w:hAnsi="仿宋"/>
          <w:sz w:val="28"/>
          <w:szCs w:val="28"/>
        </w:rPr>
        <w:t>公司是否需追溯调整或重述以前年度会计数据</w:t>
      </w:r>
    </w:p>
    <w:p w:rsidR="00733A14" w:rsidRPr="00980BC4" w:rsidRDefault="00DF4EBF" w:rsidP="00733A14">
      <w:pPr>
        <w:pStyle w:val="Chapter"/>
        <w:spacing w:before="0" w:after="0" w:line="56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t>□是</w:t>
      </w:r>
      <w:r w:rsidR="0000105E" w:rsidRPr="00980BC4">
        <w:rPr>
          <w:rFonts w:ascii="仿宋" w:eastAsia="仿宋" w:hAnsi="仿宋" w:hint="eastAsia"/>
          <w:b w:val="0"/>
          <w:sz w:val="28"/>
          <w:szCs w:val="28"/>
        </w:rPr>
        <w:t xml:space="preserve"> </w:t>
      </w:r>
      <w:r w:rsidRPr="00980BC4">
        <w:rPr>
          <w:rFonts w:ascii="仿宋" w:eastAsia="仿宋" w:hAnsi="仿宋"/>
          <w:b w:val="0"/>
          <w:sz w:val="28"/>
          <w:szCs w:val="28"/>
        </w:rPr>
        <w:t xml:space="preserve"> </w:t>
      </w:r>
      <w:r w:rsidRPr="00980BC4">
        <w:rPr>
          <w:rFonts w:ascii="仿宋" w:eastAsia="仿宋" w:hAnsi="仿宋"/>
          <w:b w:val="0"/>
          <w:sz w:val="28"/>
          <w:szCs w:val="28"/>
        </w:rPr>
        <w:sym w:font="Wingdings 2" w:char="F052"/>
      </w:r>
      <w:r w:rsidRPr="00980BC4">
        <w:rPr>
          <w:rFonts w:ascii="仿宋" w:eastAsia="仿宋" w:hAnsi="仿宋"/>
          <w:b w:val="0"/>
          <w:sz w:val="28"/>
          <w:szCs w:val="2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518"/>
        <w:gridCol w:w="1843"/>
        <w:gridCol w:w="1701"/>
        <w:gridCol w:w="1843"/>
        <w:gridCol w:w="1734"/>
      </w:tblGrid>
      <w:tr w:rsidR="00733A14"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line="280" w:lineRule="atLeast"/>
            </w:pP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2022年</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2021年</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本年比上年增减</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2020年</w:t>
            </w:r>
          </w:p>
        </w:tc>
      </w:tr>
      <w:tr w:rsidR="00733A14"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rPr>
                <w:rFonts w:ascii="宋体" w:eastAsia="宋体" w:hAnsi="宋体" w:cs="宋体"/>
                <w:sz w:val="18"/>
                <w:szCs w:val="18"/>
              </w:rPr>
            </w:pPr>
            <w:r w:rsidRPr="00980BC4">
              <w:rPr>
                <w:rFonts w:ascii="宋体" w:eastAsia="宋体" w:hAnsi="宋体" w:cs="宋体"/>
                <w:sz w:val="18"/>
                <w:szCs w:val="18"/>
              </w:rPr>
              <w:t>营业收入（元）</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445,381,991.65</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539,626,377.05</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-17.46%</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514,783,192.92</w:t>
            </w:r>
          </w:p>
        </w:tc>
      </w:tr>
      <w:tr w:rsidR="00733A14"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rPr>
                <w:rFonts w:ascii="宋体" w:eastAsia="宋体" w:hAnsi="宋体" w:cs="宋体"/>
                <w:sz w:val="18"/>
                <w:szCs w:val="18"/>
              </w:rPr>
            </w:pPr>
            <w:r w:rsidRPr="00980BC4">
              <w:rPr>
                <w:rFonts w:ascii="宋体" w:eastAsia="宋体" w:hAnsi="宋体" w:cs="宋体"/>
                <w:sz w:val="18"/>
                <w:szCs w:val="18"/>
              </w:rPr>
              <w:t>归属于上市公司股东的净利润（元）</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119,408,179.51</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31,858,231.32</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274.81%</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678,140,487.44</w:t>
            </w:r>
          </w:p>
        </w:tc>
      </w:tr>
      <w:tr w:rsidR="00733A14"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rPr>
                <w:rFonts w:ascii="宋体" w:eastAsia="宋体" w:hAnsi="宋体" w:cs="宋体"/>
                <w:sz w:val="18"/>
                <w:szCs w:val="18"/>
              </w:rPr>
            </w:pPr>
            <w:r w:rsidRPr="00980BC4">
              <w:rPr>
                <w:rFonts w:ascii="宋体" w:eastAsia="宋体" w:hAnsi="宋体" w:cs="宋体"/>
                <w:sz w:val="18"/>
                <w:szCs w:val="18"/>
              </w:rPr>
              <w:t>归属于上市公司股东的扣除非经常性损益的净利润（元）</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99,082,992.01</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11,561,133.89</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757.04%</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74,412,378.12</w:t>
            </w:r>
          </w:p>
        </w:tc>
      </w:tr>
      <w:tr w:rsidR="0096653D"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96653D" w:rsidRPr="00980BC4" w:rsidRDefault="0096653D" w:rsidP="00A47FA6">
            <w:pPr>
              <w:spacing w:before="40" w:after="40" w:line="280" w:lineRule="atLeast"/>
              <w:rPr>
                <w:rFonts w:ascii="宋体" w:eastAsia="宋体" w:hAnsi="宋体" w:cs="宋体"/>
                <w:sz w:val="18"/>
                <w:szCs w:val="18"/>
              </w:rPr>
            </w:pPr>
            <w:r w:rsidRPr="00980BC4">
              <w:rPr>
                <w:rFonts w:ascii="宋体" w:eastAsia="宋体" w:hAnsi="宋体" w:cs="宋体"/>
                <w:sz w:val="18"/>
                <w:szCs w:val="18"/>
              </w:rPr>
              <w:t>经营活动产生的现金流量净额（元）</w:t>
            </w:r>
          </w:p>
        </w:tc>
        <w:tc>
          <w:tcPr>
            <w:tcW w:w="1843" w:type="dxa"/>
            <w:tcBorders>
              <w:top w:val="single" w:sz="2" w:space="0" w:color="auto"/>
              <w:left w:val="single" w:sz="2" w:space="0" w:color="auto"/>
              <w:bottom w:val="single" w:sz="2" w:space="0" w:color="auto"/>
              <w:right w:val="single" w:sz="2" w:space="0" w:color="auto"/>
            </w:tcBorders>
            <w:vAlign w:val="center"/>
          </w:tcPr>
          <w:p w:rsidR="0096653D" w:rsidRPr="00980BC4" w:rsidRDefault="0096653D" w:rsidP="00863E71">
            <w:pPr>
              <w:spacing w:line="280" w:lineRule="atLeast"/>
              <w:jc w:val="right"/>
              <w:rPr>
                <w:rFonts w:ascii="宋体" w:eastAsia="宋体" w:hAnsi="宋体" w:cs="宋体"/>
                <w:sz w:val="18"/>
                <w:szCs w:val="18"/>
              </w:rPr>
            </w:pPr>
            <w:r w:rsidRPr="00E6728F">
              <w:rPr>
                <w:rFonts w:ascii="宋体" w:eastAsia="宋体" w:hAnsi="宋体" w:cs="宋体"/>
                <w:sz w:val="18"/>
                <w:szCs w:val="18"/>
              </w:rPr>
              <w:t>-53,066,348.50</w:t>
            </w:r>
          </w:p>
        </w:tc>
        <w:tc>
          <w:tcPr>
            <w:tcW w:w="1701" w:type="dxa"/>
            <w:tcBorders>
              <w:top w:val="single" w:sz="2" w:space="0" w:color="auto"/>
              <w:left w:val="single" w:sz="2" w:space="0" w:color="auto"/>
              <w:bottom w:val="single" w:sz="2" w:space="0" w:color="auto"/>
              <w:right w:val="single" w:sz="2" w:space="0" w:color="auto"/>
            </w:tcBorders>
            <w:vAlign w:val="center"/>
          </w:tcPr>
          <w:p w:rsidR="0096653D" w:rsidRPr="00980BC4" w:rsidRDefault="0096653D" w:rsidP="00863E71">
            <w:pPr>
              <w:spacing w:line="280" w:lineRule="atLeast"/>
              <w:jc w:val="right"/>
              <w:rPr>
                <w:rFonts w:ascii="宋体" w:eastAsia="宋体" w:hAnsi="宋体" w:cs="宋体"/>
                <w:sz w:val="18"/>
                <w:szCs w:val="18"/>
              </w:rPr>
            </w:pPr>
            <w:r w:rsidRPr="00980BC4">
              <w:rPr>
                <w:rFonts w:ascii="宋体" w:eastAsia="宋体" w:hAnsi="宋体" w:cs="宋体"/>
                <w:sz w:val="18"/>
                <w:szCs w:val="18"/>
              </w:rPr>
              <w:t>120,384,563.22</w:t>
            </w:r>
          </w:p>
        </w:tc>
        <w:tc>
          <w:tcPr>
            <w:tcW w:w="1843" w:type="dxa"/>
            <w:tcBorders>
              <w:top w:val="single" w:sz="2" w:space="0" w:color="auto"/>
              <w:left w:val="single" w:sz="2" w:space="0" w:color="auto"/>
              <w:bottom w:val="single" w:sz="2" w:space="0" w:color="auto"/>
              <w:right w:val="single" w:sz="2" w:space="0" w:color="auto"/>
            </w:tcBorders>
            <w:vAlign w:val="center"/>
          </w:tcPr>
          <w:p w:rsidR="0096653D" w:rsidRPr="00980BC4" w:rsidRDefault="0096653D" w:rsidP="00863E71">
            <w:pPr>
              <w:spacing w:line="280" w:lineRule="atLeast"/>
              <w:jc w:val="right"/>
              <w:rPr>
                <w:rFonts w:ascii="宋体" w:eastAsia="宋体" w:hAnsi="宋体" w:cs="宋体"/>
                <w:sz w:val="18"/>
                <w:szCs w:val="18"/>
              </w:rPr>
            </w:pPr>
            <w:r w:rsidRPr="00E6728F">
              <w:rPr>
                <w:rFonts w:ascii="宋体" w:eastAsia="宋体" w:hAnsi="宋体" w:cs="宋体"/>
                <w:sz w:val="18"/>
                <w:szCs w:val="18"/>
              </w:rPr>
              <w:t>-144.08%</w:t>
            </w:r>
          </w:p>
        </w:tc>
        <w:tc>
          <w:tcPr>
            <w:tcW w:w="1734" w:type="dxa"/>
            <w:tcBorders>
              <w:top w:val="single" w:sz="2" w:space="0" w:color="auto"/>
              <w:left w:val="single" w:sz="2" w:space="0" w:color="auto"/>
              <w:bottom w:val="single" w:sz="2" w:space="0" w:color="auto"/>
              <w:right w:val="single" w:sz="2" w:space="0" w:color="auto"/>
            </w:tcBorders>
            <w:vAlign w:val="center"/>
          </w:tcPr>
          <w:p w:rsidR="0096653D" w:rsidRPr="00980BC4" w:rsidRDefault="0096653D"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-163,912.48</w:t>
            </w:r>
          </w:p>
        </w:tc>
      </w:tr>
      <w:tr w:rsidR="00733A14"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rPr>
                <w:rFonts w:ascii="宋体" w:eastAsia="宋体" w:hAnsi="宋体" w:cs="宋体"/>
                <w:sz w:val="18"/>
                <w:szCs w:val="18"/>
              </w:rPr>
            </w:pPr>
            <w:r w:rsidRPr="00980BC4">
              <w:rPr>
                <w:rFonts w:ascii="宋体" w:eastAsia="宋体" w:hAnsi="宋体" w:cs="宋体"/>
                <w:sz w:val="18"/>
                <w:szCs w:val="18"/>
              </w:rPr>
              <w:t>基本每股收益（元/股）</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0.28</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0.07</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300.00%</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1.53</w:t>
            </w:r>
          </w:p>
        </w:tc>
      </w:tr>
      <w:tr w:rsidR="00733A14"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rPr>
                <w:rFonts w:ascii="宋体" w:eastAsia="宋体" w:hAnsi="宋体" w:cs="宋体"/>
                <w:sz w:val="18"/>
                <w:szCs w:val="18"/>
              </w:rPr>
            </w:pPr>
            <w:r w:rsidRPr="00980BC4">
              <w:rPr>
                <w:rFonts w:ascii="宋体" w:eastAsia="宋体" w:hAnsi="宋体" w:cs="宋体"/>
                <w:sz w:val="18"/>
                <w:szCs w:val="18"/>
              </w:rPr>
              <w:t>稀释每股收益（元/股）</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0.27</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0.07</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285.71%</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1.53</w:t>
            </w:r>
          </w:p>
        </w:tc>
      </w:tr>
      <w:tr w:rsidR="00733A14"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rPr>
                <w:rFonts w:ascii="宋体" w:eastAsia="宋体" w:hAnsi="宋体" w:cs="宋体"/>
                <w:sz w:val="18"/>
                <w:szCs w:val="18"/>
              </w:rPr>
            </w:pPr>
            <w:r w:rsidRPr="00980BC4">
              <w:rPr>
                <w:rFonts w:ascii="宋体" w:eastAsia="宋体" w:hAnsi="宋体" w:cs="宋体"/>
                <w:sz w:val="18"/>
                <w:szCs w:val="18"/>
              </w:rPr>
              <w:t>加权平均净资产收益率</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7.07%</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1.92%</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5.15%</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46.49%</w:t>
            </w:r>
          </w:p>
        </w:tc>
      </w:tr>
      <w:tr w:rsidR="00733A14"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line="280" w:lineRule="atLeast"/>
            </w:pP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2022年末</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2021年末</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本年末比上年末增减</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2020年末</w:t>
            </w:r>
          </w:p>
        </w:tc>
      </w:tr>
      <w:tr w:rsidR="008D44CE"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8D44CE" w:rsidRPr="00980BC4" w:rsidRDefault="008D44CE" w:rsidP="00A47FA6">
            <w:pPr>
              <w:spacing w:before="40" w:after="40" w:line="280" w:lineRule="atLeast"/>
              <w:rPr>
                <w:rFonts w:ascii="宋体" w:eastAsia="宋体" w:hAnsi="宋体" w:cs="宋体"/>
                <w:sz w:val="18"/>
                <w:szCs w:val="18"/>
              </w:rPr>
            </w:pPr>
            <w:r w:rsidRPr="00980BC4">
              <w:rPr>
                <w:rFonts w:ascii="宋体" w:eastAsia="宋体" w:hAnsi="宋体" w:cs="宋体"/>
                <w:sz w:val="18"/>
                <w:szCs w:val="18"/>
              </w:rPr>
              <w:t>总资产（元）</w:t>
            </w:r>
          </w:p>
        </w:tc>
        <w:tc>
          <w:tcPr>
            <w:tcW w:w="1843" w:type="dxa"/>
            <w:tcBorders>
              <w:top w:val="single" w:sz="2" w:space="0" w:color="auto"/>
              <w:left w:val="single" w:sz="2" w:space="0" w:color="auto"/>
              <w:bottom w:val="single" w:sz="2" w:space="0" w:color="auto"/>
              <w:right w:val="single" w:sz="2" w:space="0" w:color="auto"/>
            </w:tcBorders>
            <w:vAlign w:val="center"/>
          </w:tcPr>
          <w:p w:rsidR="008D44CE" w:rsidRPr="00980BC4" w:rsidRDefault="008D44CE" w:rsidP="00264B53">
            <w:pPr>
              <w:spacing w:line="280" w:lineRule="atLeast"/>
              <w:jc w:val="right"/>
              <w:rPr>
                <w:rFonts w:ascii="宋体" w:eastAsia="宋体" w:hAnsi="宋体" w:cs="宋体"/>
                <w:sz w:val="18"/>
                <w:szCs w:val="18"/>
              </w:rPr>
            </w:pPr>
            <w:r w:rsidRPr="00613AF8">
              <w:rPr>
                <w:rFonts w:ascii="宋体" w:eastAsia="宋体" w:hAnsi="宋体" w:cs="宋体"/>
                <w:sz w:val="18"/>
                <w:szCs w:val="18"/>
              </w:rPr>
              <w:t>2,006,682,867.51</w:t>
            </w:r>
          </w:p>
        </w:tc>
        <w:tc>
          <w:tcPr>
            <w:tcW w:w="1701" w:type="dxa"/>
            <w:tcBorders>
              <w:top w:val="single" w:sz="2" w:space="0" w:color="auto"/>
              <w:left w:val="single" w:sz="2" w:space="0" w:color="auto"/>
              <w:bottom w:val="single" w:sz="2" w:space="0" w:color="auto"/>
              <w:right w:val="single" w:sz="2" w:space="0" w:color="auto"/>
            </w:tcBorders>
            <w:vAlign w:val="center"/>
          </w:tcPr>
          <w:p w:rsidR="008D44CE" w:rsidRPr="00980BC4" w:rsidRDefault="008D44CE" w:rsidP="00264B53">
            <w:pPr>
              <w:spacing w:line="280" w:lineRule="atLeast"/>
              <w:jc w:val="right"/>
              <w:rPr>
                <w:rFonts w:ascii="宋体" w:eastAsia="宋体" w:hAnsi="宋体" w:cs="宋体"/>
                <w:sz w:val="18"/>
                <w:szCs w:val="18"/>
              </w:rPr>
            </w:pPr>
            <w:r w:rsidRPr="00980BC4">
              <w:rPr>
                <w:rFonts w:ascii="宋体" w:eastAsia="宋体" w:hAnsi="宋体" w:cs="宋体"/>
                <w:sz w:val="18"/>
                <w:szCs w:val="18"/>
              </w:rPr>
              <w:t>1,854,461,108.45</w:t>
            </w:r>
          </w:p>
        </w:tc>
        <w:tc>
          <w:tcPr>
            <w:tcW w:w="1843" w:type="dxa"/>
            <w:tcBorders>
              <w:top w:val="single" w:sz="2" w:space="0" w:color="auto"/>
              <w:left w:val="single" w:sz="2" w:space="0" w:color="auto"/>
              <w:bottom w:val="single" w:sz="2" w:space="0" w:color="auto"/>
              <w:right w:val="single" w:sz="2" w:space="0" w:color="auto"/>
            </w:tcBorders>
            <w:vAlign w:val="center"/>
          </w:tcPr>
          <w:p w:rsidR="008D44CE" w:rsidRPr="00980BC4" w:rsidRDefault="008D44CE" w:rsidP="00264B53">
            <w:pPr>
              <w:spacing w:line="280" w:lineRule="atLeast"/>
              <w:jc w:val="right"/>
              <w:rPr>
                <w:rFonts w:ascii="宋体" w:eastAsia="宋体" w:hAnsi="宋体" w:cs="宋体"/>
                <w:sz w:val="18"/>
                <w:szCs w:val="18"/>
              </w:rPr>
            </w:pPr>
            <w:r w:rsidRPr="00613AF8">
              <w:rPr>
                <w:rFonts w:ascii="宋体" w:eastAsia="宋体" w:hAnsi="宋体" w:cs="宋体"/>
                <w:sz w:val="18"/>
                <w:szCs w:val="18"/>
              </w:rPr>
              <w:t>8.21%</w:t>
            </w:r>
          </w:p>
        </w:tc>
        <w:tc>
          <w:tcPr>
            <w:tcW w:w="1734" w:type="dxa"/>
            <w:tcBorders>
              <w:top w:val="single" w:sz="2" w:space="0" w:color="auto"/>
              <w:left w:val="single" w:sz="2" w:space="0" w:color="auto"/>
              <w:bottom w:val="single" w:sz="2" w:space="0" w:color="auto"/>
              <w:right w:val="single" w:sz="2" w:space="0" w:color="auto"/>
            </w:tcBorders>
            <w:vAlign w:val="center"/>
          </w:tcPr>
          <w:p w:rsidR="008D44CE" w:rsidRPr="00980BC4" w:rsidRDefault="008D44CE"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1,943,277,711.58</w:t>
            </w:r>
          </w:p>
        </w:tc>
      </w:tr>
      <w:tr w:rsidR="008D44CE" w:rsidRPr="00980BC4" w:rsidTr="00A47FA6">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8D44CE" w:rsidRPr="00980BC4" w:rsidRDefault="008D44CE" w:rsidP="00A47FA6">
            <w:pPr>
              <w:spacing w:before="40" w:after="40" w:line="280" w:lineRule="atLeast"/>
              <w:rPr>
                <w:rFonts w:ascii="宋体" w:eastAsia="宋体" w:hAnsi="宋体" w:cs="宋体"/>
                <w:sz w:val="18"/>
                <w:szCs w:val="18"/>
              </w:rPr>
            </w:pPr>
            <w:r w:rsidRPr="00980BC4">
              <w:rPr>
                <w:rFonts w:ascii="宋体" w:eastAsia="宋体" w:hAnsi="宋体" w:cs="宋体"/>
                <w:sz w:val="18"/>
                <w:szCs w:val="18"/>
              </w:rPr>
              <w:t>归属于上市公司股东的净资产（元）</w:t>
            </w:r>
          </w:p>
        </w:tc>
        <w:tc>
          <w:tcPr>
            <w:tcW w:w="1843" w:type="dxa"/>
            <w:tcBorders>
              <w:top w:val="single" w:sz="2" w:space="0" w:color="auto"/>
              <w:left w:val="single" w:sz="2" w:space="0" w:color="auto"/>
              <w:bottom w:val="single" w:sz="2" w:space="0" w:color="auto"/>
              <w:right w:val="single" w:sz="2" w:space="0" w:color="auto"/>
            </w:tcBorders>
            <w:vAlign w:val="center"/>
          </w:tcPr>
          <w:p w:rsidR="008D44CE" w:rsidRPr="00980BC4" w:rsidRDefault="008D44CE" w:rsidP="00264B53">
            <w:pPr>
              <w:spacing w:line="280" w:lineRule="atLeast"/>
              <w:jc w:val="right"/>
              <w:rPr>
                <w:rFonts w:ascii="宋体" w:eastAsia="宋体" w:hAnsi="宋体" w:cs="宋体"/>
                <w:sz w:val="18"/>
                <w:szCs w:val="18"/>
              </w:rPr>
            </w:pPr>
            <w:r w:rsidRPr="00613AF8">
              <w:rPr>
                <w:rFonts w:ascii="宋体" w:eastAsia="宋体" w:hAnsi="宋体" w:cs="宋体"/>
                <w:sz w:val="18"/>
                <w:szCs w:val="18"/>
              </w:rPr>
              <w:t>1,754,753,747.99</w:t>
            </w:r>
          </w:p>
        </w:tc>
        <w:tc>
          <w:tcPr>
            <w:tcW w:w="1701" w:type="dxa"/>
            <w:tcBorders>
              <w:top w:val="single" w:sz="2" w:space="0" w:color="auto"/>
              <w:left w:val="single" w:sz="2" w:space="0" w:color="auto"/>
              <w:bottom w:val="single" w:sz="2" w:space="0" w:color="auto"/>
              <w:right w:val="single" w:sz="2" w:space="0" w:color="auto"/>
            </w:tcBorders>
            <w:vAlign w:val="center"/>
          </w:tcPr>
          <w:p w:rsidR="008D44CE" w:rsidRPr="00980BC4" w:rsidRDefault="008D44CE" w:rsidP="00264B53">
            <w:pPr>
              <w:spacing w:line="280" w:lineRule="atLeast"/>
              <w:jc w:val="right"/>
              <w:rPr>
                <w:rFonts w:ascii="宋体" w:eastAsia="宋体" w:hAnsi="宋体" w:cs="宋体"/>
                <w:sz w:val="18"/>
                <w:szCs w:val="18"/>
              </w:rPr>
            </w:pPr>
            <w:r w:rsidRPr="00980BC4">
              <w:rPr>
                <w:rFonts w:ascii="宋体" w:eastAsia="宋体" w:hAnsi="宋体" w:cs="宋体"/>
                <w:sz w:val="18"/>
                <w:szCs w:val="18"/>
              </w:rPr>
              <w:t>1,621,176,703.21</w:t>
            </w:r>
          </w:p>
        </w:tc>
        <w:tc>
          <w:tcPr>
            <w:tcW w:w="1843" w:type="dxa"/>
            <w:tcBorders>
              <w:top w:val="single" w:sz="2" w:space="0" w:color="auto"/>
              <w:left w:val="single" w:sz="2" w:space="0" w:color="auto"/>
              <w:bottom w:val="single" w:sz="2" w:space="0" w:color="auto"/>
              <w:right w:val="single" w:sz="2" w:space="0" w:color="auto"/>
            </w:tcBorders>
            <w:vAlign w:val="center"/>
          </w:tcPr>
          <w:p w:rsidR="008D44CE" w:rsidRPr="00980BC4" w:rsidRDefault="008D44CE" w:rsidP="00264B53">
            <w:pPr>
              <w:spacing w:line="280" w:lineRule="atLeast"/>
              <w:jc w:val="right"/>
              <w:rPr>
                <w:rFonts w:ascii="宋体" w:eastAsia="宋体" w:hAnsi="宋体" w:cs="宋体"/>
                <w:sz w:val="18"/>
                <w:szCs w:val="18"/>
              </w:rPr>
            </w:pPr>
            <w:r w:rsidRPr="00613AF8">
              <w:rPr>
                <w:rFonts w:ascii="宋体" w:eastAsia="宋体" w:hAnsi="宋体" w:cs="宋体"/>
                <w:sz w:val="18"/>
                <w:szCs w:val="18"/>
              </w:rPr>
              <w:t>8.24%</w:t>
            </w:r>
          </w:p>
        </w:tc>
        <w:tc>
          <w:tcPr>
            <w:tcW w:w="1734" w:type="dxa"/>
            <w:tcBorders>
              <w:top w:val="single" w:sz="2" w:space="0" w:color="auto"/>
              <w:left w:val="single" w:sz="2" w:space="0" w:color="auto"/>
              <w:bottom w:val="single" w:sz="2" w:space="0" w:color="auto"/>
              <w:right w:val="single" w:sz="2" w:space="0" w:color="auto"/>
            </w:tcBorders>
            <w:vAlign w:val="center"/>
          </w:tcPr>
          <w:p w:rsidR="008D44CE" w:rsidRPr="00980BC4" w:rsidRDefault="008D44CE" w:rsidP="00A47FA6">
            <w:pPr>
              <w:spacing w:line="280" w:lineRule="atLeast"/>
              <w:jc w:val="right"/>
              <w:rPr>
                <w:rFonts w:ascii="宋体" w:eastAsia="宋体" w:hAnsi="宋体" w:cs="宋体"/>
                <w:sz w:val="18"/>
                <w:szCs w:val="18"/>
              </w:rPr>
            </w:pPr>
            <w:r w:rsidRPr="00980BC4">
              <w:rPr>
                <w:rFonts w:ascii="宋体" w:eastAsia="宋体" w:hAnsi="宋体" w:cs="宋体"/>
                <w:sz w:val="18"/>
                <w:szCs w:val="18"/>
              </w:rPr>
              <w:t>1,710,800,895.77</w:t>
            </w:r>
          </w:p>
        </w:tc>
      </w:tr>
    </w:tbl>
    <w:p w:rsidR="002A3304" w:rsidRPr="00980BC4" w:rsidRDefault="00DF4EBF" w:rsidP="00397F42">
      <w:pPr>
        <w:pStyle w:val="Chapter"/>
        <w:spacing w:before="0" w:after="0" w:line="540" w:lineRule="exact"/>
        <w:ind w:firstLineChars="200" w:firstLine="562"/>
        <w:outlineLvl w:val="1"/>
        <w:rPr>
          <w:rFonts w:ascii="仿宋" w:eastAsia="仿宋" w:hAnsi="仿宋"/>
          <w:sz w:val="28"/>
          <w:szCs w:val="28"/>
        </w:rPr>
      </w:pPr>
      <w:r w:rsidRPr="00980BC4">
        <w:rPr>
          <w:rFonts w:ascii="仿宋" w:eastAsia="仿宋" w:hAnsi="仿宋"/>
          <w:sz w:val="28"/>
          <w:szCs w:val="28"/>
        </w:rPr>
        <w:lastRenderedPageBreak/>
        <w:t>公司最近三个会计年度扣除非经常性损益前后净利润孰低者均为负值，且最近一年审计报告显示公司持续经营能力存在不确定性</w:t>
      </w:r>
    </w:p>
    <w:p w:rsidR="002A3304" w:rsidRPr="00980BC4" w:rsidRDefault="00DF4EBF" w:rsidP="00397F42">
      <w:pPr>
        <w:pStyle w:val="Chapter"/>
        <w:spacing w:before="0" w:after="0" w:line="54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t xml:space="preserve">□是 </w:t>
      </w:r>
      <w:r w:rsidR="0000105E" w:rsidRPr="00980BC4">
        <w:rPr>
          <w:rFonts w:ascii="仿宋" w:eastAsia="仿宋" w:hAnsi="仿宋" w:hint="eastAsia"/>
          <w:b w:val="0"/>
          <w:sz w:val="28"/>
          <w:szCs w:val="28"/>
        </w:rPr>
        <w:t xml:space="preserve"> </w:t>
      </w:r>
      <w:r w:rsidRPr="00980BC4">
        <w:rPr>
          <w:rFonts w:ascii="仿宋" w:eastAsia="仿宋" w:hAnsi="仿宋"/>
          <w:b w:val="0"/>
          <w:sz w:val="28"/>
          <w:szCs w:val="28"/>
        </w:rPr>
        <w:sym w:font="Wingdings 2" w:char="F052"/>
      </w:r>
      <w:r w:rsidRPr="00980BC4">
        <w:rPr>
          <w:rFonts w:ascii="仿宋" w:eastAsia="仿宋" w:hAnsi="仿宋"/>
          <w:b w:val="0"/>
          <w:sz w:val="28"/>
          <w:szCs w:val="28"/>
        </w:rPr>
        <w:t>否</w:t>
      </w:r>
    </w:p>
    <w:p w:rsidR="002A3304" w:rsidRPr="00980BC4" w:rsidRDefault="00DF4EBF" w:rsidP="00397F42">
      <w:pPr>
        <w:pStyle w:val="Chapter"/>
        <w:spacing w:before="0" w:after="0" w:line="540" w:lineRule="exact"/>
        <w:ind w:firstLineChars="200" w:firstLine="562"/>
        <w:outlineLvl w:val="1"/>
        <w:rPr>
          <w:rFonts w:ascii="仿宋" w:eastAsia="仿宋" w:hAnsi="仿宋"/>
          <w:sz w:val="28"/>
          <w:szCs w:val="28"/>
        </w:rPr>
      </w:pPr>
      <w:r w:rsidRPr="00980BC4">
        <w:rPr>
          <w:rFonts w:ascii="仿宋" w:eastAsia="仿宋" w:hAnsi="仿宋"/>
          <w:sz w:val="28"/>
          <w:szCs w:val="28"/>
        </w:rPr>
        <w:t>扣除非经常损益前后的净利润孰低者为负值</w:t>
      </w:r>
    </w:p>
    <w:p w:rsidR="002A3304" w:rsidRPr="00980BC4" w:rsidRDefault="00DF4EBF" w:rsidP="00397F42">
      <w:pPr>
        <w:pStyle w:val="Chapter"/>
        <w:spacing w:before="0" w:after="0" w:line="54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t>□是</w:t>
      </w:r>
      <w:r w:rsidR="0000105E" w:rsidRPr="00980BC4">
        <w:rPr>
          <w:rFonts w:ascii="仿宋" w:eastAsia="仿宋" w:hAnsi="仿宋" w:hint="eastAsia"/>
          <w:b w:val="0"/>
          <w:sz w:val="28"/>
          <w:szCs w:val="28"/>
        </w:rPr>
        <w:t xml:space="preserve"> </w:t>
      </w:r>
      <w:r w:rsidRPr="00980BC4">
        <w:rPr>
          <w:rFonts w:ascii="仿宋" w:eastAsia="仿宋" w:hAnsi="仿宋"/>
          <w:b w:val="0"/>
          <w:sz w:val="28"/>
          <w:szCs w:val="28"/>
        </w:rPr>
        <w:t xml:space="preserve"> </w:t>
      </w:r>
      <w:r w:rsidRPr="00980BC4">
        <w:rPr>
          <w:rFonts w:ascii="仿宋" w:eastAsia="仿宋" w:hAnsi="仿宋"/>
          <w:b w:val="0"/>
          <w:sz w:val="28"/>
          <w:szCs w:val="28"/>
        </w:rPr>
        <w:sym w:font="Wingdings 2" w:char="F052"/>
      </w:r>
      <w:r w:rsidRPr="00980BC4">
        <w:rPr>
          <w:rFonts w:ascii="仿宋" w:eastAsia="仿宋" w:hAnsi="仿宋"/>
          <w:b w:val="0"/>
          <w:sz w:val="28"/>
          <w:szCs w:val="28"/>
        </w:rPr>
        <w:t>否</w:t>
      </w:r>
    </w:p>
    <w:p w:rsidR="002A3304" w:rsidRPr="00980BC4" w:rsidRDefault="00DF4EBF" w:rsidP="00397F42">
      <w:pPr>
        <w:pStyle w:val="Chapter"/>
        <w:spacing w:before="0" w:after="0" w:line="540" w:lineRule="exact"/>
        <w:ind w:firstLineChars="200" w:firstLine="562"/>
        <w:outlineLvl w:val="1"/>
        <w:rPr>
          <w:bCs w:val="0"/>
          <w:sz w:val="28"/>
          <w:szCs w:val="28"/>
        </w:rPr>
      </w:pPr>
      <w:bookmarkStart w:id="8" w:name="_Toc988897"/>
      <w:r w:rsidRPr="00980BC4">
        <w:rPr>
          <w:bCs w:val="0"/>
          <w:sz w:val="28"/>
          <w:szCs w:val="28"/>
        </w:rPr>
        <w:t>七、境内外会计准则下会计数据差异</w:t>
      </w:r>
      <w:bookmarkEnd w:id="8"/>
    </w:p>
    <w:p w:rsidR="002A3304" w:rsidRPr="00980BC4" w:rsidRDefault="00DF4EBF" w:rsidP="00397F42">
      <w:pPr>
        <w:pStyle w:val="Chapter"/>
        <w:spacing w:before="0" w:after="0" w:line="540" w:lineRule="exact"/>
        <w:ind w:firstLineChars="200" w:firstLine="562"/>
        <w:outlineLvl w:val="1"/>
        <w:rPr>
          <w:rFonts w:ascii="仿宋" w:eastAsia="仿宋" w:hAnsi="仿宋"/>
          <w:sz w:val="28"/>
          <w:szCs w:val="28"/>
        </w:rPr>
      </w:pPr>
      <w:bookmarkStart w:id="9" w:name="_Toc988898"/>
      <w:r w:rsidRPr="00980BC4">
        <w:rPr>
          <w:rFonts w:ascii="仿宋" w:eastAsia="仿宋" w:hAnsi="仿宋"/>
          <w:sz w:val="28"/>
          <w:szCs w:val="28"/>
        </w:rPr>
        <w:t>1、同时按照国际会计准则与按照中国会计准则披露的财务报告中净利润和净资产差异情况</w:t>
      </w:r>
      <w:bookmarkEnd w:id="9"/>
    </w:p>
    <w:p w:rsidR="002A3304" w:rsidRPr="00980BC4" w:rsidRDefault="00DF4EBF" w:rsidP="00397F42">
      <w:pPr>
        <w:pStyle w:val="Chapter"/>
        <w:spacing w:before="0" w:after="0" w:line="54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t>□适用</w:t>
      </w:r>
      <w:r w:rsidR="0000105E" w:rsidRPr="00980BC4">
        <w:rPr>
          <w:rFonts w:ascii="仿宋" w:eastAsia="仿宋" w:hAnsi="仿宋" w:hint="eastAsia"/>
          <w:b w:val="0"/>
          <w:sz w:val="28"/>
          <w:szCs w:val="28"/>
        </w:rPr>
        <w:t xml:space="preserve"> </w:t>
      </w:r>
      <w:r w:rsidRPr="00980BC4">
        <w:rPr>
          <w:rFonts w:ascii="仿宋" w:eastAsia="仿宋" w:hAnsi="仿宋"/>
          <w:b w:val="0"/>
          <w:sz w:val="28"/>
          <w:szCs w:val="28"/>
        </w:rPr>
        <w:t xml:space="preserve"> </w:t>
      </w:r>
      <w:r w:rsidRPr="00980BC4">
        <w:rPr>
          <w:rFonts w:ascii="仿宋" w:eastAsia="仿宋" w:hAnsi="仿宋"/>
          <w:b w:val="0"/>
          <w:sz w:val="28"/>
          <w:szCs w:val="28"/>
        </w:rPr>
        <w:sym w:font="Wingdings 2" w:char="F052"/>
      </w:r>
      <w:r w:rsidRPr="00980BC4">
        <w:rPr>
          <w:rFonts w:ascii="仿宋" w:eastAsia="仿宋" w:hAnsi="仿宋"/>
          <w:b w:val="0"/>
          <w:sz w:val="28"/>
          <w:szCs w:val="28"/>
        </w:rPr>
        <w:t>不适用</w:t>
      </w:r>
    </w:p>
    <w:p w:rsidR="002A3304" w:rsidRPr="00980BC4" w:rsidRDefault="00DF4EBF" w:rsidP="00397F42">
      <w:pPr>
        <w:pStyle w:val="Chapter"/>
        <w:spacing w:before="0" w:after="0" w:line="54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t>公司报告期不存在按照国际会计准则与按照中国会计准则披露的财务报告中净利润和净资产差异情况。</w:t>
      </w:r>
    </w:p>
    <w:p w:rsidR="002A3304" w:rsidRPr="00980BC4" w:rsidRDefault="00DF4EBF" w:rsidP="00397F42">
      <w:pPr>
        <w:pStyle w:val="Chapter"/>
        <w:spacing w:before="0" w:after="0" w:line="540" w:lineRule="exact"/>
        <w:ind w:firstLineChars="200" w:firstLine="562"/>
        <w:outlineLvl w:val="1"/>
        <w:rPr>
          <w:rFonts w:ascii="仿宋" w:eastAsia="仿宋" w:hAnsi="仿宋"/>
          <w:sz w:val="28"/>
          <w:szCs w:val="28"/>
        </w:rPr>
      </w:pPr>
      <w:bookmarkStart w:id="10" w:name="_Toc988899"/>
      <w:r w:rsidRPr="00980BC4">
        <w:rPr>
          <w:rFonts w:ascii="仿宋" w:eastAsia="仿宋" w:hAnsi="仿宋"/>
          <w:sz w:val="28"/>
          <w:szCs w:val="28"/>
        </w:rPr>
        <w:t>2、同时按照境外会计准则与按照中国会计准则披露的财务报告中净利润和净资产差异情况</w:t>
      </w:r>
      <w:bookmarkEnd w:id="10"/>
    </w:p>
    <w:p w:rsidR="002A3304" w:rsidRPr="00980BC4" w:rsidRDefault="00DF4EBF" w:rsidP="00397F42">
      <w:pPr>
        <w:pStyle w:val="Chapter"/>
        <w:spacing w:before="0" w:after="0" w:line="54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t>□适用</w:t>
      </w:r>
      <w:r w:rsidR="0000105E" w:rsidRPr="00980BC4">
        <w:rPr>
          <w:rFonts w:ascii="仿宋" w:eastAsia="仿宋" w:hAnsi="仿宋" w:hint="eastAsia"/>
          <w:b w:val="0"/>
          <w:sz w:val="28"/>
          <w:szCs w:val="28"/>
        </w:rPr>
        <w:t xml:space="preserve"> </w:t>
      </w:r>
      <w:r w:rsidRPr="00980BC4">
        <w:rPr>
          <w:rFonts w:ascii="仿宋" w:eastAsia="仿宋" w:hAnsi="仿宋"/>
          <w:b w:val="0"/>
          <w:sz w:val="28"/>
          <w:szCs w:val="28"/>
        </w:rPr>
        <w:t xml:space="preserve"> </w:t>
      </w:r>
      <w:r w:rsidRPr="00980BC4">
        <w:rPr>
          <w:rFonts w:ascii="仿宋" w:eastAsia="仿宋" w:hAnsi="仿宋"/>
          <w:b w:val="0"/>
          <w:sz w:val="28"/>
          <w:szCs w:val="28"/>
        </w:rPr>
        <w:sym w:font="Wingdings 2" w:char="F052"/>
      </w:r>
      <w:r w:rsidRPr="00980BC4">
        <w:rPr>
          <w:rFonts w:ascii="仿宋" w:eastAsia="仿宋" w:hAnsi="仿宋"/>
          <w:b w:val="0"/>
          <w:sz w:val="28"/>
          <w:szCs w:val="28"/>
        </w:rPr>
        <w:t>不适用</w:t>
      </w:r>
    </w:p>
    <w:p w:rsidR="002A3304" w:rsidRPr="00980BC4" w:rsidRDefault="00DF4EBF" w:rsidP="00397F42">
      <w:pPr>
        <w:pStyle w:val="Chapter"/>
        <w:spacing w:before="0" w:after="0" w:line="54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t>公司报告期不存在按照境外会计准则与按照中国会计准则披露的财务报告中净利润和净资产差异情况。</w:t>
      </w:r>
    </w:p>
    <w:p w:rsidR="002A3304" w:rsidRPr="00980BC4" w:rsidRDefault="00DF4EBF" w:rsidP="00397F42">
      <w:pPr>
        <w:pStyle w:val="Chapter"/>
        <w:spacing w:before="0" w:after="0" w:line="540" w:lineRule="exact"/>
        <w:ind w:firstLineChars="200" w:firstLine="562"/>
        <w:outlineLvl w:val="1"/>
        <w:rPr>
          <w:bCs w:val="0"/>
          <w:sz w:val="28"/>
          <w:szCs w:val="28"/>
        </w:rPr>
      </w:pPr>
      <w:bookmarkStart w:id="11" w:name="_Toc988900"/>
      <w:r w:rsidRPr="00980BC4">
        <w:rPr>
          <w:bCs w:val="0"/>
          <w:sz w:val="28"/>
          <w:szCs w:val="28"/>
        </w:rPr>
        <w:t>八、分季度主要财务指标</w:t>
      </w:r>
      <w:bookmarkEnd w:id="11"/>
    </w:p>
    <w:p w:rsidR="00733A14" w:rsidRPr="00980BC4" w:rsidRDefault="00733A14" w:rsidP="00733A14">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660"/>
        <w:gridCol w:w="1843"/>
        <w:gridCol w:w="1701"/>
        <w:gridCol w:w="1701"/>
        <w:gridCol w:w="1734"/>
      </w:tblGrid>
      <w:tr w:rsidR="00733A14" w:rsidRPr="00980BC4" w:rsidTr="00A47FA6">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line="280" w:lineRule="exact"/>
            </w:pP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第一季度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第二季度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第三季度</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第四季度</w:t>
            </w:r>
          </w:p>
        </w:tc>
      </w:tr>
      <w:tr w:rsidR="00733A14" w:rsidRPr="00980BC4" w:rsidTr="00A47FA6">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exact"/>
              <w:rPr>
                <w:rFonts w:ascii="宋体" w:eastAsia="宋体" w:hAnsi="宋体" w:cs="宋体"/>
                <w:sz w:val="18"/>
                <w:szCs w:val="18"/>
              </w:rPr>
            </w:pPr>
            <w:r w:rsidRPr="00980BC4">
              <w:rPr>
                <w:rFonts w:ascii="宋体" w:eastAsia="宋体" w:hAnsi="宋体" w:cs="宋体"/>
                <w:sz w:val="18"/>
                <w:szCs w:val="18"/>
              </w:rPr>
              <w:t>营业收入</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90,211,676.77</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90,175,018.63</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114,309,442.72</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150,685,853.53</w:t>
            </w:r>
          </w:p>
        </w:tc>
      </w:tr>
      <w:tr w:rsidR="00733A14" w:rsidRPr="00980BC4" w:rsidTr="00A47FA6">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exact"/>
              <w:rPr>
                <w:rFonts w:ascii="宋体" w:eastAsia="宋体" w:hAnsi="宋体" w:cs="宋体"/>
                <w:sz w:val="18"/>
                <w:szCs w:val="18"/>
              </w:rPr>
            </w:pPr>
            <w:r w:rsidRPr="00980BC4">
              <w:rPr>
                <w:rFonts w:ascii="宋体" w:eastAsia="宋体" w:hAnsi="宋体" w:cs="宋体"/>
                <w:sz w:val="18"/>
                <w:szCs w:val="18"/>
              </w:rPr>
              <w:t>归属于上市公司股东的净利润</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25,216,906.58</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8,202,268.28</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39,014,237.51</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46,974,767.14</w:t>
            </w:r>
          </w:p>
        </w:tc>
      </w:tr>
      <w:tr w:rsidR="00733A14" w:rsidRPr="00980BC4" w:rsidTr="00A47FA6">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exact"/>
              <w:rPr>
                <w:rFonts w:ascii="宋体" w:eastAsia="宋体" w:hAnsi="宋体" w:cs="宋体"/>
                <w:sz w:val="18"/>
                <w:szCs w:val="18"/>
              </w:rPr>
            </w:pPr>
            <w:r w:rsidRPr="00980BC4">
              <w:rPr>
                <w:rFonts w:ascii="宋体" w:eastAsia="宋体" w:hAnsi="宋体" w:cs="宋体"/>
                <w:sz w:val="18"/>
                <w:szCs w:val="18"/>
              </w:rPr>
              <w:t>归属于上市公司股东的扣除非经常性损益的净利润</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27,254,214.72</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2,885,072.82</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37,554,906.78</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31,388,797.69</w:t>
            </w:r>
          </w:p>
        </w:tc>
      </w:tr>
      <w:tr w:rsidR="00733A14" w:rsidRPr="00980BC4" w:rsidTr="00A47FA6">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A47FA6">
            <w:pPr>
              <w:spacing w:before="40" w:after="40" w:line="280" w:lineRule="exact"/>
              <w:rPr>
                <w:rFonts w:ascii="宋体" w:eastAsia="宋体" w:hAnsi="宋体" w:cs="宋体"/>
                <w:sz w:val="18"/>
                <w:szCs w:val="18"/>
              </w:rPr>
            </w:pPr>
            <w:r w:rsidRPr="00980BC4">
              <w:rPr>
                <w:rFonts w:ascii="宋体" w:eastAsia="宋体" w:hAnsi="宋体" w:cs="宋体"/>
                <w:sz w:val="18"/>
                <w:szCs w:val="18"/>
              </w:rPr>
              <w:t>经营活动产生的现金流量净额</w:t>
            </w:r>
          </w:p>
        </w:tc>
        <w:tc>
          <w:tcPr>
            <w:tcW w:w="1843"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-32,050,291.16</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-3,886,702.63</w:t>
            </w:r>
          </w:p>
        </w:tc>
        <w:tc>
          <w:tcPr>
            <w:tcW w:w="1701"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-46,875,154.61</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863E71" w:rsidP="00A47FA6">
            <w:pPr>
              <w:spacing w:line="280" w:lineRule="exact"/>
              <w:jc w:val="right"/>
              <w:rPr>
                <w:rFonts w:ascii="宋体" w:eastAsia="宋体" w:hAnsi="宋体" w:cs="宋体"/>
                <w:sz w:val="18"/>
                <w:szCs w:val="18"/>
              </w:rPr>
            </w:pPr>
            <w:r w:rsidRPr="00E6728F">
              <w:rPr>
                <w:rFonts w:ascii="宋体" w:eastAsia="宋体" w:hAnsi="宋体" w:cs="宋体"/>
                <w:sz w:val="18"/>
                <w:szCs w:val="18"/>
              </w:rPr>
              <w:t>29,745,799.90</w:t>
            </w:r>
          </w:p>
        </w:tc>
      </w:tr>
    </w:tbl>
    <w:p w:rsidR="00135BF2" w:rsidRPr="00980BC4" w:rsidRDefault="00DF4EBF" w:rsidP="00135BF2">
      <w:pPr>
        <w:pStyle w:val="Chapter"/>
        <w:keepNext w:val="0"/>
        <w:keepLines w:val="0"/>
        <w:widowControl/>
        <w:spacing w:before="0" w:after="0" w:line="560" w:lineRule="exact"/>
        <w:ind w:firstLineChars="200" w:firstLine="562"/>
        <w:outlineLvl w:val="1"/>
        <w:rPr>
          <w:rFonts w:ascii="仿宋" w:eastAsia="仿宋" w:hAnsi="仿宋"/>
          <w:sz w:val="28"/>
          <w:szCs w:val="28"/>
        </w:rPr>
      </w:pPr>
      <w:r w:rsidRPr="00980BC4">
        <w:rPr>
          <w:rFonts w:ascii="仿宋" w:eastAsia="仿宋" w:hAnsi="仿宋"/>
          <w:sz w:val="28"/>
          <w:szCs w:val="28"/>
        </w:rPr>
        <w:t>上述财务指标或其加总数是否与公司已披露季度报告、半年度报告相关财务指标存在重大差异</w:t>
      </w:r>
    </w:p>
    <w:p w:rsidR="00397F42" w:rsidRDefault="00DF4EBF" w:rsidP="00397F42">
      <w:pPr>
        <w:pStyle w:val="Chapter"/>
        <w:keepNext w:val="0"/>
        <w:keepLines w:val="0"/>
        <w:spacing w:before="0" w:after="0" w:line="56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t xml:space="preserve">□是 </w:t>
      </w:r>
      <w:r w:rsidR="00826719" w:rsidRPr="00980BC4">
        <w:rPr>
          <w:rFonts w:ascii="仿宋" w:eastAsia="仿宋" w:hAnsi="仿宋" w:hint="eastAsia"/>
          <w:b w:val="0"/>
          <w:sz w:val="28"/>
          <w:szCs w:val="28"/>
        </w:rPr>
        <w:t xml:space="preserve"> </w:t>
      </w:r>
      <w:r w:rsidRPr="00980BC4">
        <w:rPr>
          <w:rFonts w:ascii="仿宋" w:eastAsia="仿宋" w:hAnsi="仿宋"/>
          <w:b w:val="0"/>
          <w:sz w:val="28"/>
          <w:szCs w:val="28"/>
        </w:rPr>
        <w:sym w:font="Wingdings 2" w:char="F052"/>
      </w:r>
      <w:r w:rsidRPr="00980BC4">
        <w:rPr>
          <w:rFonts w:ascii="仿宋" w:eastAsia="仿宋" w:hAnsi="仿宋"/>
          <w:b w:val="0"/>
          <w:sz w:val="28"/>
          <w:szCs w:val="28"/>
        </w:rPr>
        <w:t>否</w:t>
      </w:r>
      <w:bookmarkStart w:id="12" w:name="_Toc988901"/>
    </w:p>
    <w:p w:rsidR="002A3304" w:rsidRPr="00980BC4" w:rsidRDefault="00DF4EBF" w:rsidP="00397F42">
      <w:pPr>
        <w:pStyle w:val="Chapter"/>
        <w:keepNext w:val="0"/>
        <w:keepLines w:val="0"/>
        <w:spacing w:before="0" w:after="0" w:line="560" w:lineRule="exact"/>
        <w:ind w:firstLineChars="200" w:firstLine="562"/>
        <w:outlineLvl w:val="1"/>
        <w:rPr>
          <w:bCs w:val="0"/>
          <w:sz w:val="28"/>
          <w:szCs w:val="28"/>
        </w:rPr>
      </w:pPr>
      <w:r w:rsidRPr="00980BC4">
        <w:rPr>
          <w:bCs w:val="0"/>
          <w:sz w:val="28"/>
          <w:szCs w:val="28"/>
        </w:rPr>
        <w:lastRenderedPageBreak/>
        <w:t>九、非经常性损益项目及金额</w:t>
      </w:r>
      <w:bookmarkEnd w:id="12"/>
    </w:p>
    <w:p w:rsidR="002A3304" w:rsidRPr="00980BC4" w:rsidRDefault="00DF4EBF" w:rsidP="00826719">
      <w:pPr>
        <w:pStyle w:val="Chapter"/>
        <w:spacing w:before="0" w:after="0" w:line="560" w:lineRule="exact"/>
        <w:ind w:firstLineChars="200" w:firstLine="560"/>
        <w:outlineLvl w:val="1"/>
        <w:rPr>
          <w:rFonts w:ascii="仿宋" w:eastAsia="仿宋" w:hAnsi="仿宋"/>
          <w:b w:val="0"/>
          <w:sz w:val="28"/>
          <w:szCs w:val="28"/>
        </w:rPr>
      </w:pPr>
      <w:r w:rsidRPr="00980BC4">
        <w:rPr>
          <w:rFonts w:ascii="仿宋" w:eastAsia="仿宋" w:hAnsi="仿宋"/>
          <w:b w:val="0"/>
          <w:sz w:val="28"/>
          <w:szCs w:val="28"/>
        </w:rPr>
        <w:sym w:font="Wingdings 2" w:char="F052"/>
      </w:r>
      <w:r w:rsidRPr="00980BC4">
        <w:rPr>
          <w:rFonts w:ascii="仿宋" w:eastAsia="仿宋" w:hAnsi="仿宋"/>
          <w:b w:val="0"/>
          <w:sz w:val="28"/>
          <w:szCs w:val="28"/>
        </w:rPr>
        <w:t>适用</w:t>
      </w:r>
      <w:r w:rsidR="00826719" w:rsidRPr="00980BC4">
        <w:rPr>
          <w:rFonts w:ascii="仿宋" w:eastAsia="仿宋" w:hAnsi="仿宋" w:hint="eastAsia"/>
          <w:b w:val="0"/>
          <w:sz w:val="28"/>
          <w:szCs w:val="28"/>
        </w:rPr>
        <w:t xml:space="preserve"> </w:t>
      </w:r>
      <w:r w:rsidRPr="00980BC4">
        <w:rPr>
          <w:rFonts w:ascii="仿宋" w:eastAsia="仿宋" w:hAnsi="仿宋"/>
          <w:b w:val="0"/>
          <w:sz w:val="28"/>
          <w:szCs w:val="28"/>
        </w:rPr>
        <w:t xml:space="preserve"> □不适用</w:t>
      </w:r>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510"/>
        <w:gridCol w:w="1418"/>
        <w:gridCol w:w="1417"/>
        <w:gridCol w:w="1560"/>
        <w:gridCol w:w="1734"/>
      </w:tblGrid>
      <w:tr w:rsidR="002A3304" w:rsidRPr="00980BC4" w:rsidTr="00397F42">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671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671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2022年金额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671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2021年金额</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671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2020年金额</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671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说明</w:t>
            </w:r>
          </w:p>
        </w:tc>
      </w:tr>
      <w:tr w:rsidR="00733A14" w:rsidRPr="00980BC4" w:rsidTr="00397F42">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826719">
            <w:pPr>
              <w:spacing w:before="40" w:after="40" w:line="280" w:lineRule="exact"/>
              <w:rPr>
                <w:rFonts w:ascii="宋体" w:eastAsia="宋体" w:hAnsi="宋体" w:cs="宋体"/>
                <w:sz w:val="18"/>
                <w:szCs w:val="18"/>
              </w:rPr>
            </w:pPr>
            <w:r w:rsidRPr="00980BC4">
              <w:rPr>
                <w:rFonts w:ascii="宋体" w:eastAsia="宋体" w:hAnsi="宋体" w:cs="宋体"/>
                <w:sz w:val="18"/>
                <w:szCs w:val="18"/>
              </w:rPr>
              <w:t>非流动资产处置损益（包括已计提资产减值准备的冲销部分）</w:t>
            </w:r>
          </w:p>
        </w:tc>
        <w:tc>
          <w:tcPr>
            <w:tcW w:w="1418"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17,193.76</w:t>
            </w:r>
          </w:p>
        </w:tc>
        <w:tc>
          <w:tcPr>
            <w:tcW w:w="1417"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-40,613.46</w:t>
            </w:r>
          </w:p>
        </w:tc>
        <w:tc>
          <w:tcPr>
            <w:tcW w:w="1560"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818,489,130.81</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rPr>
                <w:rFonts w:ascii="宋体" w:eastAsia="宋体" w:hAnsi="宋体" w:cs="宋体"/>
                <w:sz w:val="18"/>
                <w:szCs w:val="18"/>
              </w:rPr>
            </w:pPr>
          </w:p>
        </w:tc>
      </w:tr>
      <w:tr w:rsidR="00733A14" w:rsidRPr="00980BC4" w:rsidTr="00397F42">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826719">
            <w:pPr>
              <w:spacing w:before="40" w:after="40" w:line="280" w:lineRule="exact"/>
              <w:rPr>
                <w:rFonts w:ascii="宋体" w:eastAsia="宋体" w:hAnsi="宋体" w:cs="宋体"/>
                <w:sz w:val="18"/>
                <w:szCs w:val="18"/>
              </w:rPr>
            </w:pPr>
            <w:r w:rsidRPr="00980BC4">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1418"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3,864,065.57</w:t>
            </w:r>
          </w:p>
        </w:tc>
        <w:tc>
          <w:tcPr>
            <w:tcW w:w="1417"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4,621,807.60</w:t>
            </w:r>
          </w:p>
        </w:tc>
        <w:tc>
          <w:tcPr>
            <w:tcW w:w="1560"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3,443,313.50</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rPr>
                <w:rFonts w:ascii="宋体" w:eastAsia="宋体" w:hAnsi="宋体" w:cs="宋体"/>
                <w:sz w:val="18"/>
                <w:szCs w:val="18"/>
              </w:rPr>
            </w:pPr>
          </w:p>
        </w:tc>
      </w:tr>
      <w:tr w:rsidR="00733A14" w:rsidRPr="00980BC4" w:rsidTr="00397F42">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826719">
            <w:pPr>
              <w:spacing w:before="40" w:after="40" w:line="280" w:lineRule="exact"/>
              <w:rPr>
                <w:rFonts w:ascii="宋体" w:eastAsia="宋体" w:hAnsi="宋体" w:cs="宋体"/>
                <w:sz w:val="18"/>
                <w:szCs w:val="18"/>
              </w:rPr>
            </w:pPr>
            <w:r w:rsidRPr="00980BC4">
              <w:rPr>
                <w:rFonts w:ascii="宋体" w:eastAsia="宋体" w:hAnsi="宋体" w:cs="宋体"/>
                <w:sz w:val="18"/>
                <w:szCs w:val="18"/>
              </w:rPr>
              <w:t>委托他人投资或管理资产的损益</w:t>
            </w:r>
          </w:p>
        </w:tc>
        <w:tc>
          <w:tcPr>
            <w:tcW w:w="1418"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5,267,570.69</w:t>
            </w:r>
          </w:p>
        </w:tc>
        <w:tc>
          <w:tcPr>
            <w:tcW w:w="1417"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6,749,208.46</w:t>
            </w:r>
          </w:p>
        </w:tc>
        <w:tc>
          <w:tcPr>
            <w:tcW w:w="1560"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3,169,906.84</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rPr>
                <w:rFonts w:ascii="宋体" w:eastAsia="宋体" w:hAnsi="宋体" w:cs="宋体"/>
                <w:sz w:val="18"/>
                <w:szCs w:val="18"/>
              </w:rPr>
            </w:pPr>
          </w:p>
        </w:tc>
      </w:tr>
      <w:tr w:rsidR="00733A14" w:rsidRPr="00980BC4" w:rsidTr="00397F42">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733A14" w:rsidRPr="00980BC4" w:rsidRDefault="00733A14" w:rsidP="00826719">
            <w:pPr>
              <w:spacing w:before="40" w:after="40" w:line="280" w:lineRule="exact"/>
              <w:rPr>
                <w:rFonts w:ascii="宋体" w:eastAsia="宋体" w:hAnsi="宋体" w:cs="宋体"/>
                <w:sz w:val="18"/>
                <w:szCs w:val="18"/>
              </w:rPr>
            </w:pPr>
            <w:r w:rsidRPr="00980BC4">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418"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-436,849.35</w:t>
            </w:r>
          </w:p>
        </w:tc>
        <w:tc>
          <w:tcPr>
            <w:tcW w:w="1417"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14,506,428.55</w:t>
            </w:r>
          </w:p>
        </w:tc>
        <w:tc>
          <w:tcPr>
            <w:tcW w:w="1560"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-20,336,378.74</w:t>
            </w:r>
          </w:p>
        </w:tc>
        <w:tc>
          <w:tcPr>
            <w:tcW w:w="1734" w:type="dxa"/>
            <w:tcBorders>
              <w:top w:val="single" w:sz="2" w:space="0" w:color="auto"/>
              <w:left w:val="single" w:sz="2" w:space="0" w:color="auto"/>
              <w:bottom w:val="single" w:sz="2" w:space="0" w:color="auto"/>
              <w:right w:val="single" w:sz="2" w:space="0" w:color="auto"/>
            </w:tcBorders>
            <w:vAlign w:val="center"/>
          </w:tcPr>
          <w:p w:rsidR="00733A14" w:rsidRPr="00980BC4" w:rsidRDefault="00733A14" w:rsidP="00826719">
            <w:pPr>
              <w:spacing w:line="280" w:lineRule="exact"/>
              <w:rPr>
                <w:rFonts w:ascii="宋体" w:eastAsia="宋体" w:hAnsi="宋体" w:cs="宋体"/>
                <w:sz w:val="18"/>
                <w:szCs w:val="18"/>
              </w:rPr>
            </w:pPr>
          </w:p>
        </w:tc>
      </w:tr>
      <w:tr w:rsidR="00BB1824" w:rsidRPr="00980BC4" w:rsidTr="00397F42">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BB1824" w:rsidRPr="00980BC4" w:rsidRDefault="00BB1824" w:rsidP="00826719">
            <w:pPr>
              <w:spacing w:before="40" w:after="40" w:line="280" w:lineRule="exact"/>
              <w:rPr>
                <w:rFonts w:ascii="宋体" w:eastAsia="宋体" w:hAnsi="宋体" w:cs="宋体"/>
                <w:sz w:val="18"/>
                <w:szCs w:val="18"/>
              </w:rPr>
            </w:pPr>
            <w:r w:rsidRPr="00980BC4">
              <w:rPr>
                <w:rFonts w:ascii="宋体" w:eastAsia="宋体" w:hAnsi="宋体" w:cs="宋体"/>
                <w:sz w:val="18"/>
                <w:szCs w:val="18"/>
              </w:rPr>
              <w:t>除上述各项之外的其他营业外收入和支出</w:t>
            </w:r>
          </w:p>
        </w:tc>
        <w:tc>
          <w:tcPr>
            <w:tcW w:w="1418" w:type="dxa"/>
            <w:tcBorders>
              <w:top w:val="single" w:sz="2" w:space="0" w:color="auto"/>
              <w:left w:val="single" w:sz="2" w:space="0" w:color="auto"/>
              <w:bottom w:val="single" w:sz="2" w:space="0" w:color="auto"/>
              <w:right w:val="single" w:sz="2" w:space="0" w:color="auto"/>
            </w:tcBorders>
            <w:vAlign w:val="center"/>
          </w:tcPr>
          <w:p w:rsidR="00BB1824" w:rsidRPr="00980BC4" w:rsidRDefault="00BB182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15,859,994.45</w:t>
            </w:r>
          </w:p>
        </w:tc>
        <w:tc>
          <w:tcPr>
            <w:tcW w:w="1417" w:type="dxa"/>
            <w:tcBorders>
              <w:top w:val="single" w:sz="2" w:space="0" w:color="auto"/>
              <w:left w:val="single" w:sz="2" w:space="0" w:color="auto"/>
              <w:bottom w:val="single" w:sz="2" w:space="0" w:color="auto"/>
              <w:right w:val="single" w:sz="2" w:space="0" w:color="auto"/>
            </w:tcBorders>
            <w:vAlign w:val="center"/>
          </w:tcPr>
          <w:p w:rsidR="00BB1824" w:rsidRPr="00980BC4" w:rsidRDefault="00BB182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-92,328.02</w:t>
            </w:r>
          </w:p>
        </w:tc>
        <w:tc>
          <w:tcPr>
            <w:tcW w:w="1560" w:type="dxa"/>
            <w:tcBorders>
              <w:top w:val="single" w:sz="2" w:space="0" w:color="auto"/>
              <w:left w:val="single" w:sz="2" w:space="0" w:color="auto"/>
              <w:bottom w:val="single" w:sz="2" w:space="0" w:color="auto"/>
              <w:right w:val="single" w:sz="2" w:space="0" w:color="auto"/>
            </w:tcBorders>
            <w:vAlign w:val="center"/>
          </w:tcPr>
          <w:p w:rsidR="00BB1824" w:rsidRPr="00980BC4" w:rsidRDefault="00BB182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9,191.72</w:t>
            </w:r>
          </w:p>
        </w:tc>
        <w:tc>
          <w:tcPr>
            <w:tcW w:w="1734" w:type="dxa"/>
            <w:tcBorders>
              <w:top w:val="single" w:sz="2" w:space="0" w:color="auto"/>
              <w:left w:val="single" w:sz="2" w:space="0" w:color="auto"/>
              <w:bottom w:val="single" w:sz="2" w:space="0" w:color="auto"/>
              <w:right w:val="single" w:sz="2" w:space="0" w:color="auto"/>
            </w:tcBorders>
            <w:vAlign w:val="center"/>
          </w:tcPr>
          <w:p w:rsidR="00BB1824" w:rsidRDefault="00BB1824" w:rsidP="00BB1824">
            <w:pPr>
              <w:spacing w:line="280" w:lineRule="exact"/>
              <w:rPr>
                <w:rFonts w:ascii="宋体" w:eastAsia="宋体" w:hAnsi="宋体" w:cs="宋体"/>
                <w:sz w:val="18"/>
                <w:szCs w:val="18"/>
              </w:rPr>
            </w:pPr>
            <w:r w:rsidRPr="00A43835">
              <w:rPr>
                <w:rFonts w:ascii="宋体" w:eastAsia="宋体" w:hAnsi="宋体" w:cs="宋体" w:hint="eastAsia"/>
                <w:sz w:val="18"/>
                <w:szCs w:val="18"/>
              </w:rPr>
              <w:t>本期主要由处置历史遗留款</w:t>
            </w:r>
            <w:r>
              <w:rPr>
                <w:rFonts w:ascii="宋体" w:eastAsia="宋体" w:hAnsi="宋体" w:cs="宋体" w:hint="eastAsia"/>
                <w:sz w:val="18"/>
                <w:szCs w:val="18"/>
              </w:rPr>
              <w:t>项</w:t>
            </w:r>
            <w:r w:rsidRPr="00A43835">
              <w:rPr>
                <w:rFonts w:ascii="宋体" w:eastAsia="宋体" w:hAnsi="宋体" w:cs="宋体" w:hint="eastAsia"/>
                <w:sz w:val="18"/>
                <w:szCs w:val="18"/>
              </w:rPr>
              <w:t>及税费构成</w:t>
            </w:r>
          </w:p>
        </w:tc>
      </w:tr>
      <w:tr w:rsidR="00BB1824" w:rsidRPr="00980BC4" w:rsidTr="00397F42">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BB1824" w:rsidRPr="00980BC4" w:rsidRDefault="00BB1824" w:rsidP="00826719">
            <w:pPr>
              <w:spacing w:before="40" w:after="40" w:line="280" w:lineRule="exact"/>
              <w:rPr>
                <w:rFonts w:ascii="宋体" w:eastAsia="宋体" w:hAnsi="宋体" w:cs="宋体"/>
                <w:sz w:val="18"/>
                <w:szCs w:val="18"/>
              </w:rPr>
            </w:pPr>
            <w:r w:rsidRPr="00980BC4">
              <w:rPr>
                <w:rFonts w:ascii="宋体" w:eastAsia="宋体" w:hAnsi="宋体" w:cs="宋体"/>
                <w:sz w:val="18"/>
                <w:szCs w:val="18"/>
              </w:rPr>
              <w:t>其他符合非经常性损益定义的损益项目</w:t>
            </w:r>
          </w:p>
        </w:tc>
        <w:tc>
          <w:tcPr>
            <w:tcW w:w="1418" w:type="dxa"/>
            <w:tcBorders>
              <w:top w:val="single" w:sz="2" w:space="0" w:color="auto"/>
              <w:left w:val="single" w:sz="2" w:space="0" w:color="auto"/>
              <w:bottom w:val="single" w:sz="2" w:space="0" w:color="auto"/>
              <w:right w:val="single" w:sz="2" w:space="0" w:color="auto"/>
            </w:tcBorders>
            <w:vAlign w:val="center"/>
          </w:tcPr>
          <w:p w:rsidR="00BB1824" w:rsidRPr="00980BC4" w:rsidRDefault="00BB1824"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1,384,324.54</w:t>
            </w:r>
          </w:p>
        </w:tc>
        <w:tc>
          <w:tcPr>
            <w:tcW w:w="1417" w:type="dxa"/>
            <w:tcBorders>
              <w:top w:val="single" w:sz="2" w:space="0" w:color="auto"/>
              <w:left w:val="single" w:sz="2" w:space="0" w:color="auto"/>
              <w:bottom w:val="single" w:sz="2" w:space="0" w:color="auto"/>
              <w:right w:val="single" w:sz="2" w:space="0" w:color="auto"/>
            </w:tcBorders>
            <w:vAlign w:val="center"/>
          </w:tcPr>
          <w:p w:rsidR="00BB1824" w:rsidRPr="00980BC4" w:rsidRDefault="00BB182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484,857.33</w:t>
            </w:r>
          </w:p>
        </w:tc>
        <w:tc>
          <w:tcPr>
            <w:tcW w:w="1560" w:type="dxa"/>
            <w:tcBorders>
              <w:top w:val="single" w:sz="2" w:space="0" w:color="auto"/>
              <w:left w:val="single" w:sz="2" w:space="0" w:color="auto"/>
              <w:bottom w:val="single" w:sz="2" w:space="0" w:color="auto"/>
              <w:right w:val="single" w:sz="2" w:space="0" w:color="auto"/>
            </w:tcBorders>
            <w:vAlign w:val="center"/>
          </w:tcPr>
          <w:p w:rsidR="00BB1824" w:rsidRPr="00980BC4" w:rsidRDefault="00BB1824"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-207,136.68</w:t>
            </w:r>
          </w:p>
        </w:tc>
        <w:tc>
          <w:tcPr>
            <w:tcW w:w="1734" w:type="dxa"/>
            <w:tcBorders>
              <w:top w:val="single" w:sz="2" w:space="0" w:color="auto"/>
              <w:left w:val="single" w:sz="2" w:space="0" w:color="auto"/>
              <w:bottom w:val="single" w:sz="2" w:space="0" w:color="auto"/>
              <w:right w:val="single" w:sz="2" w:space="0" w:color="auto"/>
            </w:tcBorders>
            <w:vAlign w:val="center"/>
          </w:tcPr>
          <w:p w:rsidR="00BB1824" w:rsidRDefault="00BB1824" w:rsidP="00BB1824">
            <w:pPr>
              <w:spacing w:line="280" w:lineRule="exact"/>
              <w:rPr>
                <w:rFonts w:ascii="宋体" w:eastAsia="宋体" w:hAnsi="宋体" w:cs="宋体"/>
                <w:sz w:val="18"/>
                <w:szCs w:val="18"/>
              </w:rPr>
            </w:pPr>
            <w:r>
              <w:rPr>
                <w:rFonts w:ascii="宋体" w:eastAsia="宋体" w:hAnsi="宋体" w:cs="宋体" w:hint="eastAsia"/>
                <w:sz w:val="18"/>
                <w:szCs w:val="18"/>
              </w:rPr>
              <w:t>本期主要</w:t>
            </w:r>
            <w:r w:rsidRPr="00305DC6">
              <w:rPr>
                <w:rFonts w:ascii="宋体" w:eastAsia="宋体" w:hAnsi="宋体" w:cs="宋体" w:hint="eastAsia"/>
                <w:sz w:val="18"/>
                <w:szCs w:val="18"/>
              </w:rPr>
              <w:t>由第四季度购入固定资产的加计扣除额构成</w:t>
            </w:r>
          </w:p>
        </w:tc>
      </w:tr>
      <w:tr w:rsidR="00174117" w:rsidRPr="00980BC4" w:rsidTr="00397F42">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174117" w:rsidRPr="00980BC4" w:rsidRDefault="00174117" w:rsidP="00826719">
            <w:pPr>
              <w:spacing w:before="40" w:after="40" w:line="280" w:lineRule="exact"/>
              <w:rPr>
                <w:rFonts w:ascii="宋体" w:eastAsia="宋体" w:hAnsi="宋体" w:cs="宋体"/>
                <w:sz w:val="18"/>
                <w:szCs w:val="18"/>
              </w:rPr>
            </w:pPr>
            <w:r w:rsidRPr="00980BC4">
              <w:rPr>
                <w:rFonts w:ascii="宋体" w:eastAsia="宋体" w:hAnsi="宋体" w:cs="宋体"/>
                <w:sz w:val="18"/>
                <w:szCs w:val="18"/>
              </w:rPr>
              <w:t>减：所得税影响额</w:t>
            </w:r>
          </w:p>
        </w:tc>
        <w:tc>
          <w:tcPr>
            <w:tcW w:w="1418"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5,472,152.16</w:t>
            </w:r>
          </w:p>
        </w:tc>
        <w:tc>
          <w:tcPr>
            <w:tcW w:w="1417"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5,792,874.93</w:t>
            </w:r>
          </w:p>
        </w:tc>
        <w:tc>
          <w:tcPr>
            <w:tcW w:w="1560"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200,803,046.74</w:t>
            </w:r>
          </w:p>
        </w:tc>
        <w:tc>
          <w:tcPr>
            <w:tcW w:w="1734"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826719">
            <w:pPr>
              <w:spacing w:line="280" w:lineRule="exact"/>
              <w:rPr>
                <w:rFonts w:ascii="宋体" w:eastAsia="宋体" w:hAnsi="宋体" w:cs="宋体"/>
                <w:sz w:val="18"/>
                <w:szCs w:val="18"/>
              </w:rPr>
            </w:pPr>
          </w:p>
        </w:tc>
      </w:tr>
      <w:tr w:rsidR="00174117" w:rsidRPr="00980BC4" w:rsidTr="00397F42">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174117" w:rsidRPr="00980BC4" w:rsidRDefault="00174117" w:rsidP="00826719">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少数股东权益影响额（税后）</w:t>
            </w:r>
          </w:p>
        </w:tc>
        <w:tc>
          <w:tcPr>
            <w:tcW w:w="1418"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158,960.00</w:t>
            </w:r>
          </w:p>
        </w:tc>
        <w:tc>
          <w:tcPr>
            <w:tcW w:w="1417"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139,388.10</w:t>
            </w:r>
          </w:p>
        </w:tc>
        <w:tc>
          <w:tcPr>
            <w:tcW w:w="1560"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36,871.39</w:t>
            </w:r>
          </w:p>
        </w:tc>
        <w:tc>
          <w:tcPr>
            <w:tcW w:w="1734"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826719">
            <w:pPr>
              <w:spacing w:line="280" w:lineRule="exact"/>
              <w:rPr>
                <w:rFonts w:ascii="宋体" w:eastAsia="宋体" w:hAnsi="宋体" w:cs="宋体"/>
                <w:sz w:val="18"/>
                <w:szCs w:val="18"/>
              </w:rPr>
            </w:pPr>
          </w:p>
        </w:tc>
      </w:tr>
      <w:tr w:rsidR="00174117" w:rsidRPr="00980BC4" w:rsidTr="00397F42">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174117" w:rsidRPr="00980BC4" w:rsidRDefault="00174117" w:rsidP="00826719">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418"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A47FA6">
            <w:pPr>
              <w:spacing w:line="280" w:lineRule="exact"/>
              <w:jc w:val="right"/>
              <w:rPr>
                <w:rFonts w:ascii="宋体" w:eastAsia="宋体" w:hAnsi="宋体" w:cs="宋体"/>
                <w:sz w:val="18"/>
                <w:szCs w:val="18"/>
              </w:rPr>
            </w:pPr>
            <w:r w:rsidRPr="00980BC4">
              <w:rPr>
                <w:rFonts w:ascii="宋体" w:eastAsia="宋体" w:hAnsi="宋体" w:cs="宋体"/>
                <w:sz w:val="18"/>
                <w:szCs w:val="18"/>
              </w:rPr>
              <w:t>20,325,187.50</w:t>
            </w:r>
          </w:p>
        </w:tc>
        <w:tc>
          <w:tcPr>
            <w:tcW w:w="1417"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20,297,097.43</w:t>
            </w:r>
          </w:p>
        </w:tc>
        <w:tc>
          <w:tcPr>
            <w:tcW w:w="1560" w:type="dxa"/>
            <w:tcBorders>
              <w:top w:val="single" w:sz="2" w:space="0" w:color="auto"/>
              <w:left w:val="single" w:sz="2" w:space="0" w:color="auto"/>
              <w:bottom w:val="single" w:sz="2" w:space="0" w:color="auto"/>
              <w:right w:val="single" w:sz="2" w:space="0" w:color="auto"/>
            </w:tcBorders>
            <w:vAlign w:val="center"/>
          </w:tcPr>
          <w:p w:rsidR="00174117" w:rsidRPr="00980BC4" w:rsidRDefault="00174117" w:rsidP="00826719">
            <w:pPr>
              <w:spacing w:line="280" w:lineRule="exact"/>
              <w:jc w:val="right"/>
              <w:rPr>
                <w:rFonts w:ascii="宋体" w:eastAsia="宋体" w:hAnsi="宋体" w:cs="宋体"/>
                <w:sz w:val="18"/>
                <w:szCs w:val="18"/>
              </w:rPr>
            </w:pPr>
            <w:r w:rsidRPr="00980BC4">
              <w:rPr>
                <w:rFonts w:ascii="宋体" w:eastAsia="宋体" w:hAnsi="宋体" w:cs="宋体"/>
                <w:sz w:val="18"/>
                <w:szCs w:val="18"/>
              </w:rPr>
              <w:t>603,728,109.32</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174117" w:rsidRPr="00980BC4" w:rsidRDefault="00174117" w:rsidP="00826719">
            <w:pPr>
              <w:spacing w:before="40" w:after="40" w:line="280" w:lineRule="exact"/>
              <w:jc w:val="center"/>
              <w:rPr>
                <w:rFonts w:ascii="宋体" w:eastAsia="宋体" w:hAnsi="宋体" w:cs="宋体"/>
                <w:sz w:val="18"/>
                <w:szCs w:val="18"/>
                <w:shd w:val="clear" w:color="auto" w:fill="D3D3D3"/>
              </w:rPr>
            </w:pPr>
            <w:r w:rsidRPr="00980BC4">
              <w:rPr>
                <w:rFonts w:ascii="宋体" w:eastAsia="宋体" w:hAnsi="宋体" w:cs="宋体"/>
                <w:sz w:val="18"/>
                <w:szCs w:val="18"/>
                <w:shd w:val="clear" w:color="auto" w:fill="D3D3D3"/>
              </w:rPr>
              <w:t>--</w:t>
            </w:r>
          </w:p>
        </w:tc>
      </w:tr>
    </w:tbl>
    <w:p w:rsidR="00B835A4" w:rsidRPr="00980BC4" w:rsidRDefault="00DF4EBF" w:rsidP="00397F42">
      <w:pPr>
        <w:pStyle w:val="Chapter"/>
        <w:keepNext w:val="0"/>
        <w:keepLines w:val="0"/>
        <w:widowControl/>
        <w:spacing w:before="0" w:after="0" w:line="540" w:lineRule="exact"/>
        <w:ind w:firstLineChars="200" w:firstLine="562"/>
        <w:outlineLvl w:val="1"/>
        <w:rPr>
          <w:rFonts w:ascii="仿宋" w:eastAsia="仿宋" w:hAnsi="仿宋"/>
          <w:sz w:val="28"/>
          <w:szCs w:val="28"/>
        </w:rPr>
      </w:pPr>
      <w:r w:rsidRPr="00980BC4">
        <w:rPr>
          <w:rFonts w:ascii="仿宋" w:eastAsia="仿宋" w:hAnsi="仿宋"/>
          <w:sz w:val="28"/>
          <w:szCs w:val="28"/>
        </w:rPr>
        <w:t>其他符合非经常性损益定义的损益项目的具体情况：</w:t>
      </w:r>
    </w:p>
    <w:p w:rsidR="00B835A4" w:rsidRPr="00980BC4" w:rsidRDefault="00DF4EBF" w:rsidP="00397F42">
      <w:pPr>
        <w:pStyle w:val="Chapter"/>
        <w:keepNext w:val="0"/>
        <w:keepLines w:val="0"/>
        <w:spacing w:before="0" w:after="0" w:line="540" w:lineRule="exact"/>
        <w:ind w:firstLineChars="200" w:firstLine="560"/>
        <w:outlineLvl w:val="1"/>
        <w:divId w:val="1363285542"/>
        <w:rPr>
          <w:rFonts w:ascii="仿宋" w:eastAsia="仿宋" w:hAnsi="仿宋"/>
          <w:b w:val="0"/>
          <w:sz w:val="28"/>
          <w:szCs w:val="28"/>
        </w:rPr>
      </w:pPr>
      <w:r w:rsidRPr="00980BC4">
        <w:rPr>
          <w:rFonts w:ascii="仿宋" w:eastAsia="仿宋" w:hAnsi="仿宋"/>
          <w:b w:val="0"/>
          <w:sz w:val="28"/>
          <w:szCs w:val="28"/>
        </w:rPr>
        <w:sym w:font="Wingdings 2" w:char="F052"/>
      </w:r>
      <w:r w:rsidRPr="00980BC4">
        <w:rPr>
          <w:rFonts w:ascii="仿宋" w:eastAsia="仿宋" w:hAnsi="仿宋"/>
          <w:b w:val="0"/>
          <w:sz w:val="28"/>
          <w:szCs w:val="28"/>
        </w:rPr>
        <w:t xml:space="preserve">适用 </w:t>
      </w:r>
      <w:r w:rsidR="00826719" w:rsidRPr="00980BC4">
        <w:rPr>
          <w:rFonts w:ascii="仿宋" w:eastAsia="仿宋" w:hAnsi="仿宋" w:hint="eastAsia"/>
          <w:b w:val="0"/>
          <w:sz w:val="28"/>
          <w:szCs w:val="28"/>
        </w:rPr>
        <w:t xml:space="preserve"> </w:t>
      </w:r>
      <w:r w:rsidRPr="00980BC4">
        <w:rPr>
          <w:rFonts w:ascii="仿宋" w:eastAsia="仿宋" w:hAnsi="仿宋"/>
          <w:b w:val="0"/>
          <w:sz w:val="28"/>
          <w:szCs w:val="28"/>
        </w:rPr>
        <w:t>□不适用</w:t>
      </w:r>
    </w:p>
    <w:p w:rsidR="00135BF2" w:rsidRPr="00980BC4" w:rsidRDefault="00B835A4" w:rsidP="00397F42">
      <w:pPr>
        <w:pStyle w:val="Chapter"/>
        <w:keepNext w:val="0"/>
        <w:keepLines w:val="0"/>
        <w:widowControl/>
        <w:spacing w:before="0" w:after="0" w:line="540" w:lineRule="exact"/>
        <w:ind w:firstLineChars="200" w:firstLine="560"/>
        <w:outlineLvl w:val="1"/>
        <w:rPr>
          <w:rFonts w:ascii="仿宋" w:eastAsia="仿宋" w:hAnsi="仿宋"/>
          <w:b w:val="0"/>
          <w:color w:val="000000" w:themeColor="text1"/>
          <w:sz w:val="28"/>
          <w:szCs w:val="28"/>
        </w:rPr>
      </w:pPr>
      <w:r w:rsidRPr="00980BC4">
        <w:rPr>
          <w:rFonts w:ascii="仿宋" w:eastAsia="仿宋" w:hAnsi="仿宋" w:hint="eastAsia"/>
          <w:b w:val="0"/>
          <w:color w:val="000000" w:themeColor="text1"/>
          <w:sz w:val="28"/>
          <w:szCs w:val="28"/>
        </w:rPr>
        <w:t>其他符合非经常性损益定义的损益项目1,384,324.54元，其中企业所得税四季度</w:t>
      </w:r>
      <w:r w:rsidR="00BB1824">
        <w:rPr>
          <w:rFonts w:ascii="仿宋" w:eastAsia="仿宋" w:hAnsi="仿宋" w:hint="eastAsia"/>
          <w:b w:val="0"/>
          <w:color w:val="000000" w:themeColor="text1"/>
          <w:sz w:val="28"/>
          <w:szCs w:val="28"/>
        </w:rPr>
        <w:t>购入</w:t>
      </w:r>
      <w:r w:rsidRPr="00980BC4">
        <w:rPr>
          <w:rFonts w:ascii="仿宋" w:eastAsia="仿宋" w:hAnsi="仿宋" w:hint="eastAsia"/>
          <w:b w:val="0"/>
          <w:color w:val="000000" w:themeColor="text1"/>
          <w:sz w:val="28"/>
          <w:szCs w:val="28"/>
        </w:rPr>
        <w:t>固定资产加计扣除</w:t>
      </w:r>
      <w:r w:rsidRPr="00980BC4">
        <w:rPr>
          <w:rFonts w:ascii="仿宋" w:eastAsia="仿宋" w:hAnsi="仿宋"/>
          <w:b w:val="0"/>
          <w:color w:val="000000" w:themeColor="text1"/>
          <w:sz w:val="28"/>
          <w:szCs w:val="28"/>
        </w:rPr>
        <w:t>794,247.46</w:t>
      </w:r>
      <w:r w:rsidRPr="00980BC4">
        <w:rPr>
          <w:rFonts w:ascii="仿宋" w:eastAsia="仿宋" w:hAnsi="仿宋" w:hint="eastAsia"/>
          <w:b w:val="0"/>
          <w:color w:val="000000" w:themeColor="text1"/>
          <w:sz w:val="28"/>
          <w:szCs w:val="28"/>
        </w:rPr>
        <w:t>元，个人所得税手续费返还</w:t>
      </w:r>
      <w:r w:rsidRPr="00980BC4">
        <w:rPr>
          <w:rFonts w:ascii="仿宋" w:eastAsia="仿宋" w:hAnsi="仿宋"/>
          <w:b w:val="0"/>
          <w:color w:val="000000" w:themeColor="text1"/>
          <w:sz w:val="28"/>
          <w:szCs w:val="28"/>
        </w:rPr>
        <w:t>582,218.92</w:t>
      </w:r>
      <w:r w:rsidRPr="00980BC4">
        <w:rPr>
          <w:rFonts w:ascii="仿宋" w:eastAsia="仿宋" w:hAnsi="仿宋" w:hint="eastAsia"/>
          <w:b w:val="0"/>
          <w:color w:val="000000" w:themeColor="text1"/>
          <w:sz w:val="28"/>
          <w:szCs w:val="28"/>
        </w:rPr>
        <w:t>元，增值税加计扣除</w:t>
      </w:r>
      <w:r w:rsidRPr="00980BC4">
        <w:rPr>
          <w:rFonts w:ascii="仿宋" w:eastAsia="仿宋" w:hAnsi="仿宋"/>
          <w:b w:val="0"/>
          <w:color w:val="000000" w:themeColor="text1"/>
          <w:sz w:val="28"/>
          <w:szCs w:val="28"/>
        </w:rPr>
        <w:t>7,858.16</w:t>
      </w:r>
      <w:r w:rsidRPr="00980BC4">
        <w:rPr>
          <w:rFonts w:ascii="仿宋" w:eastAsia="仿宋" w:hAnsi="仿宋" w:hint="eastAsia"/>
          <w:b w:val="0"/>
          <w:color w:val="000000" w:themeColor="text1"/>
          <w:sz w:val="28"/>
          <w:szCs w:val="28"/>
        </w:rPr>
        <w:t>元。</w:t>
      </w:r>
    </w:p>
    <w:p w:rsidR="002A3304" w:rsidRPr="00980BC4" w:rsidRDefault="00DF4EBF" w:rsidP="00397F42">
      <w:pPr>
        <w:pStyle w:val="Chapter"/>
        <w:keepNext w:val="0"/>
        <w:keepLines w:val="0"/>
        <w:widowControl/>
        <w:spacing w:before="0" w:after="0" w:line="540" w:lineRule="exact"/>
        <w:ind w:firstLineChars="200" w:firstLine="562"/>
        <w:outlineLvl w:val="1"/>
        <w:rPr>
          <w:rFonts w:ascii="仿宋" w:eastAsia="仿宋" w:hAnsi="仿宋"/>
          <w:sz w:val="28"/>
          <w:szCs w:val="28"/>
        </w:rPr>
      </w:pPr>
      <w:r w:rsidRPr="00980BC4">
        <w:rPr>
          <w:rFonts w:ascii="仿宋" w:eastAsia="仿宋" w:hAnsi="仿宋"/>
          <w:sz w:val="28"/>
          <w:szCs w:val="28"/>
        </w:rPr>
        <w:t>将《公开发行证券的公司信息披露解释性公告第1号——非经常性损益》中列举的非经常性损益项目界定为经常性损益项目的情况说明</w:t>
      </w:r>
    </w:p>
    <w:p w:rsidR="002A3304" w:rsidRPr="00980BC4" w:rsidRDefault="00DF4EBF" w:rsidP="00397F42">
      <w:pPr>
        <w:spacing w:line="540" w:lineRule="exact"/>
        <w:ind w:firstLineChars="200" w:firstLine="560"/>
        <w:rPr>
          <w:rFonts w:ascii="仿宋" w:eastAsia="仿宋" w:hAnsi="仿宋" w:cs="宋体"/>
          <w:sz w:val="28"/>
          <w:szCs w:val="28"/>
        </w:rPr>
      </w:pPr>
      <w:r w:rsidRPr="00980BC4">
        <w:rPr>
          <w:rFonts w:ascii="仿宋" w:eastAsia="仿宋" w:hAnsi="仿宋" w:cs="宋体"/>
          <w:sz w:val="28"/>
          <w:szCs w:val="28"/>
        </w:rPr>
        <w:t>□适用</w:t>
      </w:r>
      <w:r w:rsidR="00826719" w:rsidRPr="00980BC4">
        <w:rPr>
          <w:rFonts w:ascii="仿宋" w:eastAsia="仿宋" w:hAnsi="仿宋" w:cs="宋体" w:hint="eastAsia"/>
          <w:sz w:val="28"/>
          <w:szCs w:val="28"/>
        </w:rPr>
        <w:t xml:space="preserve"> </w:t>
      </w:r>
      <w:r w:rsidRPr="00980BC4">
        <w:rPr>
          <w:rFonts w:ascii="仿宋" w:eastAsia="仿宋" w:hAnsi="仿宋" w:cs="宋体"/>
          <w:sz w:val="28"/>
          <w:szCs w:val="28"/>
        </w:rPr>
        <w:t xml:space="preserve"> </w:t>
      </w:r>
      <w:r w:rsidRPr="00980BC4">
        <w:rPr>
          <w:rFonts w:ascii="仿宋" w:eastAsia="仿宋" w:hAnsi="仿宋" w:cs="宋体"/>
          <w:sz w:val="28"/>
          <w:szCs w:val="28"/>
        </w:rPr>
        <w:sym w:font="Wingdings 2" w:char="F052"/>
      </w:r>
      <w:r w:rsidRPr="00980BC4">
        <w:rPr>
          <w:rFonts w:ascii="仿宋" w:eastAsia="仿宋" w:hAnsi="仿宋" w:cs="宋体"/>
          <w:sz w:val="28"/>
          <w:szCs w:val="28"/>
        </w:rPr>
        <w:t>不适用</w:t>
      </w:r>
    </w:p>
    <w:p w:rsidR="002A3304" w:rsidRPr="00980BC4" w:rsidRDefault="00DF4EBF" w:rsidP="00397F42">
      <w:pPr>
        <w:spacing w:line="540" w:lineRule="exact"/>
        <w:ind w:firstLineChars="200" w:firstLine="560"/>
        <w:rPr>
          <w:rFonts w:ascii="仿宋" w:eastAsia="仿宋" w:hAnsi="仿宋" w:cs="宋体"/>
          <w:sz w:val="28"/>
          <w:szCs w:val="28"/>
        </w:rPr>
      </w:pPr>
      <w:r w:rsidRPr="00980BC4">
        <w:rPr>
          <w:rFonts w:ascii="仿宋" w:eastAsia="仿宋" w:hAnsi="仿宋" w:cs="宋体"/>
          <w:sz w:val="28"/>
          <w:szCs w:val="28"/>
        </w:rPr>
        <w:t>公司不存在将《公开发行证券的公司信息披露解释性公告第1号——非经常性损益》中列举的非经常性损益项目界定为经常性损益的项目的情形。</w:t>
      </w:r>
    </w:p>
    <w:p w:rsidR="002A3304" w:rsidRPr="00980BC4" w:rsidRDefault="00DF4EBF">
      <w:pPr>
        <w:pStyle w:val="headingh1"/>
        <w:spacing w:before="340" w:after="330" w:line="773" w:lineRule="exact"/>
        <w:jc w:val="center"/>
        <w:rPr>
          <w:rFonts w:ascii="宋体" w:eastAsia="宋体" w:hAnsi="宋体" w:cs="宋体"/>
          <w:b/>
          <w:bCs/>
          <w:sz w:val="32"/>
          <w:szCs w:val="32"/>
        </w:rPr>
      </w:pPr>
      <w:bookmarkStart w:id="13" w:name="_Toc988902"/>
      <w:r w:rsidRPr="00980BC4">
        <w:rPr>
          <w:rFonts w:ascii="宋体" w:eastAsia="宋体" w:hAnsi="宋体" w:cs="宋体"/>
          <w:b/>
          <w:bCs/>
          <w:sz w:val="32"/>
          <w:szCs w:val="32"/>
        </w:rPr>
        <w:lastRenderedPageBreak/>
        <w:t>第三节 管理层讨论与分析</w:t>
      </w:r>
      <w:bookmarkEnd w:id="13"/>
    </w:p>
    <w:p w:rsidR="002A3304" w:rsidRPr="00980BC4" w:rsidRDefault="00DF4EBF" w:rsidP="00E001AA">
      <w:pPr>
        <w:pStyle w:val="Chapter"/>
        <w:spacing w:before="0" w:after="0" w:line="560" w:lineRule="exact"/>
        <w:ind w:firstLineChars="200" w:firstLine="562"/>
        <w:outlineLvl w:val="1"/>
        <w:rPr>
          <w:bCs w:val="0"/>
          <w:sz w:val="28"/>
          <w:szCs w:val="28"/>
        </w:rPr>
      </w:pPr>
      <w:bookmarkStart w:id="14" w:name="_Toc988903"/>
      <w:r w:rsidRPr="00980BC4">
        <w:rPr>
          <w:bCs w:val="0"/>
          <w:sz w:val="28"/>
          <w:szCs w:val="28"/>
        </w:rPr>
        <w:t>一、报告期内公司所处行业情况</w:t>
      </w:r>
      <w:bookmarkEnd w:id="14"/>
    </w:p>
    <w:p w:rsidR="002A3304" w:rsidRPr="00980BC4" w:rsidRDefault="002A3304" w:rsidP="00313F3A">
      <w:pPr>
        <w:widowControl/>
        <w:shd w:val="clear" w:color="auto" w:fill="FFFFFF"/>
        <w:spacing w:line="560" w:lineRule="exact"/>
        <w:ind w:firstLineChars="200" w:firstLine="560"/>
        <w:jc w:val="both"/>
        <w:divId w:val="830676682"/>
        <w:rPr>
          <w:rFonts w:ascii="仿宋" w:eastAsia="仿宋" w:hAnsi="仿宋" w:cs="宋体"/>
          <w:color w:val="000000"/>
          <w:kern w:val="0"/>
          <w:sz w:val="28"/>
          <w:szCs w:val="28"/>
        </w:rPr>
      </w:pPr>
      <w:r w:rsidRPr="00980BC4">
        <w:rPr>
          <w:rFonts w:ascii="仿宋" w:eastAsia="仿宋" w:hAnsi="仿宋" w:cs="宋体" w:hint="eastAsia"/>
          <w:color w:val="000000"/>
          <w:kern w:val="0"/>
          <w:sz w:val="28"/>
          <w:szCs w:val="28"/>
        </w:rPr>
        <w:t>报告期内，公司主营业务为</w:t>
      </w:r>
      <w:r w:rsidR="00A85AC9" w:rsidRPr="00980BC4">
        <w:rPr>
          <w:rFonts w:ascii="仿宋" w:eastAsia="仿宋" w:hAnsi="仿宋" w:cs="宋体" w:hint="eastAsia"/>
          <w:color w:val="000000"/>
          <w:kern w:val="0"/>
          <w:sz w:val="28"/>
          <w:szCs w:val="28"/>
        </w:rPr>
        <w:t>电源及相关产品、</w:t>
      </w:r>
      <w:r w:rsidRPr="00980BC4">
        <w:rPr>
          <w:rFonts w:ascii="仿宋" w:eastAsia="仿宋" w:hAnsi="仿宋" w:cs="宋体" w:hint="eastAsia"/>
          <w:color w:val="000000"/>
          <w:kern w:val="0"/>
          <w:sz w:val="28"/>
          <w:szCs w:val="28"/>
        </w:rPr>
        <w:t>高性能特种合金材料制品等军工业务。</w:t>
      </w:r>
    </w:p>
    <w:p w:rsidR="009A1DDA" w:rsidRPr="00980BC4" w:rsidRDefault="00123941" w:rsidP="00014227">
      <w:pPr>
        <w:widowControl/>
        <w:shd w:val="clear" w:color="auto" w:fill="FFFFFF"/>
        <w:spacing w:line="560" w:lineRule="exact"/>
        <w:ind w:firstLineChars="200" w:firstLine="560"/>
        <w:jc w:val="both"/>
        <w:divId w:val="830676682"/>
        <w:rPr>
          <w:rFonts w:ascii="仿宋" w:eastAsia="仿宋" w:hAnsi="仿宋" w:cs="宋体"/>
          <w:color w:val="000000"/>
          <w:kern w:val="0"/>
          <w:sz w:val="28"/>
          <w:szCs w:val="28"/>
        </w:rPr>
      </w:pPr>
      <w:r w:rsidRPr="00980BC4">
        <w:rPr>
          <w:rFonts w:ascii="仿宋" w:eastAsia="仿宋" w:hAnsi="仿宋" w:cs="宋体" w:hint="eastAsia"/>
          <w:color w:val="000000"/>
          <w:kern w:val="0"/>
          <w:sz w:val="28"/>
          <w:szCs w:val="28"/>
        </w:rPr>
        <w:t>军工行业作为我国国防安全战略的重要组成部分，其产业发展不仅与国民经济建设和科学技术进步相辅相成，也对增强我国国防实力，促进国防和军队现代化建设，提升国际影响力有着重要作用。</w:t>
      </w:r>
    </w:p>
    <w:p w:rsidR="00D906B3" w:rsidRPr="00980BC4" w:rsidRDefault="00D906B3" w:rsidP="00014227">
      <w:pPr>
        <w:widowControl/>
        <w:shd w:val="clear" w:color="auto" w:fill="FFFFFF"/>
        <w:spacing w:line="560" w:lineRule="exact"/>
        <w:ind w:firstLineChars="200" w:firstLine="560"/>
        <w:jc w:val="both"/>
        <w:divId w:val="830676682"/>
        <w:rPr>
          <w:rFonts w:ascii="Segoe UI" w:eastAsia="宋体" w:hAnsi="Segoe UI" w:cs="Segoe UI"/>
          <w:color w:val="262626"/>
          <w:kern w:val="0"/>
          <w:sz w:val="24"/>
          <w:szCs w:val="24"/>
        </w:rPr>
      </w:pPr>
      <w:r w:rsidRPr="00980BC4">
        <w:rPr>
          <w:rFonts w:ascii="仿宋" w:eastAsia="仿宋" w:hAnsi="仿宋" w:cs="宋体"/>
          <w:color w:val="000000"/>
          <w:kern w:val="0"/>
          <w:sz w:val="28"/>
          <w:szCs w:val="28"/>
        </w:rPr>
        <w:t>近年来，随着国防建设和军队现代化的不断推进，军工行业也得到了蓬勃发展。目前，我国军工行业已经形成了以航空航天、舰船装备、武器装备、电子信息、核工业等为主要领域的多元化发展格局。在技术水平方面，我国已经在多个领域取得了重大突破，如航空发动机、大型飞机、航母、高超声速武器等。未来，随着国防经费的不断增加和国家安全形势的不断变化，军工行业的发展前景将更加广阔。一方面，我国将继续加强军工技术创新和自主研发，提升军工产品的核心竞争力和市场占有率。另一方面，我国还将加强国际合作和市场拓展，积极参与国际军工合作和竞争，打造具有全球影响力的军工企业。总的来说，军工行业是我国国家安全和国防建设的重要支撑，也是我国高科技产业的重要组成部分。随着国防建设和军队现代化的不断推进，军工行业将迎来更广阔的发展前景。</w:t>
      </w:r>
    </w:p>
    <w:p w:rsidR="00C36319" w:rsidRPr="00980BC4" w:rsidRDefault="002A3304" w:rsidP="00C36319">
      <w:pPr>
        <w:widowControl/>
        <w:shd w:val="clear" w:color="auto" w:fill="FFFFFF"/>
        <w:spacing w:line="560" w:lineRule="exact"/>
        <w:ind w:firstLineChars="200" w:firstLine="560"/>
        <w:jc w:val="both"/>
        <w:divId w:val="750395372"/>
        <w:rPr>
          <w:rFonts w:ascii="仿宋" w:eastAsia="仿宋" w:hAnsi="仿宋" w:cs="宋体"/>
          <w:color w:val="000000"/>
          <w:kern w:val="0"/>
          <w:sz w:val="28"/>
          <w:szCs w:val="28"/>
        </w:rPr>
      </w:pPr>
      <w:r w:rsidRPr="00980BC4">
        <w:rPr>
          <w:rFonts w:ascii="仿宋" w:eastAsia="仿宋" w:hAnsi="仿宋" w:cs="宋体" w:hint="eastAsia"/>
          <w:color w:val="000000"/>
          <w:kern w:val="0"/>
          <w:sz w:val="28"/>
          <w:szCs w:val="28"/>
        </w:rPr>
        <w:t>2022年我国军费预算1.45万亿人民币，同比增长7.1%，国防支出的稳步增长将为我国国防装备的发展提供支撑，也为公司拓展军工业务带来了机遇。</w:t>
      </w:r>
      <w:bookmarkStart w:id="15" w:name="_Toc988904"/>
    </w:p>
    <w:p w:rsidR="00AF73AC" w:rsidRDefault="00DF4EBF" w:rsidP="00AF73AC">
      <w:pPr>
        <w:shd w:val="clear" w:color="auto" w:fill="FFFFFF"/>
        <w:spacing w:line="560" w:lineRule="exact"/>
        <w:ind w:firstLineChars="200" w:firstLine="562"/>
        <w:jc w:val="both"/>
        <w:divId w:val="750395372"/>
        <w:rPr>
          <w:b/>
          <w:sz w:val="28"/>
          <w:szCs w:val="28"/>
        </w:rPr>
      </w:pPr>
      <w:r w:rsidRPr="00980BC4">
        <w:rPr>
          <w:b/>
          <w:sz w:val="28"/>
          <w:szCs w:val="28"/>
        </w:rPr>
        <w:t>二、报告期内公司从事的主要业务</w:t>
      </w:r>
      <w:bookmarkEnd w:id="15"/>
    </w:p>
    <w:p w:rsidR="00AF73AC" w:rsidRDefault="00AF73AC" w:rsidP="00AF73AC">
      <w:pPr>
        <w:shd w:val="clear" w:color="auto" w:fill="FFFFFF"/>
        <w:spacing w:line="560" w:lineRule="exact"/>
        <w:ind w:firstLineChars="200" w:firstLine="560"/>
        <w:jc w:val="both"/>
        <w:divId w:val="750395372"/>
        <w:rPr>
          <w:rFonts w:ascii="仿宋" w:eastAsia="仿宋" w:hAnsi="仿宋" w:cs="宋体"/>
          <w:sz w:val="28"/>
          <w:szCs w:val="28"/>
        </w:rPr>
      </w:pPr>
      <w:r w:rsidRPr="00AF73AC">
        <w:rPr>
          <w:rFonts w:ascii="仿宋" w:eastAsia="仿宋" w:hAnsi="仿宋" w:cs="宋体"/>
          <w:sz w:val="28"/>
          <w:szCs w:val="28"/>
        </w:rPr>
        <w:t>2022年5月，公司停止开展食糖类业务</w:t>
      </w:r>
      <w:r w:rsidRPr="00AF73AC">
        <w:rPr>
          <w:rFonts w:ascii="仿宋" w:eastAsia="仿宋" w:hAnsi="仿宋" w:cs="宋体" w:hint="eastAsia"/>
          <w:sz w:val="28"/>
          <w:szCs w:val="28"/>
        </w:rPr>
        <w:t>。目前</w:t>
      </w:r>
      <w:r w:rsidRPr="00AF73AC">
        <w:rPr>
          <w:rFonts w:ascii="仿宋" w:eastAsia="仿宋" w:hAnsi="仿宋" w:cs="宋体"/>
          <w:sz w:val="28"/>
          <w:szCs w:val="28"/>
        </w:rPr>
        <w:t>公司主营业务为电源及相</w:t>
      </w:r>
      <w:r w:rsidRPr="00AF73AC">
        <w:rPr>
          <w:rFonts w:ascii="仿宋" w:eastAsia="仿宋" w:hAnsi="仿宋" w:cs="宋体"/>
          <w:sz w:val="28"/>
          <w:szCs w:val="28"/>
        </w:rPr>
        <w:lastRenderedPageBreak/>
        <w:t>关产品、高性能特种合金材料制品等军工产品的研发、生产、销售。</w:t>
      </w:r>
    </w:p>
    <w:p w:rsidR="00891A79" w:rsidRPr="00AF73AC" w:rsidRDefault="002A3304" w:rsidP="00AF73AC">
      <w:pPr>
        <w:shd w:val="clear" w:color="auto" w:fill="FFFFFF"/>
        <w:spacing w:line="560" w:lineRule="exact"/>
        <w:ind w:firstLineChars="200" w:firstLine="562"/>
        <w:jc w:val="both"/>
        <w:divId w:val="750395372"/>
        <w:rPr>
          <w:b/>
          <w:sz w:val="28"/>
          <w:szCs w:val="28"/>
        </w:rPr>
      </w:pPr>
      <w:r w:rsidRPr="00980BC4">
        <w:rPr>
          <w:rStyle w:val="a4"/>
          <w:rFonts w:ascii="仿宋" w:eastAsia="仿宋" w:hAnsi="仿宋" w:hint="eastAsia"/>
          <w:sz w:val="28"/>
          <w:szCs w:val="28"/>
        </w:rPr>
        <w:t>1、</w:t>
      </w:r>
      <w:r w:rsidR="00891A79" w:rsidRPr="00980BC4">
        <w:rPr>
          <w:rStyle w:val="a4"/>
          <w:rFonts w:ascii="仿宋" w:eastAsia="仿宋" w:hAnsi="仿宋" w:hint="eastAsia"/>
          <w:sz w:val="28"/>
          <w:szCs w:val="28"/>
        </w:rPr>
        <w:t>电源及相关产品业务</w:t>
      </w:r>
    </w:p>
    <w:p w:rsidR="00891A79" w:rsidRPr="00980BC4" w:rsidRDefault="00891A79" w:rsidP="00891A79">
      <w:pPr>
        <w:pStyle w:val="a3"/>
        <w:spacing w:before="0" w:beforeAutospacing="0" w:after="0" w:afterAutospacing="0" w:line="560" w:lineRule="exact"/>
        <w:ind w:firstLine="560"/>
        <w:jc w:val="both"/>
        <w:divId w:val="750395372"/>
      </w:pPr>
      <w:r w:rsidRPr="00980BC4">
        <w:rPr>
          <w:rFonts w:ascii="仿宋" w:eastAsia="仿宋" w:hAnsi="仿宋" w:hint="eastAsia"/>
          <w:sz w:val="28"/>
          <w:szCs w:val="28"/>
        </w:rPr>
        <w:t>公司电源及相关产品业务由全资子公司升华电源和四川甘华承担。</w:t>
      </w:r>
    </w:p>
    <w:p w:rsidR="00891A79" w:rsidRPr="00980BC4" w:rsidRDefault="00891A79" w:rsidP="00891A79">
      <w:pPr>
        <w:pStyle w:val="a3"/>
        <w:spacing w:before="0" w:beforeAutospacing="0" w:after="0" w:afterAutospacing="0" w:line="560" w:lineRule="exact"/>
        <w:ind w:firstLine="560"/>
        <w:jc w:val="both"/>
        <w:divId w:val="750395372"/>
      </w:pPr>
      <w:r w:rsidRPr="00980BC4">
        <w:rPr>
          <w:rFonts w:ascii="仿宋" w:eastAsia="仿宋" w:hAnsi="仿宋" w:hint="eastAsia"/>
          <w:sz w:val="28"/>
          <w:szCs w:val="28"/>
        </w:rPr>
        <w:t>升华电源专业从事高效率、高可靠性、高功率密度电源产品的开发设计、生产、销售与服务，已经建成了可靠性高、质量稳定、技术先进、应用范围广泛、规格品种齐全的电源产品线，致力于为客户提供可靠优质的电源全面解决方案。升华电源生产的电源属于“电源变换器”，其作用是完成不同制式电能间的转换。当电子设备对于电压及电流提出各种各样的特殊要求而供电环境不能满足其多样化需求时，需要通过电源变换器把可获取的电能制式转换为电子设备需要的制式。升华电源以模块电源系统和定制电源系统两大类产品，主要服务于机载、舰载、弹载等多种武器平台，主要客户涵盖国内知名军工企业、军工科研院所、军工厂等。升华电源是国家高新技术企业，国家级专精特新“小巨人”单位，四川省瞪羚企业，各项军工资质齐全，被认定为四川省企业技术中心，经过多年的技术和经验积累，已完成多类电源产品的系列化研制，部分产品性能指标达到了国际一流企业的技术水平。升华电源依靠先进的技术、优质的产品和优良的服务，形成相应的品牌优势，积累了一定的客户,具备较强的竞争实力。</w:t>
      </w:r>
    </w:p>
    <w:p w:rsidR="00891A79" w:rsidRPr="00980BC4" w:rsidRDefault="00891A79" w:rsidP="00891A79">
      <w:pPr>
        <w:pStyle w:val="a3"/>
        <w:spacing w:before="0" w:beforeAutospacing="0" w:after="0" w:afterAutospacing="0" w:line="560" w:lineRule="exact"/>
        <w:ind w:firstLine="560"/>
        <w:jc w:val="both"/>
        <w:divId w:val="750395372"/>
      </w:pPr>
      <w:r w:rsidRPr="00980BC4">
        <w:rPr>
          <w:rFonts w:ascii="仿宋" w:eastAsia="仿宋" w:hAnsi="仿宋" w:hint="eastAsia"/>
          <w:sz w:val="28"/>
          <w:szCs w:val="28"/>
        </w:rPr>
        <w:t>四川甘华主要从事电力设备、蓄电池、电子元器件、电子产品及配件等产品的研发、销售业务，目前致力于电源相关产品及前瞻电源技术的研发、推广及应用。</w:t>
      </w:r>
      <w:r w:rsidRPr="00980BC4">
        <w:rPr>
          <w:rFonts w:hint="eastAsia"/>
        </w:rPr>
        <w:t xml:space="preserve"> </w:t>
      </w:r>
    </w:p>
    <w:p w:rsidR="00891A79" w:rsidRPr="00980BC4" w:rsidRDefault="002A3304" w:rsidP="00891A79">
      <w:pPr>
        <w:pStyle w:val="a3"/>
        <w:spacing w:before="0" w:beforeAutospacing="0" w:after="0" w:afterAutospacing="0" w:line="560" w:lineRule="exact"/>
        <w:ind w:firstLine="562"/>
        <w:jc w:val="both"/>
        <w:divId w:val="750395372"/>
      </w:pPr>
      <w:r w:rsidRPr="00980BC4">
        <w:rPr>
          <w:rFonts w:hint="eastAsia"/>
          <w:sz w:val="28"/>
          <w:szCs w:val="28"/>
        </w:rPr>
        <w:t> </w:t>
      </w:r>
      <w:r w:rsidRPr="00980BC4">
        <w:rPr>
          <w:rStyle w:val="a4"/>
          <w:rFonts w:ascii="仿宋" w:eastAsia="仿宋" w:hAnsi="仿宋" w:hint="eastAsia"/>
          <w:sz w:val="28"/>
          <w:szCs w:val="28"/>
        </w:rPr>
        <w:t>2、</w:t>
      </w:r>
      <w:r w:rsidR="00891A79" w:rsidRPr="00980BC4">
        <w:rPr>
          <w:rStyle w:val="a4"/>
          <w:rFonts w:ascii="仿宋" w:eastAsia="仿宋" w:hAnsi="仿宋" w:hint="eastAsia"/>
          <w:sz w:val="28"/>
          <w:szCs w:val="28"/>
        </w:rPr>
        <w:t>高性能特种合金材料制品业务</w:t>
      </w:r>
    </w:p>
    <w:p w:rsidR="00C36319" w:rsidRPr="00980BC4" w:rsidRDefault="00891A79" w:rsidP="00C36319">
      <w:pPr>
        <w:pStyle w:val="a3"/>
        <w:widowControl w:val="0"/>
        <w:spacing w:before="0" w:beforeAutospacing="0" w:after="0" w:afterAutospacing="0" w:line="560" w:lineRule="exact"/>
        <w:ind w:firstLine="561"/>
        <w:jc w:val="both"/>
        <w:divId w:val="750395372"/>
        <w:rPr>
          <w:rFonts w:ascii="仿宋" w:eastAsia="仿宋" w:hAnsi="仿宋"/>
          <w:sz w:val="28"/>
          <w:szCs w:val="28"/>
        </w:rPr>
      </w:pPr>
      <w:r w:rsidRPr="00980BC4">
        <w:rPr>
          <w:rFonts w:ascii="仿宋" w:eastAsia="仿宋" w:hAnsi="仿宋" w:hint="eastAsia"/>
          <w:sz w:val="28"/>
          <w:szCs w:val="28"/>
        </w:rPr>
        <w:t>公司高性能特种合金材料制品业务由控股子公司沈阳含能和沈阳非晶承担。</w:t>
      </w:r>
    </w:p>
    <w:p w:rsidR="00891A79" w:rsidRPr="00980BC4" w:rsidRDefault="00891A79" w:rsidP="00C36319">
      <w:pPr>
        <w:pStyle w:val="a3"/>
        <w:widowControl w:val="0"/>
        <w:spacing w:before="0" w:beforeAutospacing="0" w:after="0" w:afterAutospacing="0" w:line="560" w:lineRule="exact"/>
        <w:ind w:firstLine="561"/>
        <w:jc w:val="both"/>
        <w:divId w:val="750395372"/>
      </w:pPr>
      <w:r w:rsidRPr="00980BC4">
        <w:rPr>
          <w:rFonts w:ascii="仿宋" w:eastAsia="仿宋" w:hAnsi="仿宋" w:hint="eastAsia"/>
          <w:sz w:val="28"/>
          <w:szCs w:val="28"/>
        </w:rPr>
        <w:t>沈阳含能主要承担各种规格钨合金预制破片的研发及制造，产品系列涵</w:t>
      </w:r>
      <w:r w:rsidRPr="00980BC4">
        <w:rPr>
          <w:rFonts w:ascii="仿宋" w:eastAsia="仿宋" w:hAnsi="仿宋" w:hint="eastAsia"/>
          <w:sz w:val="28"/>
          <w:szCs w:val="28"/>
        </w:rPr>
        <w:lastRenderedPageBreak/>
        <w:t>盖钨柱、钨环、钨球等，特性为高密度、抗拉强度大、弹性模量高、热膨胀系数低以及良好的导热性、导电性等，主要应用于国防科技领域，为海、陆、空、火箭、战略支援等多部队装备的炮弹、火箭弹及导弹产品进行配套。沈阳含能拥有军工相关资质，同时是辽宁省高新技术企业，辽宁省首批新型创新主体“瞪羚企业”。产品性能良好，获得军方认可，已与多家兵工厂建立了良好的合作关系，是部分常规炮弹及新型火箭弹预制破片的主要供应商。</w:t>
      </w:r>
    </w:p>
    <w:p w:rsidR="00891A79" w:rsidRPr="00980BC4" w:rsidRDefault="00891A79" w:rsidP="00891A79">
      <w:pPr>
        <w:pStyle w:val="a3"/>
        <w:spacing w:before="0" w:beforeAutospacing="0" w:after="0" w:afterAutospacing="0" w:line="560" w:lineRule="exact"/>
        <w:ind w:firstLine="560"/>
        <w:jc w:val="both"/>
        <w:divId w:val="750395372"/>
      </w:pPr>
      <w:r w:rsidRPr="00980BC4">
        <w:rPr>
          <w:rFonts w:ascii="仿宋" w:eastAsia="仿宋" w:hAnsi="仿宋" w:hint="eastAsia"/>
          <w:sz w:val="28"/>
          <w:szCs w:val="28"/>
        </w:rPr>
        <w:t>沈阳非晶主要从事非晶合金材料研发、制造、销售等业务，产品为非晶合金复合体，主要应用于军工、航空航天、石油化工等领域。公司通过与高等院校及科研院所开展产学研合作，对非晶合金技术创新、工艺优化和应用研究方面开展深入研究，并在多个研制任务获得应用。</w:t>
      </w:r>
    </w:p>
    <w:p w:rsidR="002A3304" w:rsidRPr="00980BC4" w:rsidRDefault="00DF4EBF" w:rsidP="00E001AA">
      <w:pPr>
        <w:pStyle w:val="Chapter"/>
        <w:spacing w:before="0" w:after="0" w:line="560" w:lineRule="exact"/>
        <w:ind w:firstLineChars="200" w:firstLine="562"/>
        <w:outlineLvl w:val="1"/>
        <w:rPr>
          <w:bCs w:val="0"/>
          <w:sz w:val="28"/>
          <w:szCs w:val="28"/>
        </w:rPr>
      </w:pPr>
      <w:bookmarkStart w:id="16" w:name="_Toc988905"/>
      <w:r w:rsidRPr="00980BC4">
        <w:rPr>
          <w:bCs w:val="0"/>
          <w:sz w:val="28"/>
          <w:szCs w:val="28"/>
        </w:rPr>
        <w:t>三、核心竞争力分析</w:t>
      </w:r>
      <w:bookmarkEnd w:id="16"/>
    </w:p>
    <w:p w:rsidR="002A3304" w:rsidRPr="00980BC4" w:rsidRDefault="002A3304" w:rsidP="006C2B1E">
      <w:pPr>
        <w:pStyle w:val="a3"/>
        <w:spacing w:before="0" w:beforeAutospacing="0" w:after="0" w:afterAutospacing="0" w:line="560" w:lineRule="exact"/>
        <w:ind w:firstLine="561"/>
        <w:jc w:val="both"/>
        <w:divId w:val="1157578129"/>
      </w:pPr>
      <w:r w:rsidRPr="00980BC4">
        <w:rPr>
          <w:rFonts w:ascii="仿宋" w:eastAsia="仿宋" w:hAnsi="仿宋" w:hint="eastAsia"/>
          <w:sz w:val="28"/>
          <w:szCs w:val="28"/>
        </w:rPr>
        <w:t>报告期内，公司主营业务为</w:t>
      </w:r>
      <w:r w:rsidR="005F1409" w:rsidRPr="00980BC4">
        <w:rPr>
          <w:rFonts w:ascii="仿宋" w:eastAsia="仿宋" w:hAnsi="仿宋" w:hint="eastAsia"/>
          <w:sz w:val="28"/>
          <w:szCs w:val="28"/>
        </w:rPr>
        <w:t>电源及相关产品、高性能特种合金材料制品的研制、销售</w:t>
      </w:r>
      <w:r w:rsidRPr="00980BC4">
        <w:rPr>
          <w:rFonts w:ascii="仿宋" w:eastAsia="仿宋" w:hAnsi="仿宋" w:hint="eastAsia"/>
          <w:sz w:val="28"/>
          <w:szCs w:val="28"/>
        </w:rPr>
        <w:t>和食糖贸易。公司于2022年5月停止开展食糖贸易后，汇集资源，集中精力聚焦发展军工产业，有利于提升公司核心竞争力。</w:t>
      </w:r>
    </w:p>
    <w:p w:rsidR="002A3304" w:rsidRPr="00980BC4" w:rsidRDefault="002A3304" w:rsidP="006C2B1E">
      <w:pPr>
        <w:pStyle w:val="a3"/>
        <w:spacing w:before="0" w:beforeAutospacing="0" w:after="0" w:afterAutospacing="0" w:line="560" w:lineRule="exact"/>
        <w:ind w:firstLine="561"/>
        <w:jc w:val="both"/>
        <w:divId w:val="1157578129"/>
      </w:pPr>
      <w:r w:rsidRPr="00980BC4">
        <w:rPr>
          <w:rFonts w:ascii="仿宋" w:eastAsia="仿宋" w:hAnsi="仿宋" w:hint="eastAsia"/>
          <w:sz w:val="28"/>
          <w:szCs w:val="28"/>
        </w:rPr>
        <w:t>公司承担军品业务的子公司分别为</w:t>
      </w:r>
      <w:r w:rsidR="00403E45" w:rsidRPr="00980BC4">
        <w:rPr>
          <w:rFonts w:ascii="仿宋" w:eastAsia="仿宋" w:hAnsi="仿宋" w:hint="eastAsia"/>
          <w:sz w:val="28"/>
          <w:szCs w:val="28"/>
        </w:rPr>
        <w:t>升华电源、沈阳含能</w:t>
      </w:r>
      <w:r w:rsidRPr="00980BC4">
        <w:rPr>
          <w:rFonts w:ascii="仿宋" w:eastAsia="仿宋" w:hAnsi="仿宋" w:hint="eastAsia"/>
          <w:sz w:val="28"/>
          <w:szCs w:val="28"/>
        </w:rPr>
        <w:t>和沈阳非晶。</w:t>
      </w:r>
    </w:p>
    <w:p w:rsidR="00C36319" w:rsidRPr="00980BC4" w:rsidRDefault="00403E45" w:rsidP="00C36319">
      <w:pPr>
        <w:pStyle w:val="a3"/>
        <w:widowControl w:val="0"/>
        <w:spacing w:before="0" w:beforeAutospacing="0" w:after="0" w:afterAutospacing="0" w:line="560" w:lineRule="exact"/>
        <w:ind w:firstLine="561"/>
        <w:jc w:val="both"/>
        <w:divId w:val="1157578129"/>
        <w:rPr>
          <w:rStyle w:val="fontstyle21"/>
          <w:rFonts w:hint="default"/>
          <w:sz w:val="28"/>
          <w:szCs w:val="28"/>
        </w:rPr>
      </w:pPr>
      <w:r w:rsidRPr="00980BC4">
        <w:rPr>
          <w:rStyle w:val="fontstyle21"/>
          <w:rFonts w:hint="default"/>
          <w:sz w:val="28"/>
          <w:szCs w:val="28"/>
        </w:rPr>
        <w:t>1</w:t>
      </w:r>
      <w:r w:rsidR="00E001AA" w:rsidRPr="00980BC4">
        <w:rPr>
          <w:rStyle w:val="fontstyle21"/>
          <w:rFonts w:hint="default"/>
          <w:sz w:val="28"/>
          <w:szCs w:val="28"/>
        </w:rPr>
        <w:t>、</w:t>
      </w:r>
      <w:r w:rsidR="00CA4A68" w:rsidRPr="00980BC4">
        <w:rPr>
          <w:rStyle w:val="fontstyle21"/>
          <w:rFonts w:hint="default"/>
          <w:sz w:val="28"/>
          <w:szCs w:val="28"/>
        </w:rPr>
        <w:t>升华电源是国内领先的特种电源供应商，拥有10余年的深厚技术基础</w:t>
      </w:r>
      <w:r w:rsidR="009F4567" w:rsidRPr="00980BC4">
        <w:rPr>
          <w:rStyle w:val="fontstyle21"/>
          <w:rFonts w:hint="default"/>
          <w:sz w:val="28"/>
          <w:szCs w:val="28"/>
        </w:rPr>
        <w:t>沉淀</w:t>
      </w:r>
      <w:r w:rsidR="00CA4A68" w:rsidRPr="00980BC4">
        <w:rPr>
          <w:rStyle w:val="fontstyle21"/>
          <w:rFonts w:hint="default"/>
          <w:sz w:val="28"/>
          <w:szCs w:val="28"/>
        </w:rPr>
        <w:t>，技术水平高，自主创新能力强，</w:t>
      </w:r>
      <w:r w:rsidR="002A3304" w:rsidRPr="00980BC4">
        <w:rPr>
          <w:rStyle w:val="fontstyle21"/>
          <w:rFonts w:hint="default"/>
          <w:sz w:val="28"/>
          <w:szCs w:val="28"/>
        </w:rPr>
        <w:t>拥有多项发明专利和实用新型专利，拥有一批高素质、高水平、充满活力、具有创新精神的专业人才，</w:t>
      </w:r>
      <w:r w:rsidR="00305502" w:rsidRPr="00980BC4">
        <w:rPr>
          <w:rStyle w:val="fontstyle21"/>
          <w:rFonts w:hint="default"/>
          <w:sz w:val="28"/>
          <w:szCs w:val="28"/>
        </w:rPr>
        <w:t>具有高水平的技术研发能力，完善的技术平台和高品质的制造优势，</w:t>
      </w:r>
      <w:r w:rsidR="00947202" w:rsidRPr="00980BC4">
        <w:rPr>
          <w:rStyle w:val="fontstyle21"/>
          <w:rFonts w:hint="default"/>
          <w:sz w:val="28"/>
          <w:szCs w:val="28"/>
        </w:rPr>
        <w:t>拥有国内多家军工企业、军工科研院所、军工厂等优质客户，</w:t>
      </w:r>
      <w:r w:rsidR="002A3304" w:rsidRPr="00980BC4">
        <w:rPr>
          <w:rStyle w:val="fontstyle21"/>
          <w:rFonts w:hint="default"/>
          <w:sz w:val="28"/>
          <w:szCs w:val="28"/>
        </w:rPr>
        <w:t>产品配套国内主战型号装备</w:t>
      </w:r>
      <w:r w:rsidR="007C7E7F" w:rsidRPr="00980BC4">
        <w:rPr>
          <w:rStyle w:val="fontstyle21"/>
          <w:rFonts w:hint="default"/>
          <w:sz w:val="28"/>
          <w:szCs w:val="28"/>
        </w:rPr>
        <w:t>。</w:t>
      </w:r>
      <w:r w:rsidR="009F4567" w:rsidRPr="00980BC4">
        <w:rPr>
          <w:rStyle w:val="fontstyle21"/>
          <w:rFonts w:hint="default"/>
          <w:sz w:val="28"/>
          <w:szCs w:val="28"/>
        </w:rPr>
        <w:t>随着国家对装备“自主可控”要求的提升，全国产化产品需求强烈，升华电源</w:t>
      </w:r>
      <w:r w:rsidR="009A69DF" w:rsidRPr="00980BC4">
        <w:rPr>
          <w:rStyle w:val="fontstyle21"/>
          <w:rFonts w:hint="default"/>
          <w:sz w:val="28"/>
          <w:szCs w:val="28"/>
        </w:rPr>
        <w:t>也积极布局全国产化电源市场，</w:t>
      </w:r>
      <w:r w:rsidR="00041A31" w:rsidRPr="00980BC4">
        <w:rPr>
          <w:rStyle w:val="fontstyle21"/>
          <w:rFonts w:hint="default"/>
          <w:sz w:val="28"/>
          <w:szCs w:val="28"/>
        </w:rPr>
        <w:t>致力于为客户提供专业化、个性化的电源产品，其中高效率、高可靠性、高功率密度的模块电源、定制电源产品深受客户认可。</w:t>
      </w:r>
    </w:p>
    <w:p w:rsidR="00403E45" w:rsidRPr="00980BC4" w:rsidRDefault="00403E45" w:rsidP="00C36319">
      <w:pPr>
        <w:pStyle w:val="a3"/>
        <w:widowControl w:val="0"/>
        <w:spacing w:before="0" w:beforeAutospacing="0" w:after="0" w:afterAutospacing="0" w:line="560" w:lineRule="exact"/>
        <w:ind w:firstLine="561"/>
        <w:jc w:val="both"/>
        <w:divId w:val="1157578129"/>
      </w:pPr>
      <w:r w:rsidRPr="00980BC4">
        <w:rPr>
          <w:rFonts w:ascii="仿宋" w:eastAsia="仿宋" w:hAnsi="仿宋" w:hint="eastAsia"/>
          <w:sz w:val="28"/>
          <w:szCs w:val="28"/>
        </w:rPr>
        <w:lastRenderedPageBreak/>
        <w:t>2、沈阳含能通过引进先进生产技术和研究成果，推动新材料、新工艺、新产品的开发与应用，保证了公司的产品质量和工艺水平的领先，在钨合金预制破片领域具有相对稳定的竞争优势。</w:t>
      </w:r>
    </w:p>
    <w:p w:rsidR="00403E45" w:rsidRPr="00980BC4" w:rsidRDefault="00403E45" w:rsidP="00403E45">
      <w:pPr>
        <w:pStyle w:val="a3"/>
        <w:spacing w:before="0" w:beforeAutospacing="0" w:after="0" w:afterAutospacing="0" w:line="560" w:lineRule="exact"/>
        <w:ind w:firstLine="560"/>
        <w:jc w:val="both"/>
        <w:divId w:val="1157578129"/>
      </w:pPr>
      <w:r w:rsidRPr="00980BC4">
        <w:rPr>
          <w:rFonts w:ascii="仿宋" w:eastAsia="仿宋" w:hAnsi="仿宋" w:hint="eastAsia"/>
          <w:sz w:val="28"/>
          <w:szCs w:val="28"/>
        </w:rPr>
        <w:t>3、沈阳非晶目前处于成长期，为新型亚稳金属材料研发与产业化的军民融合型国家高新技术企业。非晶合金材料是一类具有冲击诱发化学反应的先进活性材料，具有高强度、高硬度的特点，在国防领域，对装备设计、打击能力具有颠覆性作用。近年来，我国进行了系列非晶活性材料的研究、仿制，沈阳非晶将非晶合金材料作为多功能含能金属材料使用的技术为国内领先，通过与国内重点军工企业、科研院所及高等院校深化战略合作，将非晶合金先进核心技术实现产业化转化，部分材料已在装备配套中应用，并在试验过程中表现出优异的性能。</w:t>
      </w:r>
    </w:p>
    <w:p w:rsidR="002A3304" w:rsidRPr="00980BC4" w:rsidRDefault="00403E45" w:rsidP="006C2B1E">
      <w:pPr>
        <w:pStyle w:val="a3"/>
        <w:spacing w:before="0" w:beforeAutospacing="0" w:after="0" w:afterAutospacing="0" w:line="560" w:lineRule="exact"/>
        <w:ind w:firstLine="480"/>
        <w:jc w:val="both"/>
        <w:divId w:val="1157578129"/>
      </w:pPr>
      <w:r w:rsidRPr="00980BC4">
        <w:rPr>
          <w:rFonts w:ascii="仿宋" w:eastAsia="仿宋" w:hAnsi="仿宋" w:hint="eastAsia"/>
          <w:sz w:val="28"/>
          <w:szCs w:val="28"/>
        </w:rPr>
        <w:t>升华电源、沈阳含能和</w:t>
      </w:r>
      <w:r w:rsidR="002A3304" w:rsidRPr="00980BC4">
        <w:rPr>
          <w:rFonts w:ascii="仿宋" w:eastAsia="仿宋" w:hAnsi="仿宋" w:hint="eastAsia"/>
          <w:sz w:val="28"/>
          <w:szCs w:val="28"/>
        </w:rPr>
        <w:t>沈阳非晶均具备国家认证的从事军工产品研发和生产所需的各项资质证书，建立了完备的质量管理体系，与多所企业科研院所等相关单位深入合作，自主研发能力不断提升，</w:t>
      </w:r>
      <w:r w:rsidR="00C47580" w:rsidRPr="00980BC4">
        <w:rPr>
          <w:rFonts w:ascii="仿宋" w:eastAsia="仿宋" w:hAnsi="仿宋" w:hint="eastAsia"/>
          <w:sz w:val="28"/>
          <w:szCs w:val="28"/>
        </w:rPr>
        <w:t>升华电源、沈阳含能和沈阳非晶</w:t>
      </w:r>
      <w:r w:rsidR="002A3304" w:rsidRPr="00980BC4">
        <w:rPr>
          <w:rFonts w:ascii="仿宋" w:eastAsia="仿宋" w:hAnsi="仿宋" w:hint="eastAsia"/>
          <w:sz w:val="28"/>
          <w:szCs w:val="28"/>
        </w:rPr>
        <w:t>的产品已经在军工众多项目中应用，稳定可靠的产品品质获得了广泛的认可。</w:t>
      </w:r>
    </w:p>
    <w:p w:rsidR="00C36319" w:rsidRPr="00980BC4" w:rsidRDefault="002A3304" w:rsidP="00C36319">
      <w:pPr>
        <w:pStyle w:val="a3"/>
        <w:widowControl w:val="0"/>
        <w:spacing w:before="0" w:beforeAutospacing="0" w:after="0" w:afterAutospacing="0" w:line="560" w:lineRule="exact"/>
        <w:ind w:firstLine="561"/>
        <w:jc w:val="both"/>
        <w:rPr>
          <w:rFonts w:ascii="仿宋" w:eastAsia="仿宋" w:hAnsi="仿宋"/>
          <w:sz w:val="28"/>
          <w:szCs w:val="28"/>
        </w:rPr>
      </w:pPr>
      <w:r w:rsidRPr="00980BC4">
        <w:rPr>
          <w:rFonts w:ascii="仿宋" w:eastAsia="仿宋" w:hAnsi="仿宋" w:hint="eastAsia"/>
          <w:sz w:val="28"/>
          <w:szCs w:val="28"/>
        </w:rPr>
        <w:t>公司一方面通过与子公司搭建协同发展平台，针对军品客户和民用客户对产品进行个性化定制和技术的敏捷开发，形成了一系列电源产品和</w:t>
      </w:r>
      <w:r w:rsidR="008B747A" w:rsidRPr="00980BC4">
        <w:rPr>
          <w:rFonts w:ascii="仿宋" w:eastAsia="仿宋" w:hAnsi="仿宋" w:hint="eastAsia"/>
          <w:sz w:val="28"/>
          <w:szCs w:val="28"/>
        </w:rPr>
        <w:t>高性能特种合金材料制品</w:t>
      </w:r>
      <w:r w:rsidRPr="00980BC4">
        <w:rPr>
          <w:rFonts w:ascii="仿宋" w:eastAsia="仿宋" w:hAnsi="仿宋" w:hint="eastAsia"/>
          <w:sz w:val="28"/>
          <w:szCs w:val="28"/>
        </w:rPr>
        <w:t>的专有技术和提供解决方案的能力；另一方面贯彻公司发展战略，积极拓展对外投资业务，以此来丰富现有产品结构，推动产业升级，提升公司竞争能力。公司将继续贯彻公司发展战略，利用上市公司平台优势，把握机遇，整合资源，聚焦</w:t>
      </w:r>
      <w:r w:rsidR="008B747A" w:rsidRPr="00980BC4">
        <w:rPr>
          <w:rFonts w:ascii="仿宋" w:eastAsia="仿宋" w:hAnsi="仿宋" w:hint="eastAsia"/>
          <w:sz w:val="28"/>
          <w:szCs w:val="28"/>
        </w:rPr>
        <w:t>电源</w:t>
      </w:r>
      <w:r w:rsidR="00CD3141" w:rsidRPr="00980BC4">
        <w:rPr>
          <w:rFonts w:ascii="仿宋" w:eastAsia="仿宋" w:hAnsi="仿宋" w:hint="eastAsia"/>
          <w:sz w:val="28"/>
          <w:szCs w:val="28"/>
        </w:rPr>
        <w:t>及相关产品、</w:t>
      </w:r>
      <w:r w:rsidR="008B747A" w:rsidRPr="00980BC4">
        <w:rPr>
          <w:rFonts w:ascii="仿宋" w:eastAsia="仿宋" w:hAnsi="仿宋" w:hint="eastAsia"/>
          <w:sz w:val="28"/>
          <w:szCs w:val="28"/>
        </w:rPr>
        <w:t>高性能特种合金材料制品</w:t>
      </w:r>
      <w:r w:rsidRPr="00980BC4">
        <w:rPr>
          <w:rFonts w:ascii="仿宋" w:eastAsia="仿宋" w:hAnsi="仿宋" w:hint="eastAsia"/>
          <w:sz w:val="28"/>
          <w:szCs w:val="28"/>
        </w:rPr>
        <w:t>为核心的重点产业，在资金、人员等资源配置方面倾斜，全力支持军工科研生产活动，不断提升其综合竞争实力，驱动公司盈利水平的提升。</w:t>
      </w:r>
      <w:bookmarkStart w:id="17" w:name="_Toc988906"/>
    </w:p>
    <w:p w:rsidR="002A3304" w:rsidRPr="00980BC4" w:rsidRDefault="00DF4EBF" w:rsidP="00C36319">
      <w:pPr>
        <w:pStyle w:val="a3"/>
        <w:widowControl w:val="0"/>
        <w:spacing w:before="0" w:beforeAutospacing="0" w:after="0" w:afterAutospacing="0" w:line="560" w:lineRule="exact"/>
        <w:ind w:firstLine="561"/>
        <w:jc w:val="both"/>
        <w:rPr>
          <w:b/>
          <w:bCs/>
          <w:sz w:val="28"/>
          <w:szCs w:val="28"/>
        </w:rPr>
      </w:pPr>
      <w:r w:rsidRPr="00980BC4">
        <w:rPr>
          <w:b/>
          <w:sz w:val="28"/>
          <w:szCs w:val="28"/>
        </w:rPr>
        <w:lastRenderedPageBreak/>
        <w:t>四、主营业务分析</w:t>
      </w:r>
      <w:bookmarkEnd w:id="17"/>
    </w:p>
    <w:p w:rsidR="002A3304" w:rsidRPr="00980BC4" w:rsidRDefault="00DF4EBF" w:rsidP="00E001AA">
      <w:pPr>
        <w:pStyle w:val="a3"/>
        <w:spacing w:before="0" w:beforeAutospacing="0" w:after="0" w:afterAutospacing="0" w:line="560" w:lineRule="exact"/>
        <w:ind w:firstLine="560"/>
        <w:jc w:val="both"/>
        <w:rPr>
          <w:rStyle w:val="a4"/>
          <w:rFonts w:ascii="仿宋" w:eastAsia="仿宋" w:hAnsi="仿宋"/>
          <w:bCs w:val="0"/>
          <w:sz w:val="28"/>
          <w:szCs w:val="28"/>
        </w:rPr>
      </w:pPr>
      <w:bookmarkStart w:id="18" w:name="_Toc988907"/>
      <w:r w:rsidRPr="00980BC4">
        <w:rPr>
          <w:rStyle w:val="a4"/>
          <w:rFonts w:ascii="仿宋" w:eastAsia="仿宋" w:hAnsi="仿宋"/>
          <w:bCs w:val="0"/>
          <w:sz w:val="28"/>
          <w:szCs w:val="28"/>
        </w:rPr>
        <w:t>1、概述</w:t>
      </w:r>
      <w:bookmarkEnd w:id="18"/>
    </w:p>
    <w:p w:rsidR="002A3304" w:rsidRPr="00980BC4" w:rsidRDefault="002A3304" w:rsidP="00E001AA">
      <w:pPr>
        <w:pStyle w:val="a3"/>
        <w:spacing w:before="0" w:beforeAutospacing="0" w:after="0" w:afterAutospacing="0" w:line="560" w:lineRule="exact"/>
        <w:ind w:firstLine="560"/>
        <w:jc w:val="both"/>
        <w:divId w:val="581108184"/>
        <w:rPr>
          <w:color w:val="000000" w:themeColor="text1"/>
        </w:rPr>
      </w:pPr>
      <w:r w:rsidRPr="00980BC4">
        <w:rPr>
          <w:rFonts w:ascii="仿宋" w:eastAsia="仿宋" w:hAnsi="仿宋" w:hint="eastAsia"/>
          <w:color w:val="000000" w:themeColor="text1"/>
          <w:sz w:val="28"/>
          <w:szCs w:val="28"/>
        </w:rPr>
        <w:t>2022年，</w:t>
      </w:r>
      <w:r w:rsidR="001851E8" w:rsidRPr="00980BC4">
        <w:rPr>
          <w:rFonts w:ascii="仿宋" w:eastAsia="仿宋" w:hAnsi="仿宋" w:hint="eastAsia"/>
          <w:color w:val="000000" w:themeColor="text1"/>
          <w:sz w:val="28"/>
          <w:szCs w:val="28"/>
        </w:rPr>
        <w:t>受</w:t>
      </w:r>
      <w:r w:rsidRPr="00980BC4">
        <w:rPr>
          <w:rFonts w:ascii="仿宋" w:eastAsia="仿宋" w:hAnsi="仿宋" w:hint="eastAsia"/>
          <w:color w:val="000000" w:themeColor="text1"/>
          <w:sz w:val="28"/>
          <w:szCs w:val="28"/>
        </w:rPr>
        <w:t>国际国内形势的复杂变化和经济下行的冲击，叠加主要原料价格大幅上涨带来的不利影响，对公司的经营运作带来巨大挑战。面对不利的外部环境，公司始终保持战略定力，审时度势，科学统筹防控应对和生产经营，全体员工上下一心，克服困难，紧紧围绕年初制定的各项工作目标，对内优化管控体系，加大研发投入，对外积极拓展市场，寻求新的经济增长点，同时持续进行投资并购，深化产业布局，公司各项工作取得预期成效，经营效益稳步上升，整体发展保持良好态势。</w:t>
      </w:r>
    </w:p>
    <w:p w:rsidR="002A3304" w:rsidRPr="00980BC4" w:rsidRDefault="00E001AA" w:rsidP="00E001AA">
      <w:pPr>
        <w:pStyle w:val="a3"/>
        <w:spacing w:before="0" w:beforeAutospacing="0" w:after="0" w:afterAutospacing="0" w:line="560" w:lineRule="exact"/>
        <w:ind w:firstLine="560"/>
        <w:jc w:val="both"/>
        <w:divId w:val="581108184"/>
        <w:rPr>
          <w:color w:val="000000" w:themeColor="text1"/>
        </w:rPr>
      </w:pPr>
      <w:r w:rsidRPr="00980BC4">
        <w:rPr>
          <w:rStyle w:val="a4"/>
          <w:rFonts w:ascii="仿宋" w:eastAsia="仿宋" w:hAnsi="仿宋" w:hint="eastAsia"/>
          <w:color w:val="000000" w:themeColor="text1"/>
          <w:sz w:val="28"/>
          <w:szCs w:val="28"/>
        </w:rPr>
        <w:t>（1）</w:t>
      </w:r>
      <w:r w:rsidR="002A3304" w:rsidRPr="00980BC4">
        <w:rPr>
          <w:rStyle w:val="a4"/>
          <w:rFonts w:ascii="仿宋" w:eastAsia="仿宋" w:hAnsi="仿宋" w:hint="eastAsia"/>
          <w:color w:val="000000" w:themeColor="text1"/>
          <w:sz w:val="28"/>
          <w:szCs w:val="28"/>
        </w:rPr>
        <w:t>总体经营情况</w:t>
      </w:r>
    </w:p>
    <w:p w:rsidR="002A3304" w:rsidRPr="00980BC4" w:rsidRDefault="002A3304" w:rsidP="00E001AA">
      <w:pPr>
        <w:pStyle w:val="a3"/>
        <w:spacing w:before="0" w:beforeAutospacing="0" w:after="0" w:afterAutospacing="0" w:line="560" w:lineRule="exact"/>
        <w:ind w:firstLine="560"/>
        <w:jc w:val="both"/>
        <w:divId w:val="581108184"/>
        <w:rPr>
          <w:color w:val="000000" w:themeColor="text1"/>
        </w:rPr>
      </w:pPr>
      <w:r w:rsidRPr="00980BC4">
        <w:rPr>
          <w:rFonts w:ascii="仿宋" w:eastAsia="仿宋" w:hAnsi="仿宋" w:hint="eastAsia"/>
          <w:color w:val="000000" w:themeColor="text1"/>
          <w:sz w:val="28"/>
          <w:szCs w:val="28"/>
        </w:rPr>
        <w:t>2022年公司共完成营业收入4.45亿元，同比下降17.46%。其中军工板块营业收入4.10亿元，同比增长29.37%；食糖贸易营业收入0.28亿元，同比下降87.13%</w:t>
      </w:r>
      <w:r w:rsidR="00A25E43" w:rsidRPr="00980BC4">
        <w:rPr>
          <w:rFonts w:ascii="仿宋" w:eastAsia="仿宋" w:hAnsi="仿宋" w:hint="eastAsia"/>
          <w:color w:val="000000" w:themeColor="text1"/>
          <w:sz w:val="28"/>
          <w:szCs w:val="28"/>
        </w:rPr>
        <w:t>，主要系2</w:t>
      </w:r>
      <w:r w:rsidR="00A25E43" w:rsidRPr="00980BC4">
        <w:rPr>
          <w:rFonts w:ascii="仿宋" w:eastAsia="仿宋" w:hAnsi="仿宋"/>
          <w:color w:val="000000" w:themeColor="text1"/>
          <w:sz w:val="28"/>
          <w:szCs w:val="28"/>
        </w:rPr>
        <w:t>022年</w:t>
      </w:r>
      <w:r w:rsidR="00A25E43" w:rsidRPr="00980BC4">
        <w:rPr>
          <w:rFonts w:ascii="仿宋" w:eastAsia="仿宋" w:hAnsi="仿宋" w:hint="eastAsia"/>
          <w:color w:val="000000" w:themeColor="text1"/>
          <w:sz w:val="28"/>
          <w:szCs w:val="28"/>
        </w:rPr>
        <w:t>5月起停止了盈利能力较弱的食糖类业务</w:t>
      </w:r>
      <w:r w:rsidRPr="00980BC4">
        <w:rPr>
          <w:rFonts w:ascii="仿宋" w:eastAsia="仿宋" w:hAnsi="仿宋" w:hint="eastAsia"/>
          <w:color w:val="000000" w:themeColor="text1"/>
          <w:sz w:val="28"/>
          <w:szCs w:val="28"/>
        </w:rPr>
        <w:t>。</w:t>
      </w:r>
      <w:r w:rsidR="00A25E43" w:rsidRPr="00980BC4">
        <w:rPr>
          <w:rFonts w:ascii="仿宋" w:eastAsia="仿宋" w:hAnsi="仿宋" w:hint="eastAsia"/>
          <w:color w:val="000000" w:themeColor="text1"/>
          <w:sz w:val="28"/>
          <w:szCs w:val="28"/>
        </w:rPr>
        <w:t>2</w:t>
      </w:r>
      <w:r w:rsidR="00A25E43" w:rsidRPr="00980BC4">
        <w:rPr>
          <w:rFonts w:ascii="仿宋" w:eastAsia="仿宋" w:hAnsi="仿宋"/>
          <w:color w:val="000000" w:themeColor="text1"/>
          <w:sz w:val="28"/>
          <w:szCs w:val="28"/>
        </w:rPr>
        <w:t>022年度</w:t>
      </w:r>
      <w:r w:rsidRPr="00980BC4">
        <w:rPr>
          <w:rFonts w:ascii="仿宋" w:eastAsia="仿宋" w:hAnsi="仿宋" w:hint="eastAsia"/>
          <w:color w:val="000000" w:themeColor="text1"/>
          <w:sz w:val="28"/>
          <w:szCs w:val="28"/>
        </w:rPr>
        <w:t>实现归属于上市公司股东的净利润1.</w:t>
      </w:r>
      <w:r w:rsidR="00D4075A" w:rsidRPr="00980BC4">
        <w:rPr>
          <w:rFonts w:ascii="仿宋" w:eastAsia="仿宋" w:hAnsi="仿宋" w:hint="eastAsia"/>
          <w:color w:val="000000" w:themeColor="text1"/>
          <w:sz w:val="28"/>
          <w:szCs w:val="28"/>
        </w:rPr>
        <w:t>19</w:t>
      </w:r>
      <w:r w:rsidRPr="00980BC4">
        <w:rPr>
          <w:rFonts w:ascii="仿宋" w:eastAsia="仿宋" w:hAnsi="仿宋" w:hint="eastAsia"/>
          <w:color w:val="000000" w:themeColor="text1"/>
          <w:sz w:val="28"/>
          <w:szCs w:val="28"/>
        </w:rPr>
        <w:t>亿元，同比增长</w:t>
      </w:r>
      <w:r w:rsidR="00D4075A" w:rsidRPr="00980BC4">
        <w:rPr>
          <w:rFonts w:ascii="仿宋" w:eastAsia="仿宋" w:hAnsi="仿宋" w:hint="eastAsia"/>
          <w:color w:val="000000" w:themeColor="text1"/>
          <w:sz w:val="28"/>
          <w:szCs w:val="28"/>
        </w:rPr>
        <w:t>274</w:t>
      </w:r>
      <w:r w:rsidRPr="00980BC4">
        <w:rPr>
          <w:rFonts w:ascii="仿宋" w:eastAsia="仿宋" w:hAnsi="仿宋" w:hint="eastAsia"/>
          <w:color w:val="000000" w:themeColor="text1"/>
          <w:sz w:val="28"/>
          <w:szCs w:val="28"/>
        </w:rPr>
        <w:t>.</w:t>
      </w:r>
      <w:r w:rsidR="00D4075A" w:rsidRPr="00980BC4">
        <w:rPr>
          <w:rFonts w:ascii="仿宋" w:eastAsia="仿宋" w:hAnsi="仿宋" w:hint="eastAsia"/>
          <w:color w:val="000000" w:themeColor="text1"/>
          <w:sz w:val="28"/>
          <w:szCs w:val="28"/>
        </w:rPr>
        <w:t>81</w:t>
      </w:r>
      <w:r w:rsidRPr="00980BC4">
        <w:rPr>
          <w:rFonts w:ascii="仿宋" w:eastAsia="仿宋" w:hAnsi="仿宋" w:hint="eastAsia"/>
          <w:color w:val="000000" w:themeColor="text1"/>
          <w:sz w:val="28"/>
          <w:szCs w:val="28"/>
        </w:rPr>
        <w:t>%。截至2022年12月31日，公司总资产20.</w:t>
      </w:r>
      <w:r w:rsidR="00AC169D">
        <w:rPr>
          <w:rFonts w:ascii="仿宋" w:eastAsia="仿宋" w:hAnsi="仿宋" w:hint="eastAsia"/>
          <w:color w:val="000000" w:themeColor="text1"/>
          <w:sz w:val="28"/>
          <w:szCs w:val="28"/>
        </w:rPr>
        <w:t>07</w:t>
      </w:r>
      <w:r w:rsidRPr="00980BC4">
        <w:rPr>
          <w:rFonts w:ascii="仿宋" w:eastAsia="仿宋" w:hAnsi="仿宋" w:hint="eastAsia"/>
          <w:color w:val="000000" w:themeColor="text1"/>
          <w:sz w:val="28"/>
          <w:szCs w:val="28"/>
        </w:rPr>
        <w:t>亿元，归属于上市公司股东的净资产17.</w:t>
      </w:r>
      <w:r w:rsidR="00AC169D">
        <w:rPr>
          <w:rFonts w:ascii="仿宋" w:eastAsia="仿宋" w:hAnsi="仿宋" w:hint="eastAsia"/>
          <w:color w:val="000000" w:themeColor="text1"/>
          <w:sz w:val="28"/>
          <w:szCs w:val="28"/>
        </w:rPr>
        <w:t>55</w:t>
      </w:r>
      <w:r w:rsidRPr="00980BC4">
        <w:rPr>
          <w:rFonts w:ascii="仿宋" w:eastAsia="仿宋" w:hAnsi="仿宋" w:hint="eastAsia"/>
          <w:color w:val="000000" w:themeColor="text1"/>
          <w:sz w:val="28"/>
          <w:szCs w:val="28"/>
        </w:rPr>
        <w:t>亿元。</w:t>
      </w:r>
    </w:p>
    <w:p w:rsidR="002A3304" w:rsidRPr="00980BC4" w:rsidRDefault="00E001AA" w:rsidP="00E001AA">
      <w:pPr>
        <w:pStyle w:val="a3"/>
        <w:spacing w:before="0" w:beforeAutospacing="0" w:after="0" w:afterAutospacing="0" w:line="560" w:lineRule="exact"/>
        <w:ind w:firstLine="560"/>
        <w:jc w:val="both"/>
        <w:divId w:val="581108184"/>
        <w:rPr>
          <w:rStyle w:val="a4"/>
          <w:rFonts w:ascii="仿宋" w:eastAsia="仿宋" w:hAnsi="仿宋"/>
          <w:color w:val="000000" w:themeColor="text1"/>
          <w:sz w:val="28"/>
          <w:szCs w:val="28"/>
        </w:rPr>
      </w:pPr>
      <w:r w:rsidRPr="00980BC4">
        <w:rPr>
          <w:rStyle w:val="a4"/>
          <w:rFonts w:ascii="仿宋" w:eastAsia="仿宋" w:hAnsi="仿宋" w:hint="eastAsia"/>
          <w:color w:val="000000" w:themeColor="text1"/>
          <w:sz w:val="28"/>
          <w:szCs w:val="28"/>
        </w:rPr>
        <w:t>（2）</w:t>
      </w:r>
      <w:r w:rsidR="002A3304" w:rsidRPr="00980BC4">
        <w:rPr>
          <w:rStyle w:val="a4"/>
          <w:rFonts w:ascii="仿宋" w:eastAsia="仿宋" w:hAnsi="仿宋" w:hint="eastAsia"/>
          <w:color w:val="000000" w:themeColor="text1"/>
          <w:sz w:val="28"/>
          <w:szCs w:val="28"/>
        </w:rPr>
        <w:t>主要工作进展</w:t>
      </w:r>
    </w:p>
    <w:p w:rsidR="002A3304" w:rsidRPr="00980BC4" w:rsidRDefault="00E001AA" w:rsidP="00E001AA">
      <w:pPr>
        <w:pStyle w:val="a3"/>
        <w:spacing w:before="0" w:beforeAutospacing="0" w:after="0" w:afterAutospacing="0" w:line="560" w:lineRule="exact"/>
        <w:ind w:firstLine="551"/>
        <w:jc w:val="both"/>
        <w:divId w:val="581108184"/>
        <w:rPr>
          <w:color w:val="000000" w:themeColor="text1"/>
        </w:rPr>
      </w:pPr>
      <w:r w:rsidRPr="00980BC4">
        <w:rPr>
          <w:rStyle w:val="a4"/>
          <w:rFonts w:ascii="仿宋" w:eastAsia="仿宋" w:hAnsi="仿宋" w:hint="eastAsia"/>
          <w:color w:val="000000" w:themeColor="text1"/>
          <w:sz w:val="28"/>
          <w:szCs w:val="28"/>
        </w:rPr>
        <w:t>①</w:t>
      </w:r>
      <w:r w:rsidR="002A3304" w:rsidRPr="00980BC4">
        <w:rPr>
          <w:rStyle w:val="a4"/>
          <w:rFonts w:ascii="仿宋" w:eastAsia="仿宋" w:hAnsi="仿宋" w:hint="eastAsia"/>
          <w:color w:val="000000" w:themeColor="text1"/>
          <w:sz w:val="28"/>
          <w:szCs w:val="28"/>
        </w:rPr>
        <w:t>终止食糖贸易、聚焦军工主业</w:t>
      </w:r>
    </w:p>
    <w:p w:rsidR="002A3304" w:rsidRPr="00980BC4" w:rsidRDefault="002A3304" w:rsidP="00E001AA">
      <w:pPr>
        <w:pStyle w:val="a3"/>
        <w:spacing w:before="0" w:beforeAutospacing="0" w:after="0" w:afterAutospacing="0" w:line="560" w:lineRule="exact"/>
        <w:ind w:firstLine="560"/>
        <w:jc w:val="both"/>
        <w:divId w:val="581108184"/>
        <w:rPr>
          <w:color w:val="000000" w:themeColor="text1"/>
        </w:rPr>
      </w:pPr>
      <w:r w:rsidRPr="00980BC4">
        <w:rPr>
          <w:rFonts w:ascii="仿宋" w:eastAsia="仿宋" w:hAnsi="仿宋" w:hint="eastAsia"/>
          <w:color w:val="000000" w:themeColor="text1"/>
          <w:sz w:val="28"/>
          <w:szCs w:val="28"/>
        </w:rPr>
        <w:t>公司于2016年10月起开展食糖类业务，在公司转型发展期间，对稳定公司经营运作发挥了一定作用,为使主营业务定位更为聚焦，与公司发展战略更加匹配，公司于2022年5月起停止开展食糖类业务，汇集资源，集中精力发展军工产业。</w:t>
      </w:r>
    </w:p>
    <w:p w:rsidR="00C36319" w:rsidRPr="00980BC4" w:rsidRDefault="00E001AA" w:rsidP="00C36319">
      <w:pPr>
        <w:pStyle w:val="a3"/>
        <w:widowControl w:val="0"/>
        <w:spacing w:before="0" w:beforeAutospacing="0" w:after="0" w:afterAutospacing="0" w:line="560" w:lineRule="exact"/>
        <w:ind w:firstLine="550"/>
        <w:jc w:val="both"/>
        <w:divId w:val="581108184"/>
        <w:rPr>
          <w:rStyle w:val="a4"/>
          <w:rFonts w:ascii="仿宋" w:eastAsia="仿宋" w:hAnsi="仿宋"/>
          <w:color w:val="000000" w:themeColor="text1"/>
          <w:sz w:val="28"/>
          <w:szCs w:val="28"/>
        </w:rPr>
      </w:pPr>
      <w:r w:rsidRPr="00980BC4">
        <w:rPr>
          <w:rStyle w:val="a4"/>
          <w:rFonts w:ascii="仿宋" w:eastAsia="仿宋" w:hAnsi="仿宋" w:hint="eastAsia"/>
          <w:color w:val="000000" w:themeColor="text1"/>
          <w:sz w:val="28"/>
          <w:szCs w:val="28"/>
        </w:rPr>
        <w:t>②</w:t>
      </w:r>
      <w:r w:rsidR="002A3304" w:rsidRPr="00980BC4">
        <w:rPr>
          <w:rStyle w:val="a4"/>
          <w:rFonts w:ascii="仿宋" w:eastAsia="仿宋" w:hAnsi="仿宋" w:hint="eastAsia"/>
          <w:color w:val="000000" w:themeColor="text1"/>
          <w:sz w:val="28"/>
          <w:szCs w:val="28"/>
        </w:rPr>
        <w:t>加强资源共享、构建协同机制</w:t>
      </w:r>
    </w:p>
    <w:p w:rsidR="002A3304" w:rsidRPr="00980BC4" w:rsidRDefault="002A3304" w:rsidP="00C36319">
      <w:pPr>
        <w:pStyle w:val="a3"/>
        <w:widowControl w:val="0"/>
        <w:spacing w:before="0" w:beforeAutospacing="0" w:after="0" w:afterAutospacing="0" w:line="560" w:lineRule="exact"/>
        <w:ind w:firstLine="550"/>
        <w:jc w:val="both"/>
        <w:divId w:val="581108184"/>
        <w:rPr>
          <w:color w:val="000000" w:themeColor="text1"/>
        </w:rPr>
      </w:pPr>
      <w:r w:rsidRPr="00980BC4">
        <w:rPr>
          <w:rFonts w:ascii="仿宋" w:eastAsia="仿宋" w:hAnsi="仿宋" w:hint="eastAsia"/>
          <w:color w:val="000000" w:themeColor="text1"/>
          <w:sz w:val="28"/>
          <w:szCs w:val="28"/>
        </w:rPr>
        <w:t>公司一方面调动自身在资本市场的资金、信息等资源，积极为子公司赋</w:t>
      </w:r>
      <w:r w:rsidRPr="00980BC4">
        <w:rPr>
          <w:rFonts w:ascii="仿宋" w:eastAsia="仿宋" w:hAnsi="仿宋" w:hint="eastAsia"/>
          <w:color w:val="000000" w:themeColor="text1"/>
          <w:sz w:val="28"/>
          <w:szCs w:val="28"/>
        </w:rPr>
        <w:lastRenderedPageBreak/>
        <w:t>能；另一方面协调参控股企业之间的技术合作及资源共享，形成良性互动；同时组建机构作为配合子公司业务开展的前端站点，以编制业务地图为抓手，以优势互补、协同作战为主要途径，并借助外部专家的专业优势和各种资源，构建多方协同机制，帮助参控股企业拓展市场，提升公司经营效益。</w:t>
      </w:r>
    </w:p>
    <w:p w:rsidR="002A3304" w:rsidRPr="00980BC4" w:rsidRDefault="00A2302D" w:rsidP="00E001AA">
      <w:pPr>
        <w:pStyle w:val="a3"/>
        <w:spacing w:before="0" w:beforeAutospacing="0" w:after="0" w:afterAutospacing="0" w:line="560" w:lineRule="exact"/>
        <w:ind w:firstLine="562"/>
        <w:jc w:val="both"/>
        <w:divId w:val="581108184"/>
        <w:rPr>
          <w:color w:val="000000" w:themeColor="text1"/>
        </w:rPr>
      </w:pPr>
      <w:r w:rsidRPr="00980BC4">
        <w:rPr>
          <w:rStyle w:val="a4"/>
          <w:rFonts w:ascii="仿宋" w:eastAsia="仿宋" w:hAnsi="仿宋" w:hint="eastAsia"/>
          <w:color w:val="000000" w:themeColor="text1"/>
          <w:sz w:val="28"/>
          <w:szCs w:val="28"/>
        </w:rPr>
        <w:t>③</w:t>
      </w:r>
      <w:r w:rsidR="002A3304" w:rsidRPr="00980BC4">
        <w:rPr>
          <w:rStyle w:val="a4"/>
          <w:rFonts w:ascii="仿宋" w:eastAsia="仿宋" w:hAnsi="仿宋" w:hint="eastAsia"/>
          <w:color w:val="000000" w:themeColor="text1"/>
          <w:sz w:val="28"/>
          <w:szCs w:val="28"/>
        </w:rPr>
        <w:t>加强投后管理、显现投资效益</w:t>
      </w:r>
    </w:p>
    <w:p w:rsidR="002A3304" w:rsidRPr="00980BC4" w:rsidRDefault="002A3304" w:rsidP="00E001AA">
      <w:pPr>
        <w:pStyle w:val="a3"/>
        <w:spacing w:before="0" w:beforeAutospacing="0" w:after="0" w:afterAutospacing="0" w:line="560" w:lineRule="exact"/>
        <w:ind w:firstLine="560"/>
        <w:jc w:val="both"/>
        <w:divId w:val="581108184"/>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公司通过加强投后管理，积极履行股东权责，发挥产业链协同作用，促进参股企业良性发展，助推参股企业内在价值的提升。报告期内，公司</w:t>
      </w:r>
      <w:r w:rsidR="00A25E43" w:rsidRPr="00980BC4">
        <w:rPr>
          <w:rFonts w:ascii="仿宋" w:eastAsia="仿宋" w:hAnsi="仿宋" w:hint="eastAsia"/>
          <w:color w:val="000000" w:themeColor="text1"/>
          <w:sz w:val="28"/>
          <w:szCs w:val="28"/>
        </w:rPr>
        <w:t>持股19.10%的锴威特半导体于2022年12月6日首次公开发行股票并在科创板上市的申请获上海证券交易所审核通过，上市后有望给公司带来较好的投资收益；</w:t>
      </w:r>
      <w:r w:rsidRPr="00980BC4">
        <w:rPr>
          <w:rFonts w:ascii="仿宋" w:eastAsia="仿宋" w:hAnsi="仿宋" w:hint="eastAsia"/>
          <w:color w:val="000000" w:themeColor="text1"/>
          <w:sz w:val="28"/>
          <w:szCs w:val="28"/>
        </w:rPr>
        <w:t>持股11.76%的深圳陆巡科技有限公司深耕新能源汽车车载电源和特种电源业务，</w:t>
      </w:r>
      <w:r w:rsidR="00A25E43" w:rsidRPr="00980BC4">
        <w:rPr>
          <w:rFonts w:ascii="仿宋" w:eastAsia="仿宋" w:hAnsi="仿宋" w:hint="eastAsia"/>
          <w:color w:val="000000" w:themeColor="text1"/>
          <w:sz w:val="28"/>
          <w:szCs w:val="28"/>
        </w:rPr>
        <w:t>营业收入及利润均取得较快增长。</w:t>
      </w:r>
      <w:r w:rsidR="00A25E43" w:rsidRPr="00980BC4">
        <w:rPr>
          <w:rFonts w:ascii="仿宋" w:eastAsia="仿宋" w:hAnsi="仿宋"/>
          <w:color w:val="000000" w:themeColor="text1"/>
          <w:sz w:val="28"/>
          <w:szCs w:val="28"/>
        </w:rPr>
        <w:t xml:space="preserve"> </w:t>
      </w:r>
    </w:p>
    <w:p w:rsidR="002A3304" w:rsidRPr="00980BC4" w:rsidRDefault="00A2302D" w:rsidP="00E001AA">
      <w:pPr>
        <w:pStyle w:val="a3"/>
        <w:spacing w:before="0" w:beforeAutospacing="0" w:after="0" w:afterAutospacing="0" w:line="560" w:lineRule="exact"/>
        <w:ind w:firstLine="562"/>
        <w:jc w:val="both"/>
        <w:divId w:val="581108184"/>
        <w:rPr>
          <w:color w:val="000000" w:themeColor="text1"/>
        </w:rPr>
      </w:pPr>
      <w:r w:rsidRPr="00980BC4">
        <w:rPr>
          <w:rStyle w:val="a4"/>
          <w:rFonts w:ascii="仿宋" w:eastAsia="仿宋" w:hAnsi="仿宋" w:hint="eastAsia"/>
          <w:color w:val="000000" w:themeColor="text1"/>
          <w:sz w:val="28"/>
          <w:szCs w:val="28"/>
        </w:rPr>
        <w:t>④</w:t>
      </w:r>
      <w:r w:rsidR="002A3304" w:rsidRPr="00980BC4">
        <w:rPr>
          <w:rStyle w:val="a4"/>
          <w:rFonts w:ascii="仿宋" w:eastAsia="仿宋" w:hAnsi="仿宋" w:hint="eastAsia"/>
          <w:color w:val="000000" w:themeColor="text1"/>
          <w:sz w:val="28"/>
          <w:szCs w:val="28"/>
        </w:rPr>
        <w:t>实施激励计划、助推持续发展</w:t>
      </w:r>
    </w:p>
    <w:p w:rsidR="002A3304" w:rsidRPr="00980BC4" w:rsidRDefault="002A3304" w:rsidP="00E001AA">
      <w:pPr>
        <w:pStyle w:val="a3"/>
        <w:spacing w:before="0" w:beforeAutospacing="0" w:after="0" w:afterAutospacing="0" w:line="560" w:lineRule="exact"/>
        <w:ind w:firstLine="549"/>
        <w:jc w:val="both"/>
        <w:divId w:val="581108184"/>
        <w:rPr>
          <w:color w:val="000000" w:themeColor="text1"/>
        </w:rPr>
      </w:pPr>
      <w:r w:rsidRPr="00980BC4">
        <w:rPr>
          <w:rFonts w:ascii="仿宋" w:eastAsia="仿宋" w:hAnsi="仿宋" w:hint="eastAsia"/>
          <w:color w:val="000000" w:themeColor="text1"/>
          <w:sz w:val="28"/>
          <w:szCs w:val="28"/>
        </w:rPr>
        <w:t>报告期内，公司将2021年限制性股票激励计划中预留的45.9013万股授予给22位激励对象；还组织对2021年限制性股票激励计划限制性股票第一个限售期的相关业绩完成情况进行了考核，对达到考核要求的117.438万股限制性股票申请解除了限售；上述股权激励措施的有序推进，有利于调动激励对象的积极性和创造性，使公司管理团队和核心骨干员工与股东利益、公司利益更紧密地结合在一起，共同推动公司持续、健康发展。</w:t>
      </w:r>
    </w:p>
    <w:p w:rsidR="002A3304" w:rsidRPr="00980BC4" w:rsidRDefault="00A2302D" w:rsidP="00850BB5">
      <w:pPr>
        <w:pStyle w:val="a3"/>
        <w:spacing w:before="0" w:beforeAutospacing="0" w:after="0" w:afterAutospacing="0" w:line="560" w:lineRule="exact"/>
        <w:ind w:firstLine="551"/>
        <w:jc w:val="both"/>
        <w:divId w:val="581108184"/>
        <w:rPr>
          <w:rStyle w:val="a4"/>
          <w:rFonts w:ascii="仿宋" w:eastAsia="仿宋" w:hAnsi="仿宋"/>
          <w:color w:val="000000" w:themeColor="text1"/>
          <w:sz w:val="28"/>
          <w:szCs w:val="28"/>
        </w:rPr>
      </w:pPr>
      <w:r w:rsidRPr="00980BC4">
        <w:rPr>
          <w:rStyle w:val="a4"/>
          <w:rFonts w:ascii="仿宋" w:eastAsia="仿宋" w:hAnsi="仿宋" w:hint="eastAsia"/>
          <w:color w:val="000000" w:themeColor="text1"/>
          <w:sz w:val="28"/>
          <w:szCs w:val="28"/>
        </w:rPr>
        <w:t>⑤</w:t>
      </w:r>
      <w:r w:rsidR="002A3304" w:rsidRPr="00980BC4">
        <w:rPr>
          <w:rStyle w:val="a4"/>
          <w:rFonts w:ascii="仿宋" w:eastAsia="仿宋" w:hAnsi="仿宋" w:hint="eastAsia"/>
          <w:color w:val="000000" w:themeColor="text1"/>
          <w:sz w:val="28"/>
          <w:szCs w:val="28"/>
        </w:rPr>
        <w:t>注重技术研发、增强竞争能力</w:t>
      </w:r>
    </w:p>
    <w:p w:rsidR="00237ACA" w:rsidRPr="00980BC4" w:rsidRDefault="002A3304" w:rsidP="00753A2E">
      <w:pPr>
        <w:pStyle w:val="a3"/>
        <w:spacing w:before="0" w:beforeAutospacing="0" w:after="0" w:afterAutospacing="0" w:line="560" w:lineRule="exact"/>
        <w:ind w:firstLine="560"/>
        <w:jc w:val="both"/>
        <w:divId w:val="581108184"/>
        <w:rPr>
          <w:color w:val="000000" w:themeColor="text1"/>
        </w:rPr>
      </w:pPr>
      <w:r w:rsidRPr="00980BC4">
        <w:rPr>
          <w:rFonts w:ascii="仿宋" w:eastAsia="仿宋" w:hAnsi="仿宋" w:hint="eastAsia"/>
          <w:color w:val="000000" w:themeColor="text1"/>
          <w:sz w:val="28"/>
          <w:szCs w:val="28"/>
        </w:rPr>
        <w:t>科学技术是第一生产力，公司一贯重视技术研发，紧贴市场需求和技术发展趋势进行前瞻式投入，2022年度</w:t>
      </w:r>
      <w:r w:rsidR="00237ACA" w:rsidRPr="00980BC4">
        <w:rPr>
          <w:rFonts w:ascii="仿宋" w:eastAsia="仿宋" w:hAnsi="仿宋" w:hint="eastAsia"/>
          <w:color w:val="000000" w:themeColor="text1"/>
          <w:sz w:val="28"/>
          <w:szCs w:val="28"/>
        </w:rPr>
        <w:t>研发投入7,284.01万元，同比增长43.83%</w:t>
      </w:r>
      <w:r w:rsidR="00431981" w:rsidRPr="00980BC4">
        <w:rPr>
          <w:rFonts w:ascii="仿宋" w:eastAsia="仿宋" w:hAnsi="仿宋" w:hint="eastAsia"/>
          <w:color w:val="000000" w:themeColor="text1"/>
          <w:sz w:val="28"/>
          <w:szCs w:val="28"/>
        </w:rPr>
        <w:t>，研发投入占</w:t>
      </w:r>
      <w:r w:rsidR="00880C64" w:rsidRPr="00980BC4">
        <w:rPr>
          <w:rFonts w:ascii="仿宋" w:eastAsia="仿宋" w:hAnsi="仿宋" w:hint="eastAsia"/>
          <w:color w:val="000000" w:themeColor="text1"/>
          <w:sz w:val="28"/>
          <w:szCs w:val="28"/>
        </w:rPr>
        <w:t>营业收入</w:t>
      </w:r>
      <w:r w:rsidR="00431981" w:rsidRPr="00980BC4">
        <w:rPr>
          <w:rFonts w:ascii="仿宋" w:eastAsia="仿宋" w:hAnsi="仿宋" w:hint="eastAsia"/>
          <w:color w:val="000000" w:themeColor="text1"/>
          <w:sz w:val="28"/>
          <w:szCs w:val="28"/>
        </w:rPr>
        <w:t>的比重为16.30%，同比增长6.92%</w:t>
      </w:r>
      <w:r w:rsidR="00753A2E" w:rsidRPr="00980BC4">
        <w:rPr>
          <w:rFonts w:ascii="仿宋" w:eastAsia="仿宋" w:hAnsi="仿宋" w:hint="eastAsia"/>
          <w:color w:val="000000" w:themeColor="text1"/>
          <w:sz w:val="28"/>
          <w:szCs w:val="28"/>
        </w:rPr>
        <w:t>；</w:t>
      </w:r>
      <w:r w:rsidR="00431981" w:rsidRPr="00980BC4">
        <w:rPr>
          <w:rFonts w:ascii="仿宋" w:eastAsia="仿宋" w:hAnsi="仿宋" w:hint="eastAsia"/>
          <w:color w:val="000000" w:themeColor="text1"/>
          <w:sz w:val="28"/>
          <w:szCs w:val="28"/>
        </w:rPr>
        <w:t>还</w:t>
      </w:r>
      <w:r w:rsidRPr="00980BC4">
        <w:rPr>
          <w:rFonts w:ascii="仿宋" w:eastAsia="仿宋" w:hAnsi="仿宋" w:hint="eastAsia"/>
          <w:color w:val="000000" w:themeColor="text1"/>
          <w:sz w:val="28"/>
          <w:szCs w:val="28"/>
        </w:rPr>
        <w:t>持续引进了40多名中高端技术人才，提交了多项专利和软件著作申请</w:t>
      </w:r>
      <w:r w:rsidR="00753A2E" w:rsidRPr="00980BC4">
        <w:rPr>
          <w:rFonts w:ascii="仿宋" w:eastAsia="仿宋" w:hAnsi="仿宋" w:hint="eastAsia"/>
          <w:color w:val="000000" w:themeColor="text1"/>
          <w:sz w:val="28"/>
          <w:szCs w:val="28"/>
        </w:rPr>
        <w:t>；</w:t>
      </w:r>
      <w:r w:rsidRPr="00980BC4">
        <w:rPr>
          <w:rFonts w:ascii="仿宋" w:eastAsia="仿宋" w:hAnsi="仿宋" w:hint="eastAsia"/>
          <w:color w:val="000000" w:themeColor="text1"/>
          <w:sz w:val="28"/>
          <w:szCs w:val="28"/>
        </w:rPr>
        <w:t>通过不断</w:t>
      </w:r>
      <w:r w:rsidR="00753A2E" w:rsidRPr="00980BC4">
        <w:rPr>
          <w:rFonts w:ascii="仿宋" w:eastAsia="仿宋" w:hAnsi="仿宋" w:hint="eastAsia"/>
          <w:color w:val="000000" w:themeColor="text1"/>
          <w:sz w:val="28"/>
          <w:szCs w:val="28"/>
        </w:rPr>
        <w:t>加大投入，</w:t>
      </w:r>
      <w:r w:rsidRPr="00980BC4">
        <w:rPr>
          <w:rFonts w:ascii="仿宋" w:eastAsia="仿宋" w:hAnsi="仿宋" w:hint="eastAsia"/>
          <w:color w:val="000000" w:themeColor="text1"/>
          <w:sz w:val="28"/>
          <w:szCs w:val="28"/>
        </w:rPr>
        <w:t>提升研发水平，增强了公司产品的竞争能力。</w:t>
      </w:r>
    </w:p>
    <w:p w:rsidR="002A3304" w:rsidRPr="00980BC4" w:rsidRDefault="00A2302D" w:rsidP="00E001AA">
      <w:pPr>
        <w:pStyle w:val="a3"/>
        <w:spacing w:before="0" w:beforeAutospacing="0" w:after="0" w:afterAutospacing="0" w:line="560" w:lineRule="exact"/>
        <w:ind w:firstLine="551"/>
        <w:jc w:val="both"/>
        <w:divId w:val="581108184"/>
        <w:rPr>
          <w:color w:val="000000" w:themeColor="text1"/>
        </w:rPr>
      </w:pPr>
      <w:r w:rsidRPr="00980BC4">
        <w:rPr>
          <w:rStyle w:val="a4"/>
          <w:rFonts w:ascii="仿宋" w:eastAsia="仿宋" w:hAnsi="仿宋" w:hint="eastAsia"/>
          <w:color w:val="000000" w:themeColor="text1"/>
          <w:sz w:val="28"/>
          <w:szCs w:val="28"/>
        </w:rPr>
        <w:lastRenderedPageBreak/>
        <w:t>⑥</w:t>
      </w:r>
      <w:r w:rsidR="002A3304" w:rsidRPr="00980BC4">
        <w:rPr>
          <w:rStyle w:val="a4"/>
          <w:rFonts w:ascii="仿宋" w:eastAsia="仿宋" w:hAnsi="仿宋" w:hint="eastAsia"/>
          <w:color w:val="000000" w:themeColor="text1"/>
          <w:sz w:val="28"/>
          <w:szCs w:val="28"/>
        </w:rPr>
        <w:t>规范制度体系、提升管理实效</w:t>
      </w:r>
    </w:p>
    <w:p w:rsidR="002A3304" w:rsidRPr="00980BC4" w:rsidRDefault="002A3304" w:rsidP="00E001AA">
      <w:pPr>
        <w:pStyle w:val="a3"/>
        <w:spacing w:before="0" w:beforeAutospacing="0" w:after="0" w:afterAutospacing="0" w:line="560" w:lineRule="exact"/>
        <w:ind w:firstLine="549"/>
        <w:jc w:val="both"/>
        <w:divId w:val="581108184"/>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为统一管理语言，进一步提升管理实效，强化协同效应，报告期内，公司根据国家有关法律法规，结合自身业务开展情况及应用需求，全面开展了公司及子公司的制度梳理、优化工作，努力构建规范、统一、高效的制度体系</w:t>
      </w:r>
      <w:r w:rsidR="00850BB5" w:rsidRPr="00980BC4">
        <w:rPr>
          <w:rFonts w:ascii="仿宋" w:eastAsia="仿宋" w:hAnsi="仿宋" w:hint="eastAsia"/>
          <w:color w:val="000000" w:themeColor="text1"/>
          <w:sz w:val="28"/>
          <w:szCs w:val="28"/>
        </w:rPr>
        <w:t>，设立资金中心、强化收支管控。</w:t>
      </w:r>
    </w:p>
    <w:p w:rsidR="002A3304" w:rsidRPr="00980BC4" w:rsidRDefault="00DF4EBF" w:rsidP="00850BB5">
      <w:pPr>
        <w:pStyle w:val="a3"/>
        <w:spacing w:before="0" w:beforeAutospacing="0" w:after="0" w:afterAutospacing="0" w:line="560" w:lineRule="exact"/>
        <w:ind w:firstLine="549"/>
        <w:jc w:val="both"/>
        <w:rPr>
          <w:rStyle w:val="a4"/>
          <w:rFonts w:ascii="仿宋" w:eastAsia="仿宋" w:hAnsi="仿宋"/>
          <w:sz w:val="28"/>
          <w:szCs w:val="28"/>
        </w:rPr>
      </w:pPr>
      <w:bookmarkStart w:id="19" w:name="_Toc988908"/>
      <w:r w:rsidRPr="00980BC4">
        <w:rPr>
          <w:rStyle w:val="a4"/>
          <w:rFonts w:ascii="仿宋" w:eastAsia="仿宋" w:hAnsi="仿宋"/>
          <w:sz w:val="28"/>
          <w:szCs w:val="28"/>
        </w:rPr>
        <w:t>2、收入与成本</w:t>
      </w:r>
      <w:bookmarkEnd w:id="19"/>
    </w:p>
    <w:p w:rsidR="002A3304" w:rsidRPr="00980BC4" w:rsidRDefault="00DF4EBF" w:rsidP="00E001AA">
      <w:pPr>
        <w:pStyle w:val="a3"/>
        <w:spacing w:before="0" w:beforeAutospacing="0" w:after="0" w:afterAutospacing="0" w:line="560" w:lineRule="exact"/>
        <w:ind w:firstLine="560"/>
        <w:jc w:val="both"/>
        <w:rPr>
          <w:rStyle w:val="a4"/>
          <w:rFonts w:ascii="仿宋" w:eastAsia="仿宋" w:hAnsi="仿宋"/>
          <w:bCs w:val="0"/>
          <w:sz w:val="28"/>
          <w:szCs w:val="28"/>
        </w:rPr>
      </w:pPr>
      <w:bookmarkStart w:id="20" w:name="_Toc988909"/>
      <w:r w:rsidRPr="00980BC4">
        <w:rPr>
          <w:rStyle w:val="a4"/>
          <w:rFonts w:ascii="仿宋" w:eastAsia="仿宋" w:hAnsi="仿宋"/>
          <w:bCs w:val="0"/>
          <w:sz w:val="28"/>
          <w:szCs w:val="28"/>
        </w:rPr>
        <w:t>（1） 营业收入构成</w:t>
      </w:r>
      <w:bookmarkEnd w:id="20"/>
    </w:p>
    <w:p w:rsidR="002A3304" w:rsidRPr="00980BC4" w:rsidRDefault="00DF4EBF">
      <w:pPr>
        <w:spacing w:before="40" w:after="4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6"/>
        <w:gridCol w:w="1606"/>
        <w:gridCol w:w="1607"/>
        <w:gridCol w:w="1606"/>
        <w:gridCol w:w="1607"/>
        <w:gridCol w:w="1607"/>
      </w:tblGrid>
      <w:tr w:rsidR="002A3304" w:rsidRPr="00980BC4" w:rsidTr="009F33B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E001AA">
            <w:pPr>
              <w:spacing w:line="280" w:lineRule="exact"/>
            </w:pP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2021年</w:t>
            </w:r>
          </w:p>
        </w:tc>
        <w:tc>
          <w:tcPr>
            <w:tcW w:w="160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同比增减</w:t>
            </w:r>
          </w:p>
        </w:tc>
      </w:tr>
      <w:tr w:rsidR="002A3304" w:rsidRPr="00980BC4" w:rsidTr="009F33B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E001AA">
            <w:pPr>
              <w:spacing w:line="280" w:lineRule="exact"/>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占营业收入比重</w:t>
            </w:r>
          </w:p>
        </w:tc>
        <w:tc>
          <w:tcPr>
            <w:tcW w:w="160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E001AA">
            <w:pPr>
              <w:spacing w:line="280" w:lineRule="exact"/>
            </w:pPr>
          </w:p>
        </w:tc>
      </w:tr>
      <w:tr w:rsidR="002A3304" w:rsidRPr="00980BC4" w:rsidTr="009F33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445,381,991.65</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right"/>
              <w:rPr>
                <w:rFonts w:ascii="宋体" w:eastAsia="宋体" w:hAnsi="宋体" w:cs="宋体"/>
                <w:sz w:val="18"/>
                <w:szCs w:val="18"/>
                <w:shd w:val="clear" w:color="auto" w:fill="D3D3D3"/>
              </w:rPr>
            </w:pPr>
            <w:r w:rsidRPr="00980BC4">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539,626,377.05</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right"/>
              <w:rPr>
                <w:rFonts w:ascii="宋体" w:eastAsia="宋体" w:hAnsi="宋体" w:cs="宋体"/>
                <w:sz w:val="18"/>
                <w:szCs w:val="18"/>
                <w:shd w:val="clear" w:color="auto" w:fill="D3D3D3"/>
              </w:rPr>
            </w:pPr>
            <w:r w:rsidRPr="00980BC4">
              <w:rPr>
                <w:rFonts w:ascii="宋体" w:eastAsia="宋体" w:hAnsi="宋体" w:cs="宋体"/>
                <w:sz w:val="18"/>
                <w:szCs w:val="18"/>
                <w:shd w:val="clear" w:color="auto" w:fill="D3D3D3"/>
              </w:rPr>
              <w:t>100%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-17.46%</w:t>
            </w:r>
          </w:p>
        </w:tc>
      </w:tr>
      <w:tr w:rsidR="002A3304" w:rsidRPr="00980BC4">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分行业</w:t>
            </w:r>
          </w:p>
        </w:tc>
      </w:tr>
      <w:tr w:rsidR="002A3304" w:rsidRPr="00980BC4" w:rsidTr="009F33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制造业</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409,687,230.95</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91.99%</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316,680,293.99</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58.69%</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29.37%</w:t>
            </w:r>
          </w:p>
        </w:tc>
      </w:tr>
      <w:tr w:rsidR="009F33B7" w:rsidRPr="00980BC4" w:rsidTr="009F33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E001AA">
            <w:pPr>
              <w:spacing w:line="280" w:lineRule="exact"/>
              <w:rPr>
                <w:rFonts w:ascii="宋体" w:eastAsia="宋体" w:hAnsi="宋体" w:cs="宋体"/>
                <w:sz w:val="18"/>
                <w:szCs w:val="18"/>
              </w:rPr>
            </w:pPr>
            <w:r w:rsidRPr="00980BC4">
              <w:rPr>
                <w:rFonts w:ascii="宋体" w:eastAsia="宋体" w:hAnsi="宋体" w:cs="宋体"/>
                <w:sz w:val="18"/>
                <w:szCs w:val="18"/>
              </w:rPr>
              <w:t>贸易</w:t>
            </w:r>
          </w:p>
        </w:tc>
        <w:tc>
          <w:tcPr>
            <w:tcW w:w="1606"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27,632,780.43</w:t>
            </w:r>
          </w:p>
        </w:tc>
        <w:tc>
          <w:tcPr>
            <w:tcW w:w="1607"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6.20%</w:t>
            </w:r>
          </w:p>
        </w:tc>
        <w:tc>
          <w:tcPr>
            <w:tcW w:w="1606"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215,628,549.96</w:t>
            </w:r>
          </w:p>
        </w:tc>
        <w:tc>
          <w:tcPr>
            <w:tcW w:w="1607"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39.96%</w:t>
            </w:r>
          </w:p>
        </w:tc>
        <w:tc>
          <w:tcPr>
            <w:tcW w:w="1607"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B95780">
            <w:pPr>
              <w:spacing w:line="280" w:lineRule="exact"/>
              <w:jc w:val="right"/>
              <w:rPr>
                <w:rFonts w:ascii="宋体" w:eastAsia="宋体" w:hAnsi="宋体" w:cs="宋体"/>
                <w:sz w:val="18"/>
                <w:szCs w:val="18"/>
              </w:rPr>
            </w:pPr>
            <w:r w:rsidRPr="00980BC4">
              <w:rPr>
                <w:rFonts w:ascii="宋体" w:eastAsia="宋体" w:hAnsi="宋体" w:cs="宋体"/>
                <w:sz w:val="18"/>
                <w:szCs w:val="18"/>
              </w:rPr>
              <w:t>-87.1</w:t>
            </w:r>
            <w:r>
              <w:rPr>
                <w:rFonts w:ascii="宋体" w:eastAsia="宋体" w:hAnsi="宋体" w:cs="宋体"/>
                <w:sz w:val="18"/>
                <w:szCs w:val="18"/>
              </w:rPr>
              <w:t>9</w:t>
            </w:r>
            <w:r w:rsidRPr="00980BC4">
              <w:rPr>
                <w:rFonts w:ascii="宋体" w:eastAsia="宋体" w:hAnsi="宋体" w:cs="宋体"/>
                <w:sz w:val="18"/>
                <w:szCs w:val="18"/>
              </w:rPr>
              <w:t>%</w:t>
            </w:r>
          </w:p>
        </w:tc>
      </w:tr>
      <w:tr w:rsidR="009F33B7" w:rsidRPr="00980BC4" w:rsidTr="009F33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E001AA">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8,061,980.27</w:t>
            </w:r>
          </w:p>
        </w:tc>
        <w:tc>
          <w:tcPr>
            <w:tcW w:w="1607"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1.81%</w:t>
            </w:r>
          </w:p>
        </w:tc>
        <w:tc>
          <w:tcPr>
            <w:tcW w:w="1606"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7,317,533.10</w:t>
            </w:r>
          </w:p>
        </w:tc>
        <w:tc>
          <w:tcPr>
            <w:tcW w:w="1607"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1.36%</w:t>
            </w:r>
          </w:p>
        </w:tc>
        <w:tc>
          <w:tcPr>
            <w:tcW w:w="1607" w:type="dxa"/>
            <w:tcBorders>
              <w:top w:val="single" w:sz="2" w:space="0" w:color="auto"/>
              <w:left w:val="single" w:sz="2" w:space="0" w:color="auto"/>
              <w:bottom w:val="single" w:sz="2" w:space="0" w:color="auto"/>
              <w:right w:val="single" w:sz="2" w:space="0" w:color="auto"/>
            </w:tcBorders>
            <w:vAlign w:val="center"/>
          </w:tcPr>
          <w:p w:rsidR="009F33B7" w:rsidRPr="00980BC4" w:rsidRDefault="009F33B7" w:rsidP="00B95780">
            <w:pPr>
              <w:spacing w:line="280" w:lineRule="exact"/>
              <w:jc w:val="right"/>
              <w:rPr>
                <w:rFonts w:ascii="宋体" w:eastAsia="宋体" w:hAnsi="宋体" w:cs="宋体"/>
                <w:sz w:val="18"/>
                <w:szCs w:val="18"/>
              </w:rPr>
            </w:pPr>
            <w:r>
              <w:rPr>
                <w:rFonts w:ascii="宋体" w:eastAsia="宋体" w:hAnsi="宋体" w:cs="宋体"/>
                <w:sz w:val="18"/>
                <w:szCs w:val="18"/>
              </w:rPr>
              <w:t>10.17</w:t>
            </w:r>
            <w:r w:rsidRPr="00980BC4">
              <w:rPr>
                <w:rFonts w:ascii="宋体" w:eastAsia="宋体" w:hAnsi="宋体" w:cs="宋体"/>
                <w:sz w:val="18"/>
                <w:szCs w:val="18"/>
              </w:rPr>
              <w:t>%</w:t>
            </w:r>
          </w:p>
        </w:tc>
      </w:tr>
      <w:tr w:rsidR="002A3304" w:rsidRPr="00980BC4">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分产品</w:t>
            </w:r>
          </w:p>
        </w:tc>
      </w:tr>
      <w:tr w:rsidR="002A3304" w:rsidRPr="00980BC4" w:rsidTr="009F33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制糖产品</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27,632,780.43</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6.20%</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215,628,549.96</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39.96%</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-87.19%</w:t>
            </w:r>
          </w:p>
        </w:tc>
      </w:tr>
      <w:tr w:rsidR="002A3304" w:rsidRPr="00980BC4" w:rsidTr="009F33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C4565D" w:rsidP="00E001AA">
            <w:pPr>
              <w:spacing w:line="280" w:lineRule="exact"/>
              <w:rPr>
                <w:rFonts w:ascii="宋体" w:eastAsia="宋体" w:hAnsi="宋体" w:cs="宋体"/>
                <w:sz w:val="18"/>
                <w:szCs w:val="18"/>
              </w:rPr>
            </w:pPr>
            <w:r w:rsidRPr="00980BC4">
              <w:rPr>
                <w:rFonts w:ascii="宋体" w:eastAsia="宋体" w:hAnsi="宋体" w:cs="宋体" w:hint="eastAsia"/>
                <w:sz w:val="18"/>
                <w:szCs w:val="18"/>
              </w:rPr>
              <w:t>高性能</w:t>
            </w:r>
            <w:r w:rsidRPr="00980BC4">
              <w:rPr>
                <w:rFonts w:ascii="宋体" w:eastAsia="宋体" w:hAnsi="宋体" w:cs="宋体"/>
                <w:sz w:val="18"/>
                <w:szCs w:val="18"/>
              </w:rPr>
              <w:t>特种合金</w:t>
            </w:r>
            <w:r w:rsidRPr="00980BC4">
              <w:rPr>
                <w:rFonts w:ascii="宋体" w:eastAsia="宋体" w:hAnsi="宋体" w:cs="宋体" w:hint="eastAsia"/>
                <w:sz w:val="18"/>
                <w:szCs w:val="18"/>
              </w:rPr>
              <w:t>材料</w:t>
            </w:r>
            <w:r w:rsidRPr="00980BC4">
              <w:rPr>
                <w:rFonts w:ascii="宋体" w:eastAsia="宋体" w:hAnsi="宋体" w:cs="宋体"/>
                <w:sz w:val="18"/>
                <w:szCs w:val="18"/>
              </w:rPr>
              <w:t>制品</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133,762,420.63</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30.03%</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125,334,028.90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23.23%</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6.72%</w:t>
            </w:r>
          </w:p>
        </w:tc>
      </w:tr>
      <w:tr w:rsidR="002A3304" w:rsidRPr="00980BC4" w:rsidTr="009F33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电源及相关产品</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275,924,810.32</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435BBB">
            <w:pPr>
              <w:spacing w:line="280" w:lineRule="exact"/>
              <w:jc w:val="right"/>
              <w:rPr>
                <w:rFonts w:ascii="宋体" w:eastAsia="宋体" w:hAnsi="宋体" w:cs="宋体"/>
                <w:sz w:val="18"/>
                <w:szCs w:val="18"/>
              </w:rPr>
            </w:pPr>
            <w:r w:rsidRPr="00980BC4">
              <w:rPr>
                <w:rFonts w:ascii="宋体" w:eastAsia="宋体" w:hAnsi="宋体" w:cs="宋体"/>
                <w:sz w:val="18"/>
                <w:szCs w:val="18"/>
              </w:rPr>
              <w:t>61.9</w:t>
            </w:r>
            <w:r w:rsidR="00435BBB">
              <w:rPr>
                <w:rFonts w:ascii="宋体" w:eastAsia="宋体" w:hAnsi="宋体" w:cs="宋体" w:hint="eastAsia"/>
                <w:sz w:val="18"/>
                <w:szCs w:val="18"/>
              </w:rPr>
              <w:t>6</w:t>
            </w:r>
            <w:r w:rsidRPr="00980BC4">
              <w:rPr>
                <w:rFonts w:ascii="宋体" w:eastAsia="宋体" w:hAnsi="宋体" w:cs="宋体"/>
                <w:sz w:val="18"/>
                <w:szCs w:val="18"/>
              </w:rPr>
              <w:t>%</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191,346,265.09</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35.46%</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44.20%</w:t>
            </w:r>
          </w:p>
        </w:tc>
      </w:tr>
      <w:tr w:rsidR="002A3304" w:rsidRPr="00980BC4" w:rsidTr="009F33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8,061,980.27</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1.81%</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7,317,533.10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1.36%</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10.17%</w:t>
            </w:r>
          </w:p>
        </w:tc>
      </w:tr>
      <w:tr w:rsidR="002A3304" w:rsidRPr="00980BC4">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分地区</w:t>
            </w:r>
          </w:p>
        </w:tc>
      </w:tr>
      <w:tr w:rsidR="002A3304" w:rsidRPr="00980BC4" w:rsidTr="009F33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国内</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445,381,991.65</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539,626,377.05</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435BBB" w:rsidP="00E001AA">
            <w:pPr>
              <w:spacing w:line="280" w:lineRule="exact"/>
              <w:jc w:val="right"/>
              <w:rPr>
                <w:rFonts w:ascii="宋体" w:eastAsia="宋体" w:hAnsi="宋体" w:cs="宋体"/>
                <w:sz w:val="18"/>
                <w:szCs w:val="18"/>
              </w:rPr>
            </w:pPr>
            <w:r>
              <w:rPr>
                <w:rFonts w:ascii="宋体" w:eastAsia="宋体" w:hAnsi="宋体" w:cs="宋体" w:hint="eastAsia"/>
                <w:sz w:val="18"/>
                <w:szCs w:val="18"/>
              </w:rPr>
              <w:t>-17.46</w:t>
            </w:r>
            <w:r w:rsidR="00DF4EBF" w:rsidRPr="00980BC4">
              <w:rPr>
                <w:rFonts w:ascii="宋体" w:eastAsia="宋体" w:hAnsi="宋体" w:cs="宋体"/>
                <w:sz w:val="18"/>
                <w:szCs w:val="18"/>
              </w:rPr>
              <w:t>%</w:t>
            </w:r>
          </w:p>
        </w:tc>
      </w:tr>
      <w:tr w:rsidR="002A3304" w:rsidRPr="00980BC4">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分销售模式</w:t>
            </w:r>
          </w:p>
        </w:tc>
      </w:tr>
      <w:tr w:rsidR="002A3304" w:rsidRPr="00980BC4" w:rsidTr="009F33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直销</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445,381,991.65</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539,626,377.05</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435BBB" w:rsidP="00E001AA">
            <w:pPr>
              <w:spacing w:line="280" w:lineRule="exact"/>
              <w:jc w:val="right"/>
              <w:rPr>
                <w:rFonts w:ascii="宋体" w:eastAsia="宋体" w:hAnsi="宋体" w:cs="宋体"/>
                <w:sz w:val="18"/>
                <w:szCs w:val="18"/>
              </w:rPr>
            </w:pPr>
            <w:r>
              <w:rPr>
                <w:rFonts w:ascii="宋体" w:eastAsia="宋体" w:hAnsi="宋体" w:cs="宋体" w:hint="eastAsia"/>
                <w:sz w:val="18"/>
                <w:szCs w:val="18"/>
              </w:rPr>
              <w:t>-17.46</w:t>
            </w:r>
            <w:r w:rsidR="00DF4EBF" w:rsidRPr="00980BC4">
              <w:rPr>
                <w:rFonts w:ascii="宋体" w:eastAsia="宋体" w:hAnsi="宋体" w:cs="宋体"/>
                <w:sz w:val="18"/>
                <w:szCs w:val="18"/>
              </w:rPr>
              <w:t>%</w:t>
            </w:r>
          </w:p>
        </w:tc>
      </w:tr>
    </w:tbl>
    <w:p w:rsidR="002A3304" w:rsidRPr="00980BC4" w:rsidRDefault="00DF4EBF" w:rsidP="00E001AA">
      <w:pPr>
        <w:pStyle w:val="a3"/>
        <w:spacing w:before="0" w:beforeAutospacing="0" w:after="0" w:afterAutospacing="0" w:line="560" w:lineRule="exact"/>
        <w:ind w:firstLine="560"/>
        <w:jc w:val="both"/>
        <w:rPr>
          <w:rStyle w:val="a4"/>
          <w:rFonts w:ascii="仿宋" w:eastAsia="仿宋" w:hAnsi="仿宋"/>
          <w:bCs w:val="0"/>
          <w:sz w:val="28"/>
          <w:szCs w:val="28"/>
        </w:rPr>
      </w:pPr>
      <w:bookmarkStart w:id="21" w:name="_Toc988910"/>
      <w:r w:rsidRPr="00980BC4">
        <w:rPr>
          <w:rStyle w:val="a4"/>
          <w:rFonts w:ascii="仿宋" w:eastAsia="仿宋" w:hAnsi="仿宋"/>
          <w:bCs w:val="0"/>
          <w:sz w:val="28"/>
          <w:szCs w:val="28"/>
        </w:rPr>
        <w:t>（2） 占公司营业收入或营业利润10%以上的行业、产品、地区、销售模式的情况</w:t>
      </w:r>
      <w:bookmarkEnd w:id="21"/>
    </w:p>
    <w:p w:rsidR="002A3304" w:rsidRPr="00980BC4" w:rsidRDefault="00DF4EBF" w:rsidP="00E001AA">
      <w:pPr>
        <w:pStyle w:val="a3"/>
        <w:widowControl w:val="0"/>
        <w:spacing w:before="0" w:beforeAutospacing="0" w:after="0" w:afterAutospacing="0" w:line="560" w:lineRule="exact"/>
        <w:ind w:firstLine="601"/>
        <w:jc w:val="both"/>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适用 </w:t>
      </w:r>
      <w:r w:rsidR="00E001AA" w:rsidRPr="00980BC4">
        <w:rPr>
          <w:rFonts w:ascii="仿宋" w:eastAsia="仿宋" w:hAnsi="仿宋" w:hint="eastAsia"/>
          <w:sz w:val="28"/>
          <w:szCs w:val="28"/>
        </w:rPr>
        <w:t xml:space="preserve"> </w:t>
      </w:r>
      <w:r w:rsidRPr="00980BC4">
        <w:rPr>
          <w:rFonts w:ascii="仿宋" w:eastAsia="仿宋" w:hAnsi="仿宋"/>
          <w:sz w:val="28"/>
          <w:szCs w:val="28"/>
        </w:rPr>
        <w:t>□不适用</w:t>
      </w:r>
    </w:p>
    <w:p w:rsidR="002A3304" w:rsidRPr="00980BC4" w:rsidRDefault="00DF4EBF">
      <w:pPr>
        <w:spacing w:before="40" w:after="4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68"/>
        <w:gridCol w:w="1559"/>
        <w:gridCol w:w="1559"/>
        <w:gridCol w:w="851"/>
        <w:gridCol w:w="1417"/>
        <w:gridCol w:w="1418"/>
        <w:gridCol w:w="1167"/>
      </w:tblGrid>
      <w:tr w:rsidR="002A3304" w:rsidRPr="00980BC4" w:rsidTr="0027289B">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E001AA">
            <w:pPr>
              <w:spacing w:line="280" w:lineRule="exact"/>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营业收入</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营业成本</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毛利率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营业收入比上年同期增减</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营业成本比上年同期增减</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毛利率比上年同期增减</w:t>
            </w:r>
          </w:p>
        </w:tc>
      </w:tr>
      <w:tr w:rsidR="002A3304" w:rsidRPr="00980BC4">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分行业</w:t>
            </w:r>
          </w:p>
        </w:tc>
      </w:tr>
      <w:tr w:rsidR="002A3304" w:rsidRPr="00980BC4" w:rsidTr="0027289B">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制造业</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409,687,230.95</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145,666,877.80</w:t>
            </w:r>
          </w:p>
        </w:tc>
        <w:tc>
          <w:tcPr>
            <w:tcW w:w="8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64.44%</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29.37%</w:t>
            </w:r>
          </w:p>
        </w:tc>
        <w:tc>
          <w:tcPr>
            <w:tcW w:w="14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39.64%</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-2.62%</w:t>
            </w:r>
          </w:p>
        </w:tc>
      </w:tr>
      <w:tr w:rsidR="002A3304" w:rsidRPr="00980BC4">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分产品</w:t>
            </w:r>
          </w:p>
        </w:tc>
      </w:tr>
      <w:tr w:rsidR="002A3304" w:rsidRPr="00980BC4" w:rsidTr="0027289B">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电源及相关产品</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275,924,810.32</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55,965,486.25</w:t>
            </w:r>
          </w:p>
        </w:tc>
        <w:tc>
          <w:tcPr>
            <w:tcW w:w="8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79.72%</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44.20%</w:t>
            </w:r>
          </w:p>
        </w:tc>
        <w:tc>
          <w:tcPr>
            <w:tcW w:w="14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80.31%</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-4.06%</w:t>
            </w:r>
          </w:p>
        </w:tc>
      </w:tr>
      <w:tr w:rsidR="002A3304" w:rsidRPr="00980BC4" w:rsidTr="0027289B">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2A3304" w:rsidRPr="00980BC4" w:rsidRDefault="00313F3A" w:rsidP="00E001AA">
            <w:pPr>
              <w:spacing w:line="280" w:lineRule="exact"/>
              <w:rPr>
                <w:rFonts w:ascii="宋体" w:eastAsia="宋体" w:hAnsi="宋体" w:cs="宋体"/>
                <w:sz w:val="18"/>
                <w:szCs w:val="18"/>
              </w:rPr>
            </w:pPr>
            <w:r w:rsidRPr="00980BC4">
              <w:rPr>
                <w:rFonts w:ascii="宋体" w:eastAsia="宋体" w:hAnsi="宋体" w:cs="宋体" w:hint="eastAsia"/>
                <w:sz w:val="18"/>
                <w:szCs w:val="18"/>
              </w:rPr>
              <w:t>高性能</w:t>
            </w:r>
            <w:r w:rsidRPr="00980BC4">
              <w:rPr>
                <w:rFonts w:ascii="宋体" w:eastAsia="宋体" w:hAnsi="宋体" w:cs="宋体"/>
                <w:sz w:val="18"/>
                <w:szCs w:val="18"/>
              </w:rPr>
              <w:t>特种合金</w:t>
            </w:r>
            <w:r w:rsidRPr="00980BC4">
              <w:rPr>
                <w:rFonts w:ascii="宋体" w:eastAsia="宋体" w:hAnsi="宋体" w:cs="宋体" w:hint="eastAsia"/>
                <w:sz w:val="18"/>
                <w:szCs w:val="18"/>
              </w:rPr>
              <w:t>材</w:t>
            </w:r>
            <w:r w:rsidRPr="00980BC4">
              <w:rPr>
                <w:rFonts w:ascii="宋体" w:eastAsia="宋体" w:hAnsi="宋体" w:cs="宋体" w:hint="eastAsia"/>
                <w:sz w:val="18"/>
                <w:szCs w:val="18"/>
              </w:rPr>
              <w:lastRenderedPageBreak/>
              <w:t>料</w:t>
            </w:r>
            <w:r w:rsidRPr="00980BC4">
              <w:rPr>
                <w:rFonts w:ascii="宋体" w:eastAsia="宋体" w:hAnsi="宋体" w:cs="宋体"/>
                <w:sz w:val="18"/>
                <w:szCs w:val="18"/>
              </w:rPr>
              <w:t>制品</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lastRenderedPageBreak/>
              <w:t>133,762,420.63</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89,701,391.55</w:t>
            </w:r>
          </w:p>
        </w:tc>
        <w:tc>
          <w:tcPr>
            <w:tcW w:w="8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32.94%</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6.72%</w:t>
            </w:r>
          </w:p>
        </w:tc>
        <w:tc>
          <w:tcPr>
            <w:tcW w:w="14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22.41%</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-8.60%</w:t>
            </w:r>
          </w:p>
        </w:tc>
      </w:tr>
      <w:tr w:rsidR="002A3304" w:rsidRPr="00980BC4">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分地区</w:t>
            </w:r>
          </w:p>
        </w:tc>
      </w:tr>
      <w:tr w:rsidR="002A3304" w:rsidRPr="00980BC4" w:rsidTr="0027289B">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国内</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445,381,991.65</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176,597,423.74</w:t>
            </w:r>
          </w:p>
        </w:tc>
        <w:tc>
          <w:tcPr>
            <w:tcW w:w="8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60.35%</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-16.33%</w:t>
            </w:r>
          </w:p>
        </w:tc>
        <w:tc>
          <w:tcPr>
            <w:tcW w:w="14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-44.58%</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20.21%</w:t>
            </w:r>
          </w:p>
        </w:tc>
      </w:tr>
      <w:tr w:rsidR="002A3304" w:rsidRPr="00980BC4">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分销售模式</w:t>
            </w:r>
          </w:p>
        </w:tc>
      </w:tr>
      <w:tr w:rsidR="002A3304" w:rsidRPr="00980BC4" w:rsidTr="0027289B">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直销</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445,381,991.65</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176,597,423.74</w:t>
            </w:r>
          </w:p>
        </w:tc>
        <w:tc>
          <w:tcPr>
            <w:tcW w:w="8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60.35%</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-16.33%</w:t>
            </w:r>
          </w:p>
        </w:tc>
        <w:tc>
          <w:tcPr>
            <w:tcW w:w="14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-44.58%</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20.21%</w:t>
            </w:r>
          </w:p>
        </w:tc>
      </w:tr>
    </w:tbl>
    <w:p w:rsidR="002A3304" w:rsidRPr="00980BC4" w:rsidRDefault="00DF4EBF" w:rsidP="00E001AA">
      <w:pPr>
        <w:pStyle w:val="a3"/>
        <w:spacing w:before="0" w:beforeAutospacing="0" w:after="0" w:afterAutospacing="0" w:line="560" w:lineRule="exact"/>
        <w:ind w:firstLine="560"/>
        <w:jc w:val="both"/>
        <w:rPr>
          <w:rStyle w:val="a4"/>
          <w:rFonts w:ascii="仿宋" w:eastAsia="仿宋" w:hAnsi="仿宋"/>
          <w:sz w:val="28"/>
          <w:szCs w:val="28"/>
        </w:rPr>
      </w:pPr>
      <w:r w:rsidRPr="00980BC4">
        <w:rPr>
          <w:rStyle w:val="a4"/>
          <w:rFonts w:ascii="仿宋" w:eastAsia="仿宋" w:hAnsi="仿宋"/>
          <w:sz w:val="28"/>
          <w:szCs w:val="28"/>
        </w:rPr>
        <w:t>公司主营业务数据统计口径在报告期发生调整的情况下，公司最近1年按报告期末口径调整后的主营业务数据</w:t>
      </w:r>
    </w:p>
    <w:p w:rsidR="002A3304" w:rsidRPr="00980BC4" w:rsidRDefault="00DF4EBF" w:rsidP="00E001AA">
      <w:pPr>
        <w:pStyle w:val="a3"/>
        <w:widowControl w:val="0"/>
        <w:spacing w:before="0" w:beforeAutospacing="0" w:after="0" w:afterAutospacing="0" w:line="560" w:lineRule="exact"/>
        <w:ind w:firstLine="601"/>
        <w:jc w:val="both"/>
        <w:rPr>
          <w:rFonts w:ascii="仿宋" w:eastAsia="仿宋" w:hAnsi="仿宋"/>
          <w:sz w:val="28"/>
          <w:szCs w:val="28"/>
        </w:rPr>
      </w:pPr>
      <w:r w:rsidRPr="00980BC4">
        <w:rPr>
          <w:rFonts w:ascii="仿宋" w:eastAsia="仿宋" w:hAnsi="仿宋"/>
          <w:sz w:val="28"/>
          <w:szCs w:val="28"/>
        </w:rPr>
        <w:t xml:space="preserve">□适用 </w:t>
      </w:r>
      <w:r w:rsidR="00E001AA"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E001AA">
      <w:pPr>
        <w:pStyle w:val="a3"/>
        <w:spacing w:before="0" w:beforeAutospacing="0" w:after="0" w:afterAutospacing="0" w:line="560" w:lineRule="exact"/>
        <w:ind w:firstLine="560"/>
        <w:jc w:val="both"/>
        <w:rPr>
          <w:rStyle w:val="a4"/>
          <w:rFonts w:ascii="仿宋" w:eastAsia="仿宋" w:hAnsi="仿宋"/>
          <w:sz w:val="28"/>
          <w:szCs w:val="28"/>
        </w:rPr>
      </w:pPr>
      <w:bookmarkStart w:id="22" w:name="_Toc988911"/>
      <w:r w:rsidRPr="00980BC4">
        <w:rPr>
          <w:rStyle w:val="a4"/>
          <w:rFonts w:ascii="仿宋" w:eastAsia="仿宋" w:hAnsi="仿宋"/>
          <w:sz w:val="28"/>
          <w:szCs w:val="28"/>
        </w:rPr>
        <w:t>（3） 公司实物销售收入是否大于劳务收入</w:t>
      </w:r>
      <w:bookmarkEnd w:id="22"/>
    </w:p>
    <w:p w:rsidR="002A3304" w:rsidRPr="00980BC4" w:rsidRDefault="00DF4EBF" w:rsidP="00E001AA">
      <w:pPr>
        <w:pStyle w:val="a3"/>
        <w:widowControl w:val="0"/>
        <w:spacing w:before="0" w:beforeAutospacing="0" w:after="0" w:afterAutospacing="0" w:line="560" w:lineRule="exact"/>
        <w:ind w:firstLine="601"/>
        <w:jc w:val="both"/>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是</w:t>
      </w:r>
      <w:r w:rsidR="00E001AA" w:rsidRPr="00980BC4">
        <w:rPr>
          <w:rFonts w:ascii="仿宋" w:eastAsia="仿宋" w:hAnsi="仿宋" w:hint="eastAsia"/>
          <w:sz w:val="28"/>
          <w:szCs w:val="28"/>
        </w:rPr>
        <w:t xml:space="preserve"> </w:t>
      </w:r>
      <w:r w:rsidRPr="00980BC4">
        <w:rPr>
          <w:rFonts w:ascii="仿宋" w:eastAsia="仿宋" w:hAnsi="仿宋"/>
          <w:sz w:val="28"/>
          <w:szCs w:val="28"/>
        </w:rPr>
        <w:t xml:space="preserve"> □否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6"/>
        <w:gridCol w:w="1606"/>
        <w:gridCol w:w="1606"/>
        <w:gridCol w:w="1607"/>
        <w:gridCol w:w="1607"/>
        <w:gridCol w:w="1607"/>
      </w:tblGrid>
      <w:tr w:rsidR="002A3304" w:rsidRPr="00980BC4" w:rsidTr="00571D5D">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行业分类</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单位</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2021年</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同比增减</w:t>
            </w:r>
          </w:p>
        </w:tc>
      </w:tr>
      <w:tr w:rsidR="002A3304" w:rsidRPr="00980BC4" w:rsidTr="00571D5D">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制糖产品</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销售量</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吨</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2,161.00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50,978.00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-95.76%</w:t>
            </w:r>
          </w:p>
        </w:tc>
      </w:tr>
      <w:tr w:rsidR="002A3304" w:rsidRPr="00980BC4" w:rsidTr="00571D5D">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2A3304" w:rsidRPr="00980BC4" w:rsidRDefault="002A3304" w:rsidP="00E001AA">
            <w:pPr>
              <w:spacing w:line="28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生产量</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吨</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2A3304" w:rsidRPr="00980BC4" w:rsidTr="00571D5D">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2A3304" w:rsidRPr="00980BC4" w:rsidRDefault="002A3304" w:rsidP="00E001AA">
            <w:pPr>
              <w:spacing w:line="28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库存量</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吨</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2A3304" w:rsidRPr="00980BC4" w:rsidTr="00571D5D">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电源及相关产品</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销售量</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元</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275,924,810.32</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191,346,265.09</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44.20%</w:t>
            </w:r>
          </w:p>
        </w:tc>
      </w:tr>
      <w:tr w:rsidR="002A3304" w:rsidRPr="00980BC4" w:rsidTr="00571D5D">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2A3304" w:rsidRPr="00980BC4" w:rsidRDefault="002A3304" w:rsidP="00E001AA">
            <w:pPr>
              <w:spacing w:line="28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生产量</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元</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8A2428" w:rsidP="00E001AA">
            <w:pPr>
              <w:spacing w:line="280" w:lineRule="exact"/>
              <w:jc w:val="right"/>
              <w:rPr>
                <w:rFonts w:ascii="宋体" w:eastAsia="宋体" w:hAnsi="宋体" w:cs="宋体"/>
                <w:sz w:val="18"/>
                <w:szCs w:val="18"/>
              </w:rPr>
            </w:pPr>
            <w:r w:rsidRPr="00980BC4">
              <w:rPr>
                <w:rFonts w:ascii="宋体" w:eastAsia="宋体" w:hAnsi="宋体" w:cs="宋体" w:hint="eastAsia"/>
                <w:sz w:val="18"/>
                <w:szCs w:val="18"/>
              </w:rPr>
              <w:t>58</w:t>
            </w:r>
            <w:r w:rsidR="00DF4EBF" w:rsidRPr="00980BC4">
              <w:rPr>
                <w:rFonts w:ascii="宋体" w:eastAsia="宋体" w:hAnsi="宋体" w:cs="宋体"/>
                <w:sz w:val="18"/>
                <w:szCs w:val="18"/>
              </w:rPr>
              <w:t>,665,319.89</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42,450,877.52</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8A2428" w:rsidP="00E001AA">
            <w:pPr>
              <w:spacing w:line="280" w:lineRule="exact"/>
              <w:jc w:val="right"/>
              <w:rPr>
                <w:rFonts w:ascii="宋体" w:eastAsia="宋体" w:hAnsi="宋体" w:cs="宋体"/>
                <w:sz w:val="18"/>
                <w:szCs w:val="18"/>
              </w:rPr>
            </w:pPr>
            <w:r w:rsidRPr="00980BC4">
              <w:rPr>
                <w:rFonts w:ascii="宋体" w:eastAsia="宋体" w:hAnsi="宋体" w:cs="宋体" w:hint="eastAsia"/>
                <w:sz w:val="18"/>
                <w:szCs w:val="18"/>
              </w:rPr>
              <w:t>38.20</w:t>
            </w:r>
            <w:r w:rsidR="00DF4EBF" w:rsidRPr="00980BC4">
              <w:rPr>
                <w:rFonts w:ascii="宋体" w:eastAsia="宋体" w:hAnsi="宋体" w:cs="宋体"/>
                <w:sz w:val="18"/>
                <w:szCs w:val="18"/>
              </w:rPr>
              <w:t>%</w:t>
            </w:r>
          </w:p>
        </w:tc>
      </w:tr>
      <w:tr w:rsidR="002A3304" w:rsidRPr="00980BC4" w:rsidTr="00571D5D">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2A3304" w:rsidRPr="00980BC4" w:rsidRDefault="002A3304" w:rsidP="00E001AA">
            <w:pPr>
              <w:spacing w:line="28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库存量</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元</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31,457,241.61</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29,936,712.29</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5.08%</w:t>
            </w:r>
          </w:p>
        </w:tc>
      </w:tr>
      <w:tr w:rsidR="002A3304" w:rsidRPr="00980BC4" w:rsidTr="00571D5D">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rsidR="002A3304" w:rsidRPr="00980BC4" w:rsidRDefault="00313F3A" w:rsidP="00E001AA">
            <w:pPr>
              <w:spacing w:line="280" w:lineRule="exact"/>
              <w:rPr>
                <w:rFonts w:ascii="宋体" w:eastAsia="宋体" w:hAnsi="宋体" w:cs="宋体"/>
                <w:sz w:val="18"/>
                <w:szCs w:val="18"/>
              </w:rPr>
            </w:pPr>
            <w:r w:rsidRPr="00980BC4">
              <w:rPr>
                <w:rFonts w:ascii="宋体" w:eastAsia="宋体" w:hAnsi="宋体" w:cs="宋体" w:hint="eastAsia"/>
                <w:sz w:val="18"/>
                <w:szCs w:val="18"/>
              </w:rPr>
              <w:t>高性能</w:t>
            </w:r>
            <w:r w:rsidRPr="00980BC4">
              <w:rPr>
                <w:rFonts w:ascii="宋体" w:eastAsia="宋体" w:hAnsi="宋体" w:cs="宋体"/>
                <w:sz w:val="18"/>
                <w:szCs w:val="18"/>
              </w:rPr>
              <w:t>特种合金</w:t>
            </w:r>
            <w:r w:rsidRPr="00980BC4">
              <w:rPr>
                <w:rFonts w:ascii="宋体" w:eastAsia="宋体" w:hAnsi="宋体" w:cs="宋体" w:hint="eastAsia"/>
                <w:sz w:val="18"/>
                <w:szCs w:val="18"/>
              </w:rPr>
              <w:t>材料</w:t>
            </w:r>
            <w:r w:rsidRPr="00980BC4">
              <w:rPr>
                <w:rFonts w:ascii="宋体" w:eastAsia="宋体" w:hAnsi="宋体" w:cs="宋体"/>
                <w:sz w:val="18"/>
                <w:szCs w:val="18"/>
              </w:rPr>
              <w:t>制品</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销售量</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元</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133,762,420.63</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125,334,028.90</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6.72%</w:t>
            </w:r>
          </w:p>
        </w:tc>
      </w:tr>
      <w:tr w:rsidR="002A3304" w:rsidRPr="00980BC4" w:rsidTr="00571D5D">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2A3304" w:rsidRPr="00980BC4" w:rsidRDefault="002A3304" w:rsidP="00E001AA">
            <w:pPr>
              <w:spacing w:line="28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生产量</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元</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8A2428" w:rsidP="008A2428">
            <w:pPr>
              <w:spacing w:line="280" w:lineRule="exact"/>
              <w:jc w:val="right"/>
              <w:rPr>
                <w:rFonts w:ascii="宋体" w:eastAsia="宋体" w:hAnsi="宋体" w:cs="宋体"/>
                <w:sz w:val="18"/>
                <w:szCs w:val="18"/>
              </w:rPr>
            </w:pPr>
            <w:r w:rsidRPr="00980BC4">
              <w:rPr>
                <w:rFonts w:ascii="宋体" w:eastAsia="宋体" w:hAnsi="宋体" w:cs="宋体" w:hint="eastAsia"/>
                <w:sz w:val="18"/>
                <w:szCs w:val="18"/>
              </w:rPr>
              <w:t>75</w:t>
            </w:r>
            <w:r w:rsidR="00DF4EBF" w:rsidRPr="00980BC4">
              <w:rPr>
                <w:rFonts w:ascii="宋体" w:eastAsia="宋体" w:hAnsi="宋体" w:cs="宋体"/>
                <w:sz w:val="18"/>
                <w:szCs w:val="18"/>
              </w:rPr>
              <w:t>,4</w:t>
            </w:r>
            <w:r w:rsidRPr="00980BC4">
              <w:rPr>
                <w:rFonts w:ascii="宋体" w:eastAsia="宋体" w:hAnsi="宋体" w:cs="宋体" w:hint="eastAsia"/>
                <w:sz w:val="18"/>
                <w:szCs w:val="18"/>
              </w:rPr>
              <w:t>74</w:t>
            </w:r>
            <w:r w:rsidR="00DF4EBF" w:rsidRPr="00980BC4">
              <w:rPr>
                <w:rFonts w:ascii="宋体" w:eastAsia="宋体" w:hAnsi="宋体" w:cs="宋体"/>
                <w:sz w:val="18"/>
                <w:szCs w:val="18"/>
              </w:rPr>
              <w:t>,1</w:t>
            </w:r>
            <w:r w:rsidRPr="00980BC4">
              <w:rPr>
                <w:rFonts w:ascii="宋体" w:eastAsia="宋体" w:hAnsi="宋体" w:cs="宋体" w:hint="eastAsia"/>
                <w:sz w:val="18"/>
                <w:szCs w:val="18"/>
              </w:rPr>
              <w:t>09</w:t>
            </w:r>
            <w:r w:rsidR="00DF4EBF" w:rsidRPr="00980BC4">
              <w:rPr>
                <w:rFonts w:ascii="宋体" w:eastAsia="宋体" w:hAnsi="宋体" w:cs="宋体"/>
                <w:sz w:val="18"/>
                <w:szCs w:val="18"/>
              </w:rPr>
              <w:t>.</w:t>
            </w:r>
            <w:r w:rsidRPr="00980BC4">
              <w:rPr>
                <w:rFonts w:ascii="宋体" w:eastAsia="宋体" w:hAnsi="宋体" w:cs="宋体" w:hint="eastAsia"/>
                <w:sz w:val="18"/>
                <w:szCs w:val="18"/>
              </w:rPr>
              <w:t>37</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72,179,047.91</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8A2428" w:rsidP="00E001AA">
            <w:pPr>
              <w:spacing w:line="280" w:lineRule="exact"/>
              <w:jc w:val="right"/>
              <w:rPr>
                <w:rFonts w:ascii="宋体" w:eastAsia="宋体" w:hAnsi="宋体" w:cs="宋体"/>
                <w:sz w:val="18"/>
                <w:szCs w:val="18"/>
              </w:rPr>
            </w:pPr>
            <w:r w:rsidRPr="00980BC4">
              <w:rPr>
                <w:rFonts w:ascii="宋体" w:eastAsia="宋体" w:hAnsi="宋体" w:cs="宋体" w:hint="eastAsia"/>
                <w:sz w:val="18"/>
                <w:szCs w:val="18"/>
              </w:rPr>
              <w:t>4.57</w:t>
            </w:r>
            <w:r w:rsidR="00DF4EBF" w:rsidRPr="00980BC4">
              <w:rPr>
                <w:rFonts w:ascii="宋体" w:eastAsia="宋体" w:hAnsi="宋体" w:cs="宋体"/>
                <w:sz w:val="18"/>
                <w:szCs w:val="18"/>
              </w:rPr>
              <w:t>%</w:t>
            </w:r>
          </w:p>
        </w:tc>
      </w:tr>
      <w:tr w:rsidR="002A3304" w:rsidRPr="00980BC4" w:rsidTr="00571D5D">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2A3304" w:rsidRPr="00980BC4" w:rsidRDefault="002A3304" w:rsidP="00E001AA">
            <w:pPr>
              <w:spacing w:line="28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E001AA">
            <w:pPr>
              <w:spacing w:before="40" w:after="40" w:line="280" w:lineRule="exact"/>
              <w:rPr>
                <w:rFonts w:ascii="宋体" w:eastAsia="宋体" w:hAnsi="宋体" w:cs="宋体"/>
                <w:sz w:val="18"/>
                <w:szCs w:val="18"/>
              </w:rPr>
            </w:pPr>
            <w:r w:rsidRPr="00980BC4">
              <w:rPr>
                <w:rFonts w:ascii="宋体" w:eastAsia="宋体" w:hAnsi="宋体" w:cs="宋体"/>
                <w:sz w:val="18"/>
                <w:szCs w:val="18"/>
              </w:rPr>
              <w:t>库存量</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rPr>
                <w:rFonts w:ascii="宋体" w:eastAsia="宋体" w:hAnsi="宋体" w:cs="宋体"/>
                <w:sz w:val="18"/>
                <w:szCs w:val="18"/>
              </w:rPr>
            </w:pPr>
            <w:r w:rsidRPr="00980BC4">
              <w:rPr>
                <w:rFonts w:ascii="宋体" w:eastAsia="宋体" w:hAnsi="宋体" w:cs="宋体"/>
                <w:sz w:val="18"/>
                <w:szCs w:val="18"/>
              </w:rPr>
              <w:t>元</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A2428">
            <w:pPr>
              <w:spacing w:line="280" w:lineRule="exact"/>
              <w:jc w:val="right"/>
              <w:rPr>
                <w:rFonts w:ascii="宋体" w:eastAsia="宋体" w:hAnsi="宋体" w:cs="宋体"/>
                <w:sz w:val="18"/>
                <w:szCs w:val="18"/>
              </w:rPr>
            </w:pPr>
            <w:r w:rsidRPr="00980BC4">
              <w:rPr>
                <w:rFonts w:ascii="宋体" w:eastAsia="宋体" w:hAnsi="宋体" w:cs="宋体"/>
                <w:sz w:val="18"/>
                <w:szCs w:val="18"/>
              </w:rPr>
              <w:t>28,</w:t>
            </w:r>
            <w:r w:rsidR="008A2428" w:rsidRPr="00980BC4">
              <w:rPr>
                <w:rFonts w:ascii="宋体" w:eastAsia="宋体" w:hAnsi="宋体" w:cs="宋体" w:hint="eastAsia"/>
                <w:sz w:val="18"/>
                <w:szCs w:val="18"/>
              </w:rPr>
              <w:t>179</w:t>
            </w:r>
            <w:r w:rsidRPr="00980BC4">
              <w:rPr>
                <w:rFonts w:ascii="宋体" w:eastAsia="宋体" w:hAnsi="宋体" w:cs="宋体"/>
                <w:sz w:val="18"/>
                <w:szCs w:val="18"/>
              </w:rPr>
              <w:t>,</w:t>
            </w:r>
            <w:r w:rsidR="008A2428" w:rsidRPr="00980BC4">
              <w:rPr>
                <w:rFonts w:ascii="宋体" w:eastAsia="宋体" w:hAnsi="宋体" w:cs="宋体" w:hint="eastAsia"/>
                <w:sz w:val="18"/>
                <w:szCs w:val="18"/>
              </w:rPr>
              <w:t>633</w:t>
            </w:r>
            <w:r w:rsidRPr="00980BC4">
              <w:rPr>
                <w:rFonts w:ascii="宋体" w:eastAsia="宋体" w:hAnsi="宋体" w:cs="宋体"/>
                <w:sz w:val="18"/>
                <w:szCs w:val="18"/>
              </w:rPr>
              <w:t>.</w:t>
            </w:r>
            <w:r w:rsidR="008A2428" w:rsidRPr="00980BC4">
              <w:rPr>
                <w:rFonts w:ascii="宋体" w:eastAsia="宋体" w:hAnsi="宋体" w:cs="宋体" w:hint="eastAsia"/>
                <w:sz w:val="18"/>
                <w:szCs w:val="18"/>
              </w:rPr>
              <w:t>99</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E001AA">
            <w:pPr>
              <w:spacing w:line="280" w:lineRule="exact"/>
              <w:jc w:val="right"/>
              <w:rPr>
                <w:rFonts w:ascii="宋体" w:eastAsia="宋体" w:hAnsi="宋体" w:cs="宋体"/>
                <w:sz w:val="18"/>
                <w:szCs w:val="18"/>
              </w:rPr>
            </w:pPr>
            <w:r w:rsidRPr="00980BC4">
              <w:rPr>
                <w:rFonts w:ascii="宋体" w:eastAsia="宋体" w:hAnsi="宋体" w:cs="宋体"/>
                <w:sz w:val="18"/>
                <w:szCs w:val="18"/>
              </w:rPr>
              <w:t>31,890,134.02</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A2428">
            <w:pPr>
              <w:spacing w:line="280" w:lineRule="exact"/>
              <w:jc w:val="right"/>
              <w:rPr>
                <w:rFonts w:ascii="宋体" w:eastAsia="宋体" w:hAnsi="宋体" w:cs="宋体"/>
                <w:sz w:val="18"/>
                <w:szCs w:val="18"/>
              </w:rPr>
            </w:pPr>
            <w:r w:rsidRPr="00980BC4">
              <w:rPr>
                <w:rFonts w:ascii="宋体" w:eastAsia="宋体" w:hAnsi="宋体" w:cs="宋体"/>
                <w:sz w:val="18"/>
                <w:szCs w:val="18"/>
              </w:rPr>
              <w:t>-11.</w:t>
            </w:r>
            <w:r w:rsidR="008A2428" w:rsidRPr="00980BC4">
              <w:rPr>
                <w:rFonts w:ascii="宋体" w:eastAsia="宋体" w:hAnsi="宋体" w:cs="宋体" w:hint="eastAsia"/>
                <w:sz w:val="18"/>
                <w:szCs w:val="18"/>
              </w:rPr>
              <w:t>6</w:t>
            </w:r>
            <w:r w:rsidRPr="00980BC4">
              <w:rPr>
                <w:rFonts w:ascii="宋体" w:eastAsia="宋体" w:hAnsi="宋体" w:cs="宋体"/>
                <w:sz w:val="18"/>
                <w:szCs w:val="18"/>
              </w:rPr>
              <w:t>4%</w:t>
            </w:r>
          </w:p>
        </w:tc>
      </w:tr>
    </w:tbl>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r w:rsidRPr="00980BC4">
        <w:rPr>
          <w:rStyle w:val="a4"/>
          <w:rFonts w:ascii="仿宋" w:eastAsia="仿宋" w:hAnsi="仿宋"/>
          <w:sz w:val="28"/>
          <w:szCs w:val="28"/>
        </w:rPr>
        <w:t>相关数据同比发生变动30%以上的原因说明</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b w:val="0"/>
          <w:sz w:val="28"/>
          <w:szCs w:val="28"/>
        </w:rPr>
      </w:pPr>
      <w:r w:rsidRPr="00980BC4">
        <w:rPr>
          <w:rStyle w:val="a4"/>
          <w:rFonts w:ascii="仿宋" w:eastAsia="仿宋" w:hAnsi="仿宋"/>
          <w:b w:val="0"/>
          <w:sz w:val="28"/>
          <w:szCs w:val="28"/>
        </w:rPr>
        <w:sym w:font="Wingdings 2" w:char="F052"/>
      </w:r>
      <w:r w:rsidRPr="00980BC4">
        <w:rPr>
          <w:rStyle w:val="a4"/>
          <w:rFonts w:ascii="仿宋" w:eastAsia="仿宋" w:hAnsi="仿宋"/>
          <w:b w:val="0"/>
          <w:sz w:val="28"/>
          <w:szCs w:val="28"/>
        </w:rPr>
        <w:t>适用</w:t>
      </w:r>
      <w:r w:rsidR="00571D5D" w:rsidRPr="00980BC4">
        <w:rPr>
          <w:rStyle w:val="a4"/>
          <w:rFonts w:ascii="仿宋" w:eastAsia="仿宋" w:hAnsi="仿宋" w:hint="eastAsia"/>
          <w:b w:val="0"/>
          <w:sz w:val="28"/>
          <w:szCs w:val="28"/>
        </w:rPr>
        <w:t xml:space="preserve"> </w:t>
      </w:r>
      <w:r w:rsidRPr="00980BC4">
        <w:rPr>
          <w:rStyle w:val="a4"/>
          <w:rFonts w:ascii="仿宋" w:eastAsia="仿宋" w:hAnsi="仿宋"/>
          <w:b w:val="0"/>
          <w:sz w:val="28"/>
          <w:szCs w:val="28"/>
        </w:rPr>
        <w:t xml:space="preserve"> □不适用</w:t>
      </w:r>
    </w:p>
    <w:p w:rsidR="002A3304" w:rsidRPr="00980BC4" w:rsidRDefault="00571D5D" w:rsidP="00571D5D">
      <w:pPr>
        <w:pStyle w:val="a3"/>
        <w:widowControl w:val="0"/>
        <w:spacing w:before="0" w:beforeAutospacing="0" w:after="0" w:afterAutospacing="0" w:line="560" w:lineRule="exact"/>
        <w:ind w:firstLine="601"/>
        <w:jc w:val="both"/>
        <w:divId w:val="1713384843"/>
        <w:rPr>
          <w:rFonts w:ascii="仿宋" w:eastAsia="仿宋" w:hAnsi="仿宋"/>
          <w:sz w:val="28"/>
          <w:szCs w:val="28"/>
        </w:rPr>
      </w:pPr>
      <w:r w:rsidRPr="00980BC4">
        <w:rPr>
          <w:rFonts w:ascii="仿宋" w:eastAsia="仿宋" w:hAnsi="仿宋" w:hint="eastAsia"/>
          <w:sz w:val="28"/>
          <w:szCs w:val="28"/>
        </w:rPr>
        <w:t>①</w:t>
      </w:r>
      <w:r w:rsidR="002A3304" w:rsidRPr="00980BC4">
        <w:rPr>
          <w:rFonts w:ascii="仿宋" w:eastAsia="仿宋" w:hAnsi="仿宋" w:hint="eastAsia"/>
          <w:sz w:val="28"/>
          <w:szCs w:val="28"/>
        </w:rPr>
        <w:t>制糖产品销售量减少了95.76%，主要原因是公司于2022年上半年终止食糖贸易业务。</w:t>
      </w:r>
    </w:p>
    <w:p w:rsidR="002A3304" w:rsidRPr="00980BC4" w:rsidRDefault="00571D5D" w:rsidP="00571D5D">
      <w:pPr>
        <w:pStyle w:val="a3"/>
        <w:widowControl w:val="0"/>
        <w:spacing w:before="0" w:beforeAutospacing="0" w:after="0" w:afterAutospacing="0" w:line="560" w:lineRule="exact"/>
        <w:ind w:firstLine="601"/>
        <w:jc w:val="both"/>
        <w:divId w:val="1713384843"/>
        <w:rPr>
          <w:rFonts w:ascii="仿宋" w:eastAsia="仿宋" w:hAnsi="仿宋"/>
          <w:sz w:val="28"/>
          <w:szCs w:val="28"/>
        </w:rPr>
      </w:pPr>
      <w:r w:rsidRPr="00980BC4">
        <w:rPr>
          <w:rFonts w:ascii="仿宋" w:eastAsia="仿宋" w:hAnsi="仿宋" w:hint="eastAsia"/>
          <w:sz w:val="28"/>
          <w:szCs w:val="28"/>
        </w:rPr>
        <w:t>②</w:t>
      </w:r>
      <w:r w:rsidR="002A3304" w:rsidRPr="00980BC4">
        <w:rPr>
          <w:rFonts w:ascii="仿宋" w:eastAsia="仿宋" w:hAnsi="仿宋" w:hint="eastAsia"/>
          <w:sz w:val="28"/>
          <w:szCs w:val="28"/>
        </w:rPr>
        <w:t>电源及相关产品的销售量增加了</w:t>
      </w:r>
      <w:r w:rsidR="00FC32F6" w:rsidRPr="00980BC4">
        <w:rPr>
          <w:rFonts w:ascii="仿宋" w:eastAsia="仿宋" w:hAnsi="仿宋"/>
          <w:sz w:val="28"/>
          <w:szCs w:val="28"/>
        </w:rPr>
        <w:t>44</w:t>
      </w:r>
      <w:r w:rsidR="002A3304" w:rsidRPr="00980BC4">
        <w:rPr>
          <w:rFonts w:ascii="仿宋" w:eastAsia="仿宋" w:hAnsi="仿宋" w:hint="eastAsia"/>
          <w:sz w:val="28"/>
          <w:szCs w:val="28"/>
        </w:rPr>
        <w:t>.20%，生产量（按成本价格统计）增加了</w:t>
      </w:r>
      <w:r w:rsidR="00FC32F6" w:rsidRPr="00980BC4">
        <w:rPr>
          <w:rFonts w:ascii="仿宋" w:eastAsia="仿宋" w:hAnsi="仿宋"/>
          <w:sz w:val="28"/>
          <w:szCs w:val="28"/>
        </w:rPr>
        <w:t>38</w:t>
      </w:r>
      <w:r w:rsidR="002A3304" w:rsidRPr="00980BC4">
        <w:rPr>
          <w:rFonts w:ascii="仿宋" w:eastAsia="仿宋" w:hAnsi="仿宋" w:hint="eastAsia"/>
          <w:sz w:val="28"/>
          <w:szCs w:val="28"/>
        </w:rPr>
        <w:t>.</w:t>
      </w:r>
      <w:r w:rsidR="00FC32F6" w:rsidRPr="00980BC4">
        <w:rPr>
          <w:rFonts w:ascii="仿宋" w:eastAsia="仿宋" w:hAnsi="仿宋"/>
          <w:sz w:val="28"/>
          <w:szCs w:val="28"/>
        </w:rPr>
        <w:t>20</w:t>
      </w:r>
      <w:r w:rsidR="002A3304" w:rsidRPr="00980BC4">
        <w:rPr>
          <w:rFonts w:ascii="仿宋" w:eastAsia="仿宋" w:hAnsi="仿宋" w:hint="eastAsia"/>
          <w:sz w:val="28"/>
          <w:szCs w:val="28"/>
        </w:rPr>
        <w:t>%，主要原因是本期军工订单有所增加。</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bCs w:val="0"/>
          <w:sz w:val="28"/>
          <w:szCs w:val="28"/>
        </w:rPr>
      </w:pPr>
      <w:bookmarkStart w:id="23" w:name="_Toc988912"/>
      <w:r w:rsidRPr="00980BC4">
        <w:rPr>
          <w:rStyle w:val="a4"/>
          <w:rFonts w:ascii="仿宋" w:eastAsia="仿宋" w:hAnsi="仿宋"/>
          <w:bCs w:val="0"/>
          <w:sz w:val="28"/>
          <w:szCs w:val="28"/>
        </w:rPr>
        <w:t>（4） 公司已签订的重大销售合同、重大采购合同截至本报告期的履行情况</w:t>
      </w:r>
      <w:bookmarkEnd w:id="23"/>
    </w:p>
    <w:p w:rsidR="002A3304" w:rsidRPr="00980BC4" w:rsidRDefault="00DF4EBF" w:rsidP="00571D5D">
      <w:pPr>
        <w:pStyle w:val="a3"/>
        <w:widowControl w:val="0"/>
        <w:spacing w:before="0" w:beforeAutospacing="0" w:after="0" w:afterAutospacing="0" w:line="560" w:lineRule="exact"/>
        <w:ind w:firstLine="601"/>
        <w:jc w:val="both"/>
        <w:rPr>
          <w:rFonts w:ascii="仿宋" w:eastAsia="仿宋" w:hAnsi="仿宋"/>
          <w:sz w:val="28"/>
          <w:szCs w:val="28"/>
        </w:rPr>
      </w:pPr>
      <w:r w:rsidRPr="00980BC4">
        <w:rPr>
          <w:rFonts w:ascii="仿宋" w:eastAsia="仿宋" w:hAnsi="仿宋"/>
          <w:sz w:val="28"/>
          <w:szCs w:val="28"/>
        </w:rPr>
        <w:t xml:space="preserve">□适用 </w:t>
      </w:r>
      <w:r w:rsidR="00571D5D"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bookmarkStart w:id="24" w:name="_Toc988913"/>
      <w:r w:rsidRPr="00980BC4">
        <w:rPr>
          <w:rStyle w:val="a4"/>
          <w:rFonts w:ascii="仿宋" w:eastAsia="仿宋" w:hAnsi="仿宋"/>
          <w:sz w:val="28"/>
          <w:szCs w:val="28"/>
        </w:rPr>
        <w:t>（5） 营业成本构成</w:t>
      </w:r>
      <w:bookmarkEnd w:id="24"/>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r w:rsidRPr="00980BC4">
        <w:rPr>
          <w:rStyle w:val="a4"/>
          <w:rFonts w:ascii="仿宋" w:eastAsia="仿宋" w:hAnsi="仿宋"/>
          <w:sz w:val="28"/>
          <w:szCs w:val="28"/>
        </w:rPr>
        <w:lastRenderedPageBreak/>
        <w:t>行业分类</w:t>
      </w:r>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607"/>
        <w:gridCol w:w="1147"/>
        <w:gridCol w:w="1546"/>
        <w:gridCol w:w="1208"/>
        <w:gridCol w:w="1377"/>
      </w:tblGrid>
      <w:tr w:rsidR="002A3304" w:rsidRPr="00980BC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行业分类</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2021年</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同比增减</w:t>
            </w:r>
          </w:p>
        </w:tc>
      </w:tr>
      <w:tr w:rsidR="002A3304" w:rsidRPr="00980BC4" w:rsidTr="00571D5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571D5D">
            <w:pPr>
              <w:spacing w:line="28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571D5D">
            <w:pPr>
              <w:spacing w:line="280" w:lineRule="exact"/>
            </w:pP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114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占营业成本比重</w:t>
            </w:r>
          </w:p>
        </w:tc>
        <w:tc>
          <w:tcPr>
            <w:tcW w:w="154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120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占营业成本比重</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571D5D">
            <w:pPr>
              <w:spacing w:line="280" w:lineRule="exact"/>
            </w:pPr>
          </w:p>
        </w:tc>
      </w:tr>
      <w:tr w:rsidR="002A3304" w:rsidRPr="00980BC4" w:rsidTr="00571D5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制造业</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原材料</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112,758,769.79</w:t>
            </w:r>
          </w:p>
        </w:tc>
        <w:tc>
          <w:tcPr>
            <w:tcW w:w="114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63.85%</w:t>
            </w:r>
          </w:p>
        </w:tc>
        <w:tc>
          <w:tcPr>
            <w:tcW w:w="154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84,266,317.19</w:t>
            </w:r>
          </w:p>
        </w:tc>
        <w:tc>
          <w:tcPr>
            <w:tcW w:w="120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26.21%</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33.81%</w:t>
            </w:r>
          </w:p>
        </w:tc>
      </w:tr>
      <w:tr w:rsidR="002A3304" w:rsidRPr="00980BC4" w:rsidTr="00571D5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制造业</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制造费用</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25,872,076.56</w:t>
            </w:r>
          </w:p>
        </w:tc>
        <w:tc>
          <w:tcPr>
            <w:tcW w:w="114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14.65%</w:t>
            </w:r>
          </w:p>
        </w:tc>
        <w:tc>
          <w:tcPr>
            <w:tcW w:w="154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13,766,602.39</w:t>
            </w:r>
          </w:p>
        </w:tc>
        <w:tc>
          <w:tcPr>
            <w:tcW w:w="120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4.28%</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87.93%</w:t>
            </w:r>
          </w:p>
        </w:tc>
      </w:tr>
      <w:tr w:rsidR="002A3304" w:rsidRPr="00980BC4" w:rsidTr="00571D5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制造业</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人工工资</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7,027,093.39</w:t>
            </w:r>
          </w:p>
        </w:tc>
        <w:tc>
          <w:tcPr>
            <w:tcW w:w="114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3.98%</w:t>
            </w:r>
          </w:p>
        </w:tc>
        <w:tc>
          <w:tcPr>
            <w:tcW w:w="154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6,281,880.65</w:t>
            </w:r>
          </w:p>
        </w:tc>
        <w:tc>
          <w:tcPr>
            <w:tcW w:w="120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1.95%</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11.86%</w:t>
            </w:r>
          </w:p>
        </w:tc>
      </w:tr>
      <w:tr w:rsidR="002A3304" w:rsidRPr="00980BC4" w:rsidTr="00571D5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贸易</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采购成本</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27,296,882.28</w:t>
            </w:r>
          </w:p>
        </w:tc>
        <w:tc>
          <w:tcPr>
            <w:tcW w:w="114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15.46%</w:t>
            </w:r>
          </w:p>
        </w:tc>
        <w:tc>
          <w:tcPr>
            <w:tcW w:w="154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214,328,050.03</w:t>
            </w:r>
          </w:p>
        </w:tc>
        <w:tc>
          <w:tcPr>
            <w:tcW w:w="120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66.67%</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-87.26%</w:t>
            </w:r>
          </w:p>
        </w:tc>
      </w:tr>
      <w:tr w:rsidR="002A3304" w:rsidRPr="00980BC4" w:rsidTr="00571D5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571D5D">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3,642,601.72</w:t>
            </w:r>
          </w:p>
        </w:tc>
        <w:tc>
          <w:tcPr>
            <w:tcW w:w="114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2.06%</w:t>
            </w:r>
          </w:p>
        </w:tc>
        <w:tc>
          <w:tcPr>
            <w:tcW w:w="154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2,843,613.03</w:t>
            </w:r>
          </w:p>
        </w:tc>
        <w:tc>
          <w:tcPr>
            <w:tcW w:w="120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0.88%</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28.10%</w:t>
            </w:r>
          </w:p>
        </w:tc>
      </w:tr>
    </w:tbl>
    <w:p w:rsidR="002A3304" w:rsidRPr="00980BC4" w:rsidRDefault="00DF4EBF" w:rsidP="00733A14">
      <w:pPr>
        <w:pStyle w:val="a3"/>
        <w:spacing w:before="0" w:beforeAutospacing="0" w:after="0" w:afterAutospacing="0" w:line="560" w:lineRule="exact"/>
        <w:ind w:firstLine="560"/>
        <w:jc w:val="both"/>
        <w:rPr>
          <w:rStyle w:val="a4"/>
          <w:rFonts w:ascii="仿宋" w:eastAsia="仿宋" w:hAnsi="仿宋"/>
          <w:bCs w:val="0"/>
          <w:sz w:val="28"/>
          <w:szCs w:val="28"/>
        </w:rPr>
      </w:pPr>
      <w:bookmarkStart w:id="25" w:name="_Toc988914"/>
      <w:r w:rsidRPr="00980BC4">
        <w:rPr>
          <w:rStyle w:val="a4"/>
          <w:rFonts w:ascii="仿宋" w:eastAsia="仿宋" w:hAnsi="仿宋"/>
          <w:bCs w:val="0"/>
          <w:sz w:val="28"/>
          <w:szCs w:val="28"/>
        </w:rPr>
        <w:t>（6） 报告期内合并范围是否发生变动</w:t>
      </w:r>
      <w:bookmarkEnd w:id="25"/>
    </w:p>
    <w:p w:rsidR="002A3304" w:rsidRPr="00980BC4" w:rsidRDefault="00DF4EBF" w:rsidP="00733A14">
      <w:pPr>
        <w:pStyle w:val="a3"/>
        <w:widowControl w:val="0"/>
        <w:spacing w:before="0" w:beforeAutospacing="0" w:after="0" w:afterAutospacing="0" w:line="560" w:lineRule="exact"/>
        <w:ind w:firstLine="601"/>
        <w:jc w:val="both"/>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是 </w:t>
      </w:r>
      <w:r w:rsidR="00571D5D" w:rsidRPr="00980BC4">
        <w:rPr>
          <w:rFonts w:ascii="仿宋" w:eastAsia="仿宋" w:hAnsi="仿宋" w:hint="eastAsia"/>
          <w:sz w:val="28"/>
          <w:szCs w:val="28"/>
        </w:rPr>
        <w:t xml:space="preserve"> </w:t>
      </w:r>
      <w:r w:rsidRPr="00980BC4">
        <w:rPr>
          <w:rFonts w:ascii="仿宋" w:eastAsia="仿宋" w:hAnsi="仿宋"/>
          <w:sz w:val="28"/>
          <w:szCs w:val="28"/>
        </w:rPr>
        <w:t>□否</w:t>
      </w:r>
    </w:p>
    <w:p w:rsidR="002A3304" w:rsidRPr="00980BC4" w:rsidRDefault="002A3304" w:rsidP="00733A14">
      <w:pPr>
        <w:pStyle w:val="a3"/>
        <w:spacing w:before="0" w:beforeAutospacing="0" w:after="0" w:afterAutospacing="0" w:line="560" w:lineRule="exact"/>
        <w:ind w:firstLine="560"/>
        <w:divId w:val="6175900"/>
        <w:rPr>
          <w:rFonts w:ascii="Times New Roman" w:hAnsi="Times New Roman" w:cs="Times New Roman"/>
          <w:sz w:val="18"/>
          <w:szCs w:val="18"/>
        </w:rPr>
      </w:pPr>
      <w:r w:rsidRPr="00980BC4">
        <w:rPr>
          <w:rFonts w:ascii="仿宋" w:eastAsia="仿宋" w:hAnsi="仿宋" w:cs="Times New Roman" w:hint="eastAsia"/>
          <w:b/>
          <w:sz w:val="28"/>
          <w:szCs w:val="28"/>
        </w:rPr>
        <w:t>本期增加合并单位：</w:t>
      </w:r>
      <w:r w:rsidRPr="00980BC4">
        <w:rPr>
          <w:rFonts w:ascii="仿宋" w:eastAsia="仿宋" w:hAnsi="仿宋" w:cs="Times New Roman" w:hint="eastAsia"/>
          <w:sz w:val="28"/>
          <w:szCs w:val="28"/>
        </w:rPr>
        <w:t>福建</w:t>
      </w:r>
      <w:r w:rsidR="00A05CB7" w:rsidRPr="00980BC4">
        <w:rPr>
          <w:rFonts w:ascii="仿宋" w:eastAsia="仿宋" w:hAnsi="仿宋" w:cs="Times New Roman" w:hint="eastAsia"/>
          <w:sz w:val="28"/>
          <w:szCs w:val="28"/>
        </w:rPr>
        <w:t>卓越</w:t>
      </w:r>
      <w:r w:rsidRPr="00980BC4">
        <w:rPr>
          <w:rFonts w:ascii="仿宋" w:eastAsia="仿宋" w:hAnsi="仿宋" w:cs="Times New Roman" w:hint="eastAsia"/>
          <w:sz w:val="28"/>
          <w:szCs w:val="28"/>
        </w:rPr>
        <w:t>、沈阳非晶</w:t>
      </w:r>
    </w:p>
    <w:p w:rsidR="00733A14" w:rsidRPr="00980BC4" w:rsidRDefault="00733A14" w:rsidP="00733A14">
      <w:pPr>
        <w:pStyle w:val="a3"/>
        <w:widowControl w:val="0"/>
        <w:spacing w:before="0" w:beforeAutospacing="0" w:after="0" w:afterAutospacing="0" w:line="560" w:lineRule="exact"/>
        <w:ind w:firstLine="601"/>
        <w:jc w:val="both"/>
        <w:divId w:val="6175900"/>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公司本期通过收购方式取得福建将乐卓越金属材料有限公司100%股权，于2022年7月完成工商变更，本期纳入合并报表范围。</w:t>
      </w:r>
    </w:p>
    <w:p w:rsidR="00733A14" w:rsidRPr="00980BC4" w:rsidRDefault="00733A14" w:rsidP="00733A14">
      <w:pPr>
        <w:pStyle w:val="a3"/>
        <w:widowControl w:val="0"/>
        <w:spacing w:before="0" w:beforeAutospacing="0" w:after="0" w:afterAutospacing="0" w:line="560" w:lineRule="exact"/>
        <w:ind w:firstLine="601"/>
        <w:jc w:val="both"/>
        <w:divId w:val="6175900"/>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公司本期通过增资方式取得沈阳非晶金属材料制造有限公司3</w:t>
      </w:r>
      <w:r w:rsidRPr="00980BC4">
        <w:rPr>
          <w:rFonts w:ascii="仿宋" w:eastAsia="仿宋" w:hAnsi="仿宋"/>
          <w:color w:val="000000" w:themeColor="text1"/>
          <w:sz w:val="28"/>
          <w:szCs w:val="28"/>
        </w:rPr>
        <w:t>3.34</w:t>
      </w:r>
      <w:r w:rsidRPr="00980BC4">
        <w:rPr>
          <w:rFonts w:ascii="仿宋" w:eastAsia="仿宋" w:hAnsi="仿宋" w:hint="eastAsia"/>
          <w:color w:val="000000" w:themeColor="text1"/>
          <w:sz w:val="28"/>
          <w:szCs w:val="28"/>
        </w:rPr>
        <w:t>%股权，通过子公司福建卓越间接持有沈阳非晶2</w:t>
      </w:r>
      <w:r w:rsidRPr="00980BC4">
        <w:rPr>
          <w:rFonts w:ascii="仿宋" w:eastAsia="仿宋" w:hAnsi="仿宋"/>
          <w:color w:val="000000" w:themeColor="text1"/>
          <w:sz w:val="28"/>
          <w:szCs w:val="28"/>
        </w:rPr>
        <w:t>3.33</w:t>
      </w:r>
      <w:r w:rsidRPr="00980BC4">
        <w:rPr>
          <w:rFonts w:ascii="仿宋" w:eastAsia="仿宋" w:hAnsi="仿宋" w:hint="eastAsia"/>
          <w:color w:val="000000" w:themeColor="text1"/>
          <w:sz w:val="28"/>
          <w:szCs w:val="28"/>
        </w:rPr>
        <w:t>%股权，共计持有沈阳非晶5</w:t>
      </w:r>
      <w:r w:rsidRPr="00980BC4">
        <w:rPr>
          <w:rFonts w:ascii="仿宋" w:eastAsia="仿宋" w:hAnsi="仿宋"/>
          <w:color w:val="000000" w:themeColor="text1"/>
          <w:sz w:val="28"/>
          <w:szCs w:val="28"/>
        </w:rPr>
        <w:t>6.67</w:t>
      </w:r>
      <w:r w:rsidRPr="00980BC4">
        <w:rPr>
          <w:rFonts w:ascii="仿宋" w:eastAsia="仿宋" w:hAnsi="仿宋" w:hint="eastAsia"/>
          <w:color w:val="000000" w:themeColor="text1"/>
          <w:sz w:val="28"/>
          <w:szCs w:val="28"/>
        </w:rPr>
        <w:t>%股权。沈阳非晶本期纳入合并范围。</w:t>
      </w:r>
    </w:p>
    <w:p w:rsidR="002A3304" w:rsidRPr="00980BC4" w:rsidRDefault="002A3304" w:rsidP="00571D5D">
      <w:pPr>
        <w:pStyle w:val="a3"/>
        <w:widowControl w:val="0"/>
        <w:spacing w:before="0" w:beforeAutospacing="0" w:after="0" w:afterAutospacing="0" w:line="560" w:lineRule="exact"/>
        <w:ind w:firstLine="601"/>
        <w:jc w:val="both"/>
        <w:divId w:val="6175900"/>
        <w:rPr>
          <w:rFonts w:ascii="仿宋" w:eastAsia="仿宋" w:hAnsi="仿宋"/>
          <w:sz w:val="28"/>
          <w:szCs w:val="28"/>
        </w:rPr>
      </w:pPr>
      <w:r w:rsidRPr="00980BC4">
        <w:rPr>
          <w:rFonts w:ascii="仿宋" w:eastAsia="仿宋" w:hAnsi="仿宋" w:hint="eastAsia"/>
          <w:b/>
          <w:sz w:val="28"/>
          <w:szCs w:val="28"/>
        </w:rPr>
        <w:t>本期减少合并单位：</w:t>
      </w:r>
      <w:r w:rsidRPr="00980BC4">
        <w:rPr>
          <w:rFonts w:ascii="仿宋" w:eastAsia="仿宋" w:hAnsi="仿宋" w:hint="eastAsia"/>
          <w:sz w:val="28"/>
          <w:szCs w:val="28"/>
        </w:rPr>
        <w:t>多普思电源</w:t>
      </w:r>
    </w:p>
    <w:p w:rsidR="002A3304" w:rsidRPr="00980BC4" w:rsidRDefault="003C7438" w:rsidP="00571D5D">
      <w:pPr>
        <w:pStyle w:val="a3"/>
        <w:widowControl w:val="0"/>
        <w:spacing w:before="0" w:beforeAutospacing="0" w:after="0" w:afterAutospacing="0" w:line="560" w:lineRule="exact"/>
        <w:ind w:firstLine="601"/>
        <w:jc w:val="both"/>
        <w:divId w:val="6175900"/>
        <w:rPr>
          <w:rFonts w:ascii="仿宋" w:eastAsia="仿宋" w:hAnsi="仿宋"/>
          <w:sz w:val="28"/>
          <w:szCs w:val="28"/>
        </w:rPr>
      </w:pPr>
      <w:r w:rsidRPr="00980BC4">
        <w:rPr>
          <w:rFonts w:ascii="仿宋" w:eastAsia="仿宋" w:hAnsi="仿宋" w:hint="eastAsia"/>
          <w:sz w:val="28"/>
          <w:szCs w:val="28"/>
        </w:rPr>
        <w:t>升华电源</w:t>
      </w:r>
      <w:r w:rsidR="002A3304" w:rsidRPr="00980BC4">
        <w:rPr>
          <w:rFonts w:ascii="仿宋" w:eastAsia="仿宋" w:hAnsi="仿宋" w:hint="eastAsia"/>
          <w:sz w:val="28"/>
          <w:szCs w:val="28"/>
        </w:rPr>
        <w:t>子公司上海多普思电源有限责任公司于本期注销，自2022年11月起不纳入合并范围。</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bookmarkStart w:id="26" w:name="_Toc988915"/>
      <w:r w:rsidRPr="00980BC4">
        <w:rPr>
          <w:rStyle w:val="a4"/>
          <w:rFonts w:ascii="仿宋" w:eastAsia="仿宋" w:hAnsi="仿宋"/>
          <w:sz w:val="28"/>
          <w:szCs w:val="28"/>
        </w:rPr>
        <w:t>（7） 公司报告期内业务、产品或服务发生重大变化或调整有关情况</w:t>
      </w:r>
      <w:bookmarkEnd w:id="26"/>
    </w:p>
    <w:p w:rsidR="002A3304" w:rsidRPr="00980BC4" w:rsidRDefault="00DF4EBF" w:rsidP="00571D5D">
      <w:pPr>
        <w:pStyle w:val="a3"/>
        <w:widowControl w:val="0"/>
        <w:spacing w:before="0" w:beforeAutospacing="0" w:after="0" w:afterAutospacing="0" w:line="560" w:lineRule="exact"/>
        <w:ind w:firstLine="601"/>
        <w:jc w:val="both"/>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适用</w:t>
      </w:r>
      <w:r w:rsidR="00571D5D" w:rsidRPr="00980BC4">
        <w:rPr>
          <w:rFonts w:ascii="仿宋" w:eastAsia="仿宋" w:hAnsi="仿宋" w:hint="eastAsia"/>
          <w:sz w:val="28"/>
          <w:szCs w:val="28"/>
        </w:rPr>
        <w:t xml:space="preserve"> </w:t>
      </w:r>
      <w:r w:rsidRPr="00980BC4">
        <w:rPr>
          <w:rFonts w:ascii="仿宋" w:eastAsia="仿宋" w:hAnsi="仿宋"/>
          <w:sz w:val="28"/>
          <w:szCs w:val="28"/>
        </w:rPr>
        <w:t xml:space="preserve"> □不适用</w:t>
      </w:r>
    </w:p>
    <w:p w:rsidR="002A3304" w:rsidRPr="00980BC4" w:rsidRDefault="002A3304" w:rsidP="00571D5D">
      <w:pPr>
        <w:pStyle w:val="a3"/>
        <w:widowControl w:val="0"/>
        <w:spacing w:before="0" w:beforeAutospacing="0" w:after="0" w:afterAutospacing="0" w:line="560" w:lineRule="exact"/>
        <w:ind w:firstLine="601"/>
        <w:jc w:val="both"/>
        <w:divId w:val="248124083"/>
        <w:rPr>
          <w:rFonts w:ascii="仿宋" w:eastAsia="仿宋" w:hAnsi="仿宋"/>
          <w:sz w:val="28"/>
          <w:szCs w:val="28"/>
        </w:rPr>
      </w:pPr>
      <w:r w:rsidRPr="00980BC4">
        <w:rPr>
          <w:rFonts w:ascii="仿宋" w:eastAsia="仿宋" w:hAnsi="仿宋" w:hint="eastAsia"/>
          <w:sz w:val="28"/>
          <w:szCs w:val="28"/>
        </w:rPr>
        <w:t>公司自2018年转型发展军工产业以来，军工板块业务保持稳定，发展态势向好，公司也已确定未来坚定深耕军工产业的发展战略，为使主营业务定位更为聚焦，与公司发展战略更加匹配，公司于2022年5月起停止了开展食糖类业务。食糖类业务虽占公司整体营业收入比重较大，但贡献的经营效益很小，投入的资金使用效率不高。停止开展食糖类业务不会对公司正常经营</w:t>
      </w:r>
      <w:r w:rsidRPr="00980BC4">
        <w:rPr>
          <w:rFonts w:ascii="仿宋" w:eastAsia="仿宋" w:hAnsi="仿宋" w:hint="eastAsia"/>
          <w:sz w:val="28"/>
          <w:szCs w:val="28"/>
        </w:rPr>
        <w:lastRenderedPageBreak/>
        <w:t>运作带来影响，有利于公司集中资源，聚焦发展军工产业。</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bCs w:val="0"/>
          <w:sz w:val="28"/>
          <w:szCs w:val="28"/>
        </w:rPr>
      </w:pPr>
      <w:bookmarkStart w:id="27" w:name="_Toc988916"/>
      <w:r w:rsidRPr="00980BC4">
        <w:rPr>
          <w:rStyle w:val="a4"/>
          <w:rFonts w:ascii="仿宋" w:eastAsia="仿宋" w:hAnsi="仿宋"/>
          <w:bCs w:val="0"/>
          <w:sz w:val="28"/>
          <w:szCs w:val="28"/>
        </w:rPr>
        <w:t>（8） 主要销售客户和主要供应商情况</w:t>
      </w:r>
      <w:bookmarkEnd w:id="27"/>
    </w:p>
    <w:p w:rsidR="002A3304" w:rsidRPr="00980BC4" w:rsidRDefault="00DF4EBF" w:rsidP="00571D5D">
      <w:pPr>
        <w:pStyle w:val="a3"/>
        <w:widowControl w:val="0"/>
        <w:spacing w:before="0" w:beforeAutospacing="0" w:after="0" w:afterAutospacing="0" w:line="560" w:lineRule="exact"/>
        <w:ind w:firstLine="601"/>
        <w:jc w:val="both"/>
        <w:rPr>
          <w:rFonts w:ascii="仿宋" w:eastAsia="仿宋" w:hAnsi="仿宋"/>
          <w:b/>
          <w:sz w:val="28"/>
          <w:szCs w:val="28"/>
        </w:rPr>
      </w:pPr>
      <w:r w:rsidRPr="00980BC4">
        <w:rPr>
          <w:rFonts w:ascii="仿宋" w:eastAsia="仿宋" w:hAnsi="仿宋"/>
          <w:b/>
          <w:sz w:val="28"/>
          <w:szCs w:val="28"/>
        </w:rPr>
        <w:t>公司主要销售客户情况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前五名客户合计销售金额（元）</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321,080,246.90</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前五名客户合计销售金额占年度销售总额比例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72.09%</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前五名客户销售额中关联方销售额占年度销售总额比例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bl>
    <w:p w:rsidR="002A3304" w:rsidRPr="00980BC4" w:rsidRDefault="00DF4EBF" w:rsidP="00571D5D">
      <w:pPr>
        <w:pStyle w:val="a3"/>
        <w:widowControl w:val="0"/>
        <w:spacing w:before="0" w:beforeAutospacing="0" w:after="0" w:afterAutospacing="0" w:line="560" w:lineRule="exact"/>
        <w:ind w:firstLine="601"/>
        <w:jc w:val="both"/>
        <w:rPr>
          <w:rFonts w:ascii="仿宋" w:eastAsia="仿宋" w:hAnsi="仿宋"/>
          <w:b/>
          <w:sz w:val="28"/>
          <w:szCs w:val="28"/>
        </w:rPr>
      </w:pPr>
      <w:r w:rsidRPr="00980BC4">
        <w:rPr>
          <w:rFonts w:ascii="仿宋" w:eastAsia="仿宋" w:hAnsi="仿宋"/>
          <w:b/>
          <w:sz w:val="28"/>
          <w:szCs w:val="28"/>
        </w:rPr>
        <w:t>公司前5大客户资料</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客户名称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销售额（元）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占年度销售总额比例</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客户一</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92,785,473.12</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20.83%</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客户二</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84,462,242.93</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18.96%</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客户三</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54,539,895.49</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12.25%</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客户四</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53,072,945.36</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11.92%</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客户五</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36,219,690.00</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8.13%</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321,080,246.90</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72.09%</w:t>
            </w:r>
          </w:p>
        </w:tc>
      </w:tr>
    </w:tbl>
    <w:p w:rsidR="002A3304" w:rsidRPr="00980BC4" w:rsidRDefault="00DF4EBF" w:rsidP="00571D5D">
      <w:pPr>
        <w:pStyle w:val="a3"/>
        <w:widowControl w:val="0"/>
        <w:spacing w:before="0" w:beforeAutospacing="0" w:after="0" w:afterAutospacing="0" w:line="560" w:lineRule="exact"/>
        <w:ind w:firstLine="601"/>
        <w:jc w:val="both"/>
        <w:rPr>
          <w:rFonts w:ascii="仿宋" w:eastAsia="仿宋" w:hAnsi="仿宋"/>
          <w:b/>
          <w:sz w:val="28"/>
          <w:szCs w:val="28"/>
        </w:rPr>
      </w:pPr>
      <w:r w:rsidRPr="00980BC4">
        <w:rPr>
          <w:rFonts w:ascii="仿宋" w:eastAsia="仿宋" w:hAnsi="仿宋"/>
          <w:b/>
          <w:sz w:val="28"/>
          <w:szCs w:val="28"/>
        </w:rPr>
        <w:t>主要客户其他情况说明</w:t>
      </w:r>
    </w:p>
    <w:p w:rsidR="002A3304" w:rsidRPr="00980BC4" w:rsidRDefault="00DF4EBF" w:rsidP="00571D5D">
      <w:pPr>
        <w:pStyle w:val="a3"/>
        <w:widowControl w:val="0"/>
        <w:spacing w:before="0" w:beforeAutospacing="0" w:after="0" w:afterAutospacing="0" w:line="560" w:lineRule="exact"/>
        <w:ind w:firstLine="601"/>
        <w:jc w:val="both"/>
        <w:rPr>
          <w:rFonts w:ascii="仿宋" w:eastAsia="仿宋" w:hAnsi="仿宋"/>
          <w:sz w:val="28"/>
          <w:szCs w:val="28"/>
        </w:rPr>
      </w:pPr>
      <w:r w:rsidRPr="00980BC4">
        <w:rPr>
          <w:rFonts w:ascii="仿宋" w:eastAsia="仿宋" w:hAnsi="仿宋"/>
          <w:sz w:val="28"/>
          <w:szCs w:val="28"/>
        </w:rPr>
        <w:t xml:space="preserve">□适用 </w:t>
      </w:r>
      <w:r w:rsidR="00571D5D"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571D5D">
      <w:pPr>
        <w:pStyle w:val="a3"/>
        <w:widowControl w:val="0"/>
        <w:spacing w:before="0" w:beforeAutospacing="0" w:after="0" w:afterAutospacing="0" w:line="560" w:lineRule="exact"/>
        <w:ind w:firstLine="601"/>
        <w:jc w:val="both"/>
        <w:rPr>
          <w:rFonts w:ascii="仿宋" w:eastAsia="仿宋" w:hAnsi="仿宋"/>
          <w:b/>
          <w:sz w:val="28"/>
          <w:szCs w:val="28"/>
        </w:rPr>
      </w:pPr>
      <w:r w:rsidRPr="00980BC4">
        <w:rPr>
          <w:rFonts w:ascii="仿宋" w:eastAsia="仿宋" w:hAnsi="仿宋"/>
          <w:b/>
          <w:sz w:val="28"/>
          <w:szCs w:val="28"/>
        </w:rPr>
        <w:t>公司主要供应商情况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前五名供应商合计采购金额（元）</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75,180,173.64</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前五名供应商合计采购金额占年度采购总额比例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42.69%</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前五名供应商采购额中关联方采购额占年度采购总额比例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bl>
    <w:p w:rsidR="002A3304" w:rsidRPr="00980BC4" w:rsidRDefault="00DF4EBF" w:rsidP="00571D5D">
      <w:pPr>
        <w:pStyle w:val="a3"/>
        <w:widowControl w:val="0"/>
        <w:spacing w:before="0" w:beforeAutospacing="0" w:after="0" w:afterAutospacing="0" w:line="560" w:lineRule="exact"/>
        <w:ind w:firstLine="601"/>
        <w:jc w:val="both"/>
        <w:rPr>
          <w:rFonts w:ascii="仿宋" w:eastAsia="仿宋" w:hAnsi="仿宋"/>
          <w:b/>
          <w:sz w:val="28"/>
          <w:szCs w:val="28"/>
        </w:rPr>
      </w:pPr>
      <w:r w:rsidRPr="00980BC4">
        <w:rPr>
          <w:rFonts w:ascii="仿宋" w:eastAsia="仿宋" w:hAnsi="仿宋"/>
          <w:b/>
          <w:sz w:val="28"/>
          <w:szCs w:val="28"/>
        </w:rPr>
        <w:t>公司前5名供应商资料</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供应商名称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采购额（元）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占年度采购总额比例</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供应商一</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49,514,383.26</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22.28%</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供应商二</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13,276,460.18</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5.97%</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供应商三</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12,389,330.20</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5.57%</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供应商四</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11,104,475.04</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5.00%</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供应商五</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8,588,761.06</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3.86%</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75,180,173.64</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42.69%</w:t>
            </w:r>
          </w:p>
        </w:tc>
      </w:tr>
    </w:tbl>
    <w:p w:rsidR="002A3304" w:rsidRPr="00980BC4" w:rsidRDefault="00DF4EBF" w:rsidP="00571D5D">
      <w:pPr>
        <w:pStyle w:val="a3"/>
        <w:widowControl w:val="0"/>
        <w:spacing w:before="0" w:beforeAutospacing="0" w:after="0" w:afterAutospacing="0" w:line="560" w:lineRule="exact"/>
        <w:ind w:firstLine="601"/>
        <w:jc w:val="both"/>
        <w:rPr>
          <w:rFonts w:ascii="仿宋" w:eastAsia="仿宋" w:hAnsi="仿宋"/>
          <w:b/>
          <w:sz w:val="28"/>
          <w:szCs w:val="28"/>
        </w:rPr>
      </w:pPr>
      <w:r w:rsidRPr="00980BC4">
        <w:rPr>
          <w:rFonts w:ascii="仿宋" w:eastAsia="仿宋" w:hAnsi="仿宋"/>
          <w:b/>
          <w:sz w:val="28"/>
          <w:szCs w:val="28"/>
        </w:rPr>
        <w:t>主要供应商其他情况说明</w:t>
      </w:r>
    </w:p>
    <w:p w:rsidR="002A3304" w:rsidRPr="00980BC4" w:rsidRDefault="00DF4EBF" w:rsidP="00571D5D">
      <w:pPr>
        <w:pStyle w:val="a3"/>
        <w:widowControl w:val="0"/>
        <w:spacing w:before="0" w:beforeAutospacing="0" w:after="0" w:afterAutospacing="0" w:line="560" w:lineRule="exact"/>
        <w:ind w:firstLine="601"/>
        <w:jc w:val="both"/>
        <w:rPr>
          <w:rFonts w:ascii="仿宋" w:eastAsia="仿宋" w:hAnsi="仿宋"/>
          <w:sz w:val="28"/>
          <w:szCs w:val="28"/>
        </w:rPr>
      </w:pPr>
      <w:r w:rsidRPr="00980BC4">
        <w:rPr>
          <w:rFonts w:ascii="仿宋" w:eastAsia="仿宋" w:hAnsi="仿宋"/>
          <w:sz w:val="28"/>
          <w:szCs w:val="28"/>
        </w:rPr>
        <w:t xml:space="preserve">□适用 </w:t>
      </w:r>
      <w:r w:rsidR="00571D5D"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bCs w:val="0"/>
          <w:sz w:val="28"/>
          <w:szCs w:val="28"/>
        </w:rPr>
      </w:pPr>
      <w:bookmarkStart w:id="28" w:name="_Toc988917"/>
      <w:r w:rsidRPr="00980BC4">
        <w:rPr>
          <w:rStyle w:val="a4"/>
          <w:rFonts w:ascii="仿宋" w:eastAsia="仿宋" w:hAnsi="仿宋"/>
          <w:bCs w:val="0"/>
          <w:sz w:val="28"/>
          <w:szCs w:val="28"/>
        </w:rPr>
        <w:t>3、费用</w:t>
      </w:r>
      <w:bookmarkEnd w:id="28"/>
    </w:p>
    <w:p w:rsidR="008D0CA0" w:rsidRPr="00980BC4" w:rsidRDefault="008D0CA0" w:rsidP="00571D5D">
      <w:pPr>
        <w:pStyle w:val="a3"/>
        <w:spacing w:before="0" w:beforeAutospacing="0" w:after="0" w:afterAutospacing="0" w:line="560" w:lineRule="exact"/>
        <w:ind w:firstLine="560"/>
        <w:jc w:val="both"/>
        <w:rPr>
          <w:rStyle w:val="a4"/>
          <w:rFonts w:ascii="仿宋" w:eastAsia="仿宋" w:hAnsi="仿宋"/>
          <w:bCs w:val="0"/>
          <w:sz w:val="28"/>
          <w:szCs w:val="28"/>
        </w:rPr>
      </w:pPr>
    </w:p>
    <w:p w:rsidR="002A3304" w:rsidRPr="00980BC4" w:rsidRDefault="00DF4EBF">
      <w:pPr>
        <w:spacing w:before="40" w:after="40" w:line="240" w:lineRule="exact"/>
        <w:jc w:val="right"/>
        <w:rPr>
          <w:rFonts w:ascii="宋体" w:eastAsia="宋体" w:hAnsi="宋体" w:cs="宋体"/>
          <w:sz w:val="18"/>
          <w:szCs w:val="18"/>
        </w:rPr>
      </w:pPr>
      <w:r w:rsidRPr="00980BC4">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725"/>
        <w:gridCol w:w="1985"/>
        <w:gridCol w:w="1701"/>
        <w:gridCol w:w="2301"/>
      </w:tblGrid>
      <w:tr w:rsidR="002A3304" w:rsidRPr="00980BC4" w:rsidTr="00571D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571D5D">
            <w:pPr>
              <w:spacing w:line="280" w:lineRule="exact"/>
            </w:pPr>
          </w:p>
        </w:tc>
        <w:tc>
          <w:tcPr>
            <w:tcW w:w="172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2021年</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同比增减</w:t>
            </w: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重大变动说明</w:t>
            </w:r>
          </w:p>
        </w:tc>
      </w:tr>
      <w:tr w:rsidR="002A3304" w:rsidRPr="00980BC4" w:rsidTr="00571D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销售费用</w:t>
            </w:r>
          </w:p>
        </w:tc>
        <w:tc>
          <w:tcPr>
            <w:tcW w:w="17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30,195,807.26</w:t>
            </w:r>
          </w:p>
        </w:tc>
        <w:tc>
          <w:tcPr>
            <w:tcW w:w="19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27,848,292.63</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8.43%</w:t>
            </w:r>
          </w:p>
        </w:tc>
        <w:tc>
          <w:tcPr>
            <w:tcW w:w="230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571D5D">
            <w:pPr>
              <w:spacing w:line="280" w:lineRule="exact"/>
              <w:rPr>
                <w:rFonts w:ascii="宋体" w:eastAsia="宋体" w:hAnsi="宋体" w:cs="宋体"/>
                <w:sz w:val="18"/>
                <w:szCs w:val="18"/>
              </w:rPr>
            </w:pPr>
          </w:p>
        </w:tc>
      </w:tr>
      <w:tr w:rsidR="002A3304" w:rsidRPr="00980BC4" w:rsidTr="00571D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管理费用</w:t>
            </w:r>
          </w:p>
        </w:tc>
        <w:tc>
          <w:tcPr>
            <w:tcW w:w="17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60,715,991.69</w:t>
            </w:r>
          </w:p>
        </w:tc>
        <w:tc>
          <w:tcPr>
            <w:tcW w:w="19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69,548,714.72</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-12.70%</w:t>
            </w:r>
          </w:p>
        </w:tc>
        <w:tc>
          <w:tcPr>
            <w:tcW w:w="230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571D5D">
            <w:pPr>
              <w:spacing w:line="280" w:lineRule="exact"/>
              <w:rPr>
                <w:rFonts w:ascii="宋体" w:eastAsia="宋体" w:hAnsi="宋体" w:cs="宋体"/>
                <w:sz w:val="18"/>
                <w:szCs w:val="18"/>
              </w:rPr>
            </w:pPr>
          </w:p>
        </w:tc>
      </w:tr>
      <w:tr w:rsidR="002A3304" w:rsidRPr="00980BC4" w:rsidTr="00571D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财务费用</w:t>
            </w:r>
          </w:p>
        </w:tc>
        <w:tc>
          <w:tcPr>
            <w:tcW w:w="17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1,401,880.36</w:t>
            </w:r>
          </w:p>
        </w:tc>
        <w:tc>
          <w:tcPr>
            <w:tcW w:w="19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-4,141,422.58</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133.85%</w:t>
            </w:r>
          </w:p>
        </w:tc>
        <w:tc>
          <w:tcPr>
            <w:tcW w:w="2301" w:type="dxa"/>
            <w:tcBorders>
              <w:top w:val="single" w:sz="2" w:space="0" w:color="auto"/>
              <w:left w:val="single" w:sz="2" w:space="0" w:color="auto"/>
              <w:bottom w:val="single" w:sz="2" w:space="0" w:color="auto"/>
              <w:right w:val="single" w:sz="2" w:space="0" w:color="auto"/>
            </w:tcBorders>
            <w:vAlign w:val="center"/>
          </w:tcPr>
          <w:p w:rsidR="002A3304" w:rsidRPr="00980BC4" w:rsidRDefault="00E46BCB" w:rsidP="00571D5D">
            <w:pPr>
              <w:spacing w:line="280" w:lineRule="exact"/>
              <w:rPr>
                <w:rFonts w:ascii="宋体" w:eastAsia="宋体" w:hAnsi="宋体" w:cs="宋体"/>
                <w:sz w:val="18"/>
                <w:szCs w:val="18"/>
              </w:rPr>
            </w:pPr>
            <w:r w:rsidRPr="00980BC4">
              <w:rPr>
                <w:rFonts w:ascii="宋体" w:eastAsia="宋体" w:hAnsi="宋体" w:cs="宋体"/>
                <w:sz w:val="18"/>
                <w:szCs w:val="18"/>
              </w:rPr>
              <w:t>1、存款收益减少；2、租赁支出摊销至财务费用金额增加。</w:t>
            </w:r>
          </w:p>
        </w:tc>
      </w:tr>
      <w:tr w:rsidR="002A3304" w:rsidRPr="00980BC4" w:rsidTr="00571D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研发费用</w:t>
            </w:r>
          </w:p>
        </w:tc>
        <w:tc>
          <w:tcPr>
            <w:tcW w:w="17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72,840,111.49</w:t>
            </w:r>
          </w:p>
        </w:tc>
        <w:tc>
          <w:tcPr>
            <w:tcW w:w="19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50,643,326.97</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43.83%</w:t>
            </w:r>
          </w:p>
        </w:tc>
        <w:tc>
          <w:tcPr>
            <w:tcW w:w="23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本年加大研发投入，提升技术竞争力。</w:t>
            </w:r>
          </w:p>
        </w:tc>
      </w:tr>
    </w:tbl>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bookmarkStart w:id="29" w:name="_Toc988918"/>
      <w:r w:rsidRPr="00980BC4">
        <w:rPr>
          <w:rStyle w:val="a4"/>
          <w:rFonts w:ascii="仿宋" w:eastAsia="仿宋" w:hAnsi="仿宋"/>
          <w:sz w:val="28"/>
          <w:szCs w:val="28"/>
        </w:rPr>
        <w:t>4、研发投入</w:t>
      </w:r>
      <w:bookmarkEnd w:id="29"/>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b w:val="0"/>
          <w:sz w:val="28"/>
          <w:szCs w:val="28"/>
        </w:rPr>
      </w:pPr>
      <w:r w:rsidRPr="00980BC4">
        <w:rPr>
          <w:rStyle w:val="a4"/>
          <w:rFonts w:ascii="仿宋" w:eastAsia="仿宋" w:hAnsi="仿宋"/>
          <w:b w:val="0"/>
          <w:sz w:val="28"/>
          <w:szCs w:val="28"/>
        </w:rPr>
        <w:sym w:font="Wingdings 2" w:char="F052"/>
      </w:r>
      <w:r w:rsidRPr="00980BC4">
        <w:rPr>
          <w:rStyle w:val="a4"/>
          <w:rFonts w:ascii="仿宋" w:eastAsia="仿宋" w:hAnsi="仿宋"/>
          <w:b w:val="0"/>
          <w:sz w:val="28"/>
          <w:szCs w:val="28"/>
        </w:rPr>
        <w:t xml:space="preserve">适用 </w:t>
      </w:r>
      <w:r w:rsidR="00571D5D" w:rsidRPr="00980BC4">
        <w:rPr>
          <w:rStyle w:val="a4"/>
          <w:rFonts w:ascii="仿宋" w:eastAsia="仿宋" w:hAnsi="仿宋" w:hint="eastAsia"/>
          <w:b w:val="0"/>
          <w:sz w:val="28"/>
          <w:szCs w:val="28"/>
        </w:rPr>
        <w:t xml:space="preserve"> </w:t>
      </w:r>
      <w:r w:rsidRPr="00980BC4">
        <w:rPr>
          <w:rStyle w:val="a4"/>
          <w:rFonts w:ascii="仿宋" w:eastAsia="仿宋" w:hAnsi="仿宋"/>
          <w:b w:val="0"/>
          <w:sz w:val="28"/>
          <w:szCs w:val="28"/>
        </w:rPr>
        <w:t>□不适用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101"/>
        <w:gridCol w:w="2551"/>
        <w:gridCol w:w="1559"/>
        <w:gridCol w:w="1701"/>
        <w:gridCol w:w="2727"/>
      </w:tblGrid>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主要研发项目名称</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项目目的</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项目进展</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拟达到的目标</w:t>
            </w:r>
          </w:p>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预计对公司未来发展的影响</w:t>
            </w:r>
          </w:p>
        </w:tc>
      </w:tr>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JG1</w:t>
            </w:r>
          </w:p>
        </w:tc>
        <w:tc>
          <w:tcPr>
            <w:tcW w:w="25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丰富公司全国产化产品线</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小批验证</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大范围推广</w:t>
            </w:r>
          </w:p>
        </w:tc>
        <w:tc>
          <w:tcPr>
            <w:tcW w:w="27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使用范围较广，可成为公司主力产品</w:t>
            </w:r>
          </w:p>
        </w:tc>
      </w:tr>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JG2</w:t>
            </w:r>
          </w:p>
        </w:tc>
        <w:tc>
          <w:tcPr>
            <w:tcW w:w="25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丰富公司全国产化产品线</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小批验证</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大范围推广</w:t>
            </w:r>
          </w:p>
        </w:tc>
        <w:tc>
          <w:tcPr>
            <w:tcW w:w="27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使用范围较广，可成为公司主力产品</w:t>
            </w:r>
          </w:p>
        </w:tc>
      </w:tr>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JG3</w:t>
            </w:r>
          </w:p>
        </w:tc>
        <w:tc>
          <w:tcPr>
            <w:tcW w:w="25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提升功率，提高竞争力</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已批产</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大范围推广</w:t>
            </w:r>
          </w:p>
        </w:tc>
        <w:tc>
          <w:tcPr>
            <w:tcW w:w="27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使用范围较广，可成为公司主力产品</w:t>
            </w:r>
          </w:p>
        </w:tc>
      </w:tr>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JG4</w:t>
            </w:r>
          </w:p>
        </w:tc>
        <w:tc>
          <w:tcPr>
            <w:tcW w:w="25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提升功率，提高竞争力</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已批产</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大范围推广</w:t>
            </w:r>
          </w:p>
        </w:tc>
        <w:tc>
          <w:tcPr>
            <w:tcW w:w="27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使用范围较广，可成为公司主力产品</w:t>
            </w:r>
          </w:p>
        </w:tc>
      </w:tr>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JG5</w:t>
            </w:r>
          </w:p>
        </w:tc>
        <w:tc>
          <w:tcPr>
            <w:tcW w:w="25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丰富公司全国产化产品线</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小批验证</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大范围推广</w:t>
            </w:r>
          </w:p>
        </w:tc>
        <w:tc>
          <w:tcPr>
            <w:tcW w:w="27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使用范围较广，可成为公司主力产品</w:t>
            </w:r>
          </w:p>
        </w:tc>
      </w:tr>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JG6</w:t>
            </w:r>
          </w:p>
        </w:tc>
        <w:tc>
          <w:tcPr>
            <w:tcW w:w="25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丰富公司全国产化产品线</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小批验证</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大范围推广</w:t>
            </w:r>
          </w:p>
        </w:tc>
        <w:tc>
          <w:tcPr>
            <w:tcW w:w="27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使用范围较广，可成为公司主力产品</w:t>
            </w:r>
          </w:p>
        </w:tc>
      </w:tr>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JG7</w:t>
            </w:r>
          </w:p>
        </w:tc>
        <w:tc>
          <w:tcPr>
            <w:tcW w:w="25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提高产品多元性，丰富公司产线</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应用转化</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实现批量生产，并推进应用</w:t>
            </w:r>
          </w:p>
        </w:tc>
        <w:tc>
          <w:tcPr>
            <w:tcW w:w="27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丰富产品线，提高企业竞争力</w:t>
            </w:r>
          </w:p>
        </w:tc>
      </w:tr>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JG8</w:t>
            </w:r>
          </w:p>
        </w:tc>
        <w:tc>
          <w:tcPr>
            <w:tcW w:w="25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提高产品多元性，丰富公司产线</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技术优化，应用推进</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实现批量生产，并推进应用</w:t>
            </w:r>
          </w:p>
        </w:tc>
        <w:tc>
          <w:tcPr>
            <w:tcW w:w="27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丰富产品线，提高企业竞争力</w:t>
            </w:r>
          </w:p>
        </w:tc>
      </w:tr>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JG9</w:t>
            </w:r>
          </w:p>
        </w:tc>
        <w:tc>
          <w:tcPr>
            <w:tcW w:w="25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产品价值高，提高竞争力</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技术优化，应用推进</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实现批量生产，并推进应用</w:t>
            </w:r>
          </w:p>
        </w:tc>
        <w:tc>
          <w:tcPr>
            <w:tcW w:w="27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丰富产品线，提高企业竞争力</w:t>
            </w:r>
          </w:p>
        </w:tc>
      </w:tr>
      <w:tr w:rsidR="002A3304" w:rsidRPr="00980BC4" w:rsidTr="00571D5D">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JG10</w:t>
            </w:r>
          </w:p>
        </w:tc>
        <w:tc>
          <w:tcPr>
            <w:tcW w:w="255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提高产品多元性，丰富公司产线</w:t>
            </w:r>
          </w:p>
        </w:tc>
        <w:tc>
          <w:tcPr>
            <w:tcW w:w="155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技术优化，应用推进</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实现批量生产，并推进应用</w:t>
            </w:r>
          </w:p>
        </w:tc>
        <w:tc>
          <w:tcPr>
            <w:tcW w:w="27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丰富产品线，提高企业竞争力</w:t>
            </w:r>
          </w:p>
        </w:tc>
      </w:tr>
    </w:tbl>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r w:rsidRPr="00980BC4">
        <w:rPr>
          <w:rStyle w:val="a4"/>
          <w:rFonts w:ascii="仿宋" w:eastAsia="仿宋" w:hAnsi="仿宋"/>
          <w:sz w:val="28"/>
          <w:szCs w:val="28"/>
        </w:rPr>
        <w:t>公司研发人员情况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571D5D">
            <w:pPr>
              <w:spacing w:line="28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2021年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变动比例</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研发人员数量（人）</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166</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122</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36.07%</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研发人员数量占比</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37.05%</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43.87%</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-6.82%</w:t>
            </w:r>
          </w:p>
        </w:tc>
      </w:tr>
      <w:tr w:rsidR="002A3304" w:rsidRPr="00980BC4">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研发人员学历结构</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本科</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90</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74</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21.62%</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硕士</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12</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15</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20.00%</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64</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33</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93.94%</w:t>
            </w:r>
          </w:p>
        </w:tc>
      </w:tr>
      <w:tr w:rsidR="002A3304" w:rsidRPr="00980BC4">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研发人员年龄构成</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30岁以下</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104</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68</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52.94%</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30~40岁</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49</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40</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22.50%</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13</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14</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-7.17%</w:t>
            </w:r>
          </w:p>
        </w:tc>
      </w:tr>
    </w:tbl>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r w:rsidRPr="00980BC4">
        <w:rPr>
          <w:rStyle w:val="a4"/>
          <w:rFonts w:ascii="仿宋" w:eastAsia="仿宋" w:hAnsi="仿宋"/>
          <w:sz w:val="28"/>
          <w:szCs w:val="28"/>
        </w:rPr>
        <w:t>公司研发投入情况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943"/>
        <w:gridCol w:w="2127"/>
        <w:gridCol w:w="2268"/>
        <w:gridCol w:w="2301"/>
      </w:tblGrid>
      <w:tr w:rsidR="002A3304"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571D5D">
            <w:pPr>
              <w:spacing w:line="280" w:lineRule="exact"/>
            </w:pPr>
          </w:p>
        </w:tc>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2021年</w:t>
            </w: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变动比例</w:t>
            </w:r>
          </w:p>
        </w:tc>
      </w:tr>
      <w:tr w:rsidR="002A3304"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研发投入金额（元）</w:t>
            </w:r>
          </w:p>
        </w:tc>
        <w:tc>
          <w:tcPr>
            <w:tcW w:w="21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72,840,111.49</w:t>
            </w:r>
          </w:p>
        </w:tc>
        <w:tc>
          <w:tcPr>
            <w:tcW w:w="226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50,643,326.97</w:t>
            </w:r>
          </w:p>
        </w:tc>
        <w:tc>
          <w:tcPr>
            <w:tcW w:w="23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43.83%</w:t>
            </w:r>
          </w:p>
        </w:tc>
      </w:tr>
      <w:tr w:rsidR="002A3304"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研发投入占营业收入比例</w:t>
            </w:r>
          </w:p>
        </w:tc>
        <w:tc>
          <w:tcPr>
            <w:tcW w:w="21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16.35%</w:t>
            </w:r>
          </w:p>
        </w:tc>
        <w:tc>
          <w:tcPr>
            <w:tcW w:w="226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9.38%</w:t>
            </w:r>
          </w:p>
        </w:tc>
        <w:tc>
          <w:tcPr>
            <w:tcW w:w="23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6.97%</w:t>
            </w:r>
          </w:p>
        </w:tc>
      </w:tr>
      <w:tr w:rsidR="002A3304"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研发投入资本化的金额（元）</w:t>
            </w:r>
          </w:p>
        </w:tc>
        <w:tc>
          <w:tcPr>
            <w:tcW w:w="21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23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2A3304"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资本化研发投入占研发投入的比例</w:t>
            </w:r>
          </w:p>
        </w:tc>
        <w:tc>
          <w:tcPr>
            <w:tcW w:w="212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226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23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bl>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r w:rsidRPr="00980BC4">
        <w:rPr>
          <w:rStyle w:val="a4"/>
          <w:rFonts w:ascii="仿宋" w:eastAsia="仿宋" w:hAnsi="仿宋"/>
          <w:sz w:val="28"/>
          <w:szCs w:val="28"/>
        </w:rPr>
        <w:t>公司研发人员构成发生重大变化的原因及影响</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b w:val="0"/>
          <w:sz w:val="28"/>
          <w:szCs w:val="28"/>
        </w:rPr>
      </w:pPr>
      <w:r w:rsidRPr="00980BC4">
        <w:rPr>
          <w:rStyle w:val="a4"/>
          <w:rFonts w:ascii="仿宋" w:eastAsia="仿宋" w:hAnsi="仿宋"/>
          <w:b w:val="0"/>
          <w:sz w:val="28"/>
          <w:szCs w:val="28"/>
        </w:rPr>
        <w:t xml:space="preserve">□适用 </w:t>
      </w:r>
      <w:r w:rsidR="00571D5D" w:rsidRPr="00980BC4">
        <w:rPr>
          <w:rStyle w:val="a4"/>
          <w:rFonts w:ascii="仿宋" w:eastAsia="仿宋" w:hAnsi="仿宋" w:hint="eastAsia"/>
          <w:b w:val="0"/>
          <w:sz w:val="28"/>
          <w:szCs w:val="28"/>
        </w:rPr>
        <w:t xml:space="preserve"> </w:t>
      </w:r>
      <w:r w:rsidRPr="00980BC4">
        <w:rPr>
          <w:rStyle w:val="a4"/>
          <w:rFonts w:ascii="仿宋" w:eastAsia="仿宋" w:hAnsi="仿宋"/>
          <w:b w:val="0"/>
          <w:sz w:val="28"/>
          <w:szCs w:val="28"/>
        </w:rPr>
        <w:sym w:font="Wingdings 2" w:char="F052"/>
      </w:r>
      <w:r w:rsidRPr="00980BC4">
        <w:rPr>
          <w:rStyle w:val="a4"/>
          <w:rFonts w:ascii="仿宋" w:eastAsia="仿宋" w:hAnsi="仿宋"/>
          <w:b w:val="0"/>
          <w:sz w:val="28"/>
          <w:szCs w:val="28"/>
        </w:rPr>
        <w:t>不适用</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r w:rsidRPr="00980BC4">
        <w:rPr>
          <w:rStyle w:val="a4"/>
          <w:rFonts w:ascii="仿宋" w:eastAsia="仿宋" w:hAnsi="仿宋"/>
          <w:sz w:val="28"/>
          <w:szCs w:val="28"/>
        </w:rPr>
        <w:t>研发投入总额占营业收入的比重较上年发生显著变化的原因</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b w:val="0"/>
          <w:sz w:val="28"/>
          <w:szCs w:val="28"/>
        </w:rPr>
      </w:pPr>
      <w:r w:rsidRPr="00980BC4">
        <w:rPr>
          <w:rStyle w:val="a4"/>
          <w:rFonts w:ascii="仿宋" w:eastAsia="仿宋" w:hAnsi="仿宋"/>
          <w:b w:val="0"/>
          <w:sz w:val="28"/>
          <w:szCs w:val="28"/>
        </w:rPr>
        <w:sym w:font="Wingdings 2" w:char="F052"/>
      </w:r>
      <w:r w:rsidRPr="00980BC4">
        <w:rPr>
          <w:rStyle w:val="a4"/>
          <w:rFonts w:ascii="仿宋" w:eastAsia="仿宋" w:hAnsi="仿宋"/>
          <w:b w:val="0"/>
          <w:sz w:val="28"/>
          <w:szCs w:val="28"/>
        </w:rPr>
        <w:t xml:space="preserve">适用 </w:t>
      </w:r>
      <w:r w:rsidR="00571D5D" w:rsidRPr="00980BC4">
        <w:rPr>
          <w:rStyle w:val="a4"/>
          <w:rFonts w:ascii="仿宋" w:eastAsia="仿宋" w:hAnsi="仿宋" w:hint="eastAsia"/>
          <w:b w:val="0"/>
          <w:sz w:val="28"/>
          <w:szCs w:val="28"/>
        </w:rPr>
        <w:t xml:space="preserve"> </w:t>
      </w:r>
      <w:r w:rsidRPr="00980BC4">
        <w:rPr>
          <w:rStyle w:val="a4"/>
          <w:rFonts w:ascii="仿宋" w:eastAsia="仿宋" w:hAnsi="仿宋"/>
          <w:b w:val="0"/>
          <w:sz w:val="28"/>
          <w:szCs w:val="28"/>
        </w:rPr>
        <w:t>□不适用</w:t>
      </w:r>
    </w:p>
    <w:p w:rsidR="002A3304" w:rsidRPr="00980BC4" w:rsidRDefault="002A3304" w:rsidP="00571D5D">
      <w:pPr>
        <w:pStyle w:val="a3"/>
        <w:spacing w:before="0" w:beforeAutospacing="0" w:after="0" w:afterAutospacing="0" w:line="560" w:lineRule="exact"/>
        <w:ind w:firstLine="560"/>
        <w:divId w:val="1809663237"/>
        <w:rPr>
          <w:rFonts w:ascii="Times New Roman" w:hAnsi="Times New Roman" w:cs="Times New Roman"/>
          <w:sz w:val="18"/>
          <w:szCs w:val="18"/>
        </w:rPr>
      </w:pPr>
      <w:r w:rsidRPr="00980BC4">
        <w:rPr>
          <w:rFonts w:ascii="仿宋" w:eastAsia="仿宋" w:hAnsi="仿宋" w:cs="Times New Roman" w:hint="eastAsia"/>
          <w:sz w:val="28"/>
          <w:szCs w:val="28"/>
        </w:rPr>
        <w:t>本年度研发投入总额为</w:t>
      </w:r>
      <w:r w:rsidRPr="00980BC4">
        <w:rPr>
          <w:rFonts w:ascii="仿宋" w:eastAsia="仿宋" w:hAnsi="仿宋" w:cs="Times New Roman" w:hint="eastAsia"/>
          <w:color w:val="333333"/>
          <w:sz w:val="28"/>
          <w:szCs w:val="28"/>
          <w:shd w:val="clear" w:color="auto" w:fill="FFFFFF"/>
        </w:rPr>
        <w:t>72,840,111.49</w:t>
      </w:r>
      <w:r w:rsidRPr="00980BC4">
        <w:rPr>
          <w:rFonts w:ascii="仿宋" w:eastAsia="仿宋" w:hAnsi="仿宋" w:cs="Times New Roman" w:hint="eastAsia"/>
          <w:sz w:val="28"/>
          <w:szCs w:val="28"/>
        </w:rPr>
        <w:t>元，占营业收入的比重为</w:t>
      </w:r>
      <w:r w:rsidRPr="00980BC4">
        <w:rPr>
          <w:rFonts w:ascii="仿宋" w:eastAsia="仿宋" w:hAnsi="仿宋" w:cs="Times New Roman" w:hint="eastAsia"/>
          <w:color w:val="333333"/>
          <w:sz w:val="28"/>
          <w:szCs w:val="28"/>
          <w:shd w:val="clear" w:color="auto" w:fill="FFFFFF"/>
        </w:rPr>
        <w:t>16.30%</w:t>
      </w:r>
      <w:r w:rsidRPr="00980BC4">
        <w:rPr>
          <w:rFonts w:ascii="仿宋" w:eastAsia="仿宋" w:hAnsi="仿宋" w:cs="Times New Roman" w:hint="eastAsia"/>
          <w:sz w:val="28"/>
          <w:szCs w:val="28"/>
        </w:rPr>
        <w:t>，较上年增加</w:t>
      </w:r>
      <w:r w:rsidRPr="00980BC4">
        <w:rPr>
          <w:rFonts w:ascii="仿宋" w:eastAsia="仿宋" w:hAnsi="仿宋" w:cs="Times New Roman" w:hint="eastAsia"/>
          <w:color w:val="333333"/>
          <w:sz w:val="28"/>
          <w:szCs w:val="28"/>
          <w:shd w:val="clear" w:color="auto" w:fill="FFFFFF"/>
        </w:rPr>
        <w:t>6.92%</w:t>
      </w:r>
      <w:r w:rsidRPr="00980BC4">
        <w:rPr>
          <w:rFonts w:ascii="仿宋" w:eastAsia="仿宋" w:hAnsi="仿宋" w:cs="Times New Roman" w:hint="eastAsia"/>
          <w:sz w:val="28"/>
          <w:szCs w:val="28"/>
        </w:rPr>
        <w:t>，比重明显增加，主要为本年度公司为抓住市场机遇，巩固和提升研发技术水平，加大了研发投入的力度。</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r w:rsidRPr="00980BC4">
        <w:rPr>
          <w:rStyle w:val="a4"/>
          <w:rFonts w:ascii="仿宋" w:eastAsia="仿宋" w:hAnsi="仿宋"/>
          <w:sz w:val="28"/>
          <w:szCs w:val="28"/>
        </w:rPr>
        <w:t>研发投入资本化率大幅变动的原因及其合理性说明</w:t>
      </w:r>
    </w:p>
    <w:p w:rsidR="002A3304" w:rsidRPr="00980BC4" w:rsidRDefault="00DF4EBF" w:rsidP="00571D5D">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□适用</w:t>
      </w:r>
      <w:r w:rsidR="00571D5D"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不适用</w:t>
      </w:r>
    </w:p>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bCs w:val="0"/>
          <w:sz w:val="28"/>
          <w:szCs w:val="28"/>
        </w:rPr>
      </w:pPr>
      <w:bookmarkStart w:id="30" w:name="_Toc988919"/>
      <w:r w:rsidRPr="00980BC4">
        <w:rPr>
          <w:rStyle w:val="a4"/>
          <w:rFonts w:ascii="仿宋" w:eastAsia="仿宋" w:hAnsi="仿宋"/>
          <w:bCs w:val="0"/>
          <w:sz w:val="28"/>
          <w:szCs w:val="28"/>
        </w:rPr>
        <w:t>5、现金流</w:t>
      </w:r>
      <w:bookmarkEnd w:id="30"/>
    </w:p>
    <w:p w:rsidR="002A3304" w:rsidRPr="00980BC4" w:rsidRDefault="00DF4EBF">
      <w:pPr>
        <w:spacing w:before="40" w:after="4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943"/>
        <w:gridCol w:w="1876"/>
        <w:gridCol w:w="2410"/>
        <w:gridCol w:w="2410"/>
      </w:tblGrid>
      <w:tr w:rsidR="002A3304"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2021年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同比增减</w:t>
            </w:r>
          </w:p>
        </w:tc>
      </w:tr>
      <w:tr w:rsidR="00863E71"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863E71" w:rsidRPr="00980BC4" w:rsidRDefault="00863E71"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经营活动现金流入小计</w:t>
            </w:r>
          </w:p>
        </w:tc>
        <w:tc>
          <w:tcPr>
            <w:tcW w:w="1876"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980BC4">
              <w:rPr>
                <w:rFonts w:ascii="宋体" w:eastAsia="宋体" w:hAnsi="宋体" w:cs="宋体"/>
                <w:sz w:val="18"/>
                <w:szCs w:val="18"/>
              </w:rPr>
              <w:t>350,849,852.58</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980BC4">
              <w:rPr>
                <w:rFonts w:ascii="宋体" w:eastAsia="宋体" w:hAnsi="宋体" w:cs="宋体"/>
                <w:sz w:val="18"/>
                <w:szCs w:val="18"/>
              </w:rPr>
              <w:t>632,064,783.44</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980BC4">
              <w:rPr>
                <w:rFonts w:ascii="宋体" w:eastAsia="宋体" w:hAnsi="宋体" w:cs="宋体"/>
                <w:sz w:val="18"/>
                <w:szCs w:val="18"/>
              </w:rPr>
              <w:t>-44.49%</w:t>
            </w:r>
          </w:p>
        </w:tc>
      </w:tr>
      <w:tr w:rsidR="00863E71"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863E71" w:rsidRPr="00980BC4" w:rsidRDefault="00863E71"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经营活动现金流出小计</w:t>
            </w:r>
          </w:p>
        </w:tc>
        <w:tc>
          <w:tcPr>
            <w:tcW w:w="1876"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EE7950">
              <w:rPr>
                <w:rFonts w:ascii="宋体" w:eastAsia="宋体" w:hAnsi="宋体" w:cs="宋体"/>
                <w:sz w:val="18"/>
                <w:szCs w:val="18"/>
              </w:rPr>
              <w:t>403,916,201.08</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980BC4">
              <w:rPr>
                <w:rFonts w:ascii="宋体" w:eastAsia="宋体" w:hAnsi="宋体" w:cs="宋体"/>
                <w:sz w:val="18"/>
                <w:szCs w:val="18"/>
              </w:rPr>
              <w:t>511,680,220.22</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EE7950">
              <w:rPr>
                <w:rFonts w:ascii="宋体" w:eastAsia="宋体" w:hAnsi="宋体" w:cs="宋体"/>
                <w:sz w:val="18"/>
                <w:szCs w:val="18"/>
              </w:rPr>
              <w:t>-21.06%</w:t>
            </w:r>
          </w:p>
        </w:tc>
      </w:tr>
      <w:tr w:rsidR="00863E71"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863E71" w:rsidRPr="00980BC4" w:rsidRDefault="00863E71"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经营活动产生的现金流量净额</w:t>
            </w:r>
          </w:p>
        </w:tc>
        <w:tc>
          <w:tcPr>
            <w:tcW w:w="1876"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EE7950">
              <w:rPr>
                <w:rFonts w:ascii="宋体" w:eastAsia="宋体" w:hAnsi="宋体" w:cs="宋体"/>
                <w:sz w:val="18"/>
                <w:szCs w:val="18"/>
              </w:rPr>
              <w:t>-53,066,348.50</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980BC4">
              <w:rPr>
                <w:rFonts w:ascii="宋体" w:eastAsia="宋体" w:hAnsi="宋体" w:cs="宋体"/>
                <w:sz w:val="18"/>
                <w:szCs w:val="18"/>
              </w:rPr>
              <w:t>120,384,563.22</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EE7950">
              <w:rPr>
                <w:rFonts w:ascii="宋体" w:eastAsia="宋体" w:hAnsi="宋体" w:cs="宋体"/>
                <w:sz w:val="18"/>
                <w:szCs w:val="18"/>
              </w:rPr>
              <w:t>-144.08%</w:t>
            </w:r>
          </w:p>
        </w:tc>
      </w:tr>
      <w:tr w:rsidR="00863E71"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863E71" w:rsidRPr="00980BC4" w:rsidRDefault="00863E71"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投资活动现金流入小计</w:t>
            </w:r>
          </w:p>
        </w:tc>
        <w:tc>
          <w:tcPr>
            <w:tcW w:w="1876"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264B53">
            <w:pPr>
              <w:spacing w:line="280" w:lineRule="exact"/>
              <w:jc w:val="right"/>
              <w:rPr>
                <w:rFonts w:ascii="宋体" w:eastAsia="宋体" w:hAnsi="宋体" w:cs="宋体"/>
                <w:sz w:val="18"/>
                <w:szCs w:val="18"/>
              </w:rPr>
            </w:pPr>
            <w:r w:rsidRPr="00EE7950">
              <w:rPr>
                <w:rFonts w:ascii="宋体" w:eastAsia="宋体" w:hAnsi="宋体" w:cs="宋体"/>
                <w:sz w:val="18"/>
                <w:szCs w:val="18"/>
              </w:rPr>
              <w:t>2,333,768,639.0</w:t>
            </w:r>
            <w:r w:rsidR="00264B53">
              <w:rPr>
                <w:rFonts w:ascii="宋体" w:eastAsia="宋体" w:hAnsi="宋体" w:cs="宋体" w:hint="eastAsia"/>
                <w:sz w:val="18"/>
                <w:szCs w:val="18"/>
              </w:rPr>
              <w:t>7</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980BC4">
              <w:rPr>
                <w:rFonts w:ascii="宋体" w:eastAsia="宋体" w:hAnsi="宋体" w:cs="宋体"/>
                <w:sz w:val="18"/>
                <w:szCs w:val="18"/>
              </w:rPr>
              <w:t>3,321,176,014.79</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EE7950">
              <w:rPr>
                <w:rFonts w:ascii="宋体" w:eastAsia="宋体" w:hAnsi="宋体" w:cs="宋体"/>
                <w:sz w:val="18"/>
                <w:szCs w:val="18"/>
              </w:rPr>
              <w:t>-29.73%</w:t>
            </w:r>
          </w:p>
        </w:tc>
      </w:tr>
      <w:tr w:rsidR="00863E71"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863E71" w:rsidRPr="00980BC4" w:rsidRDefault="00863E71"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投资活动现金流出小计</w:t>
            </w:r>
          </w:p>
        </w:tc>
        <w:tc>
          <w:tcPr>
            <w:tcW w:w="1876"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EE7950">
              <w:rPr>
                <w:rFonts w:ascii="宋体" w:eastAsia="宋体" w:hAnsi="宋体" w:cs="宋体"/>
                <w:sz w:val="18"/>
                <w:szCs w:val="18"/>
              </w:rPr>
              <w:t>2,249,272,544.74</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980BC4">
              <w:rPr>
                <w:rFonts w:ascii="宋体" w:eastAsia="宋体" w:hAnsi="宋体" w:cs="宋体"/>
                <w:sz w:val="18"/>
                <w:szCs w:val="18"/>
              </w:rPr>
              <w:t>3,689,806,246.96</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EE7950">
              <w:rPr>
                <w:rFonts w:ascii="宋体" w:eastAsia="宋体" w:hAnsi="宋体" w:cs="宋体"/>
                <w:sz w:val="18"/>
                <w:szCs w:val="18"/>
              </w:rPr>
              <w:t>-39.04%</w:t>
            </w:r>
          </w:p>
        </w:tc>
      </w:tr>
      <w:tr w:rsidR="00863E71"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863E71" w:rsidRPr="00980BC4" w:rsidRDefault="00863E71"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投资活动产生的现金流量净额</w:t>
            </w:r>
          </w:p>
        </w:tc>
        <w:tc>
          <w:tcPr>
            <w:tcW w:w="1876"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264B53">
            <w:pPr>
              <w:spacing w:line="280" w:lineRule="exact"/>
              <w:jc w:val="right"/>
              <w:rPr>
                <w:rFonts w:ascii="宋体" w:eastAsia="宋体" w:hAnsi="宋体" w:cs="宋体"/>
                <w:sz w:val="18"/>
                <w:szCs w:val="18"/>
              </w:rPr>
            </w:pPr>
            <w:r w:rsidRPr="00EE7950">
              <w:rPr>
                <w:rFonts w:ascii="宋体" w:eastAsia="宋体" w:hAnsi="宋体" w:cs="宋体"/>
                <w:sz w:val="18"/>
                <w:szCs w:val="18"/>
              </w:rPr>
              <w:t>84,496,094.</w:t>
            </w:r>
            <w:r w:rsidR="00264B53">
              <w:rPr>
                <w:rFonts w:ascii="宋体" w:eastAsia="宋体" w:hAnsi="宋体" w:cs="宋体" w:hint="eastAsia"/>
                <w:sz w:val="18"/>
                <w:szCs w:val="18"/>
              </w:rPr>
              <w:t>33</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980BC4">
              <w:rPr>
                <w:rFonts w:ascii="宋体" w:eastAsia="宋体" w:hAnsi="宋体" w:cs="宋体"/>
                <w:sz w:val="18"/>
                <w:szCs w:val="18"/>
              </w:rPr>
              <w:t>-368,630,232.17</w:t>
            </w:r>
          </w:p>
        </w:tc>
        <w:tc>
          <w:tcPr>
            <w:tcW w:w="2410" w:type="dxa"/>
            <w:tcBorders>
              <w:top w:val="single" w:sz="2" w:space="0" w:color="auto"/>
              <w:left w:val="single" w:sz="2" w:space="0" w:color="auto"/>
              <w:bottom w:val="single" w:sz="2" w:space="0" w:color="auto"/>
              <w:right w:val="single" w:sz="2" w:space="0" w:color="auto"/>
            </w:tcBorders>
            <w:vAlign w:val="center"/>
          </w:tcPr>
          <w:p w:rsidR="00863E71" w:rsidRPr="00980BC4" w:rsidRDefault="00863E71" w:rsidP="00863E71">
            <w:pPr>
              <w:spacing w:line="280" w:lineRule="exact"/>
              <w:jc w:val="right"/>
              <w:rPr>
                <w:rFonts w:ascii="宋体" w:eastAsia="宋体" w:hAnsi="宋体" w:cs="宋体"/>
                <w:sz w:val="18"/>
                <w:szCs w:val="18"/>
              </w:rPr>
            </w:pPr>
            <w:r w:rsidRPr="00EE7950">
              <w:rPr>
                <w:rFonts w:ascii="宋体" w:eastAsia="宋体" w:hAnsi="宋体" w:cs="宋体"/>
                <w:sz w:val="18"/>
                <w:szCs w:val="18"/>
              </w:rPr>
              <w:t>122.92%</w:t>
            </w:r>
          </w:p>
        </w:tc>
      </w:tr>
      <w:tr w:rsidR="002A3304"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筹资活动现金流入小计</w:t>
            </w:r>
          </w:p>
        </w:tc>
        <w:tc>
          <w:tcPr>
            <w:tcW w:w="18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3,874,387.99</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22,337,728.00</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-82.66%</w:t>
            </w:r>
          </w:p>
        </w:tc>
      </w:tr>
      <w:tr w:rsidR="002A3304"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筹资活动现金流出小计</w:t>
            </w:r>
          </w:p>
        </w:tc>
        <w:tc>
          <w:tcPr>
            <w:tcW w:w="18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10,451,396.84</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165,611,382.17</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-93.69%</w:t>
            </w:r>
          </w:p>
        </w:tc>
      </w:tr>
      <w:tr w:rsidR="002A3304"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筹资活动产生的现金流量净额</w:t>
            </w:r>
          </w:p>
        </w:tc>
        <w:tc>
          <w:tcPr>
            <w:tcW w:w="18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-6,577,008.85</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-143,273,654.17</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95.41%</w:t>
            </w:r>
          </w:p>
        </w:tc>
      </w:tr>
      <w:tr w:rsidR="002A3304" w:rsidRPr="00980BC4" w:rsidTr="00571D5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571D5D">
            <w:pPr>
              <w:spacing w:before="40" w:after="40" w:line="280" w:lineRule="exact"/>
              <w:rPr>
                <w:rFonts w:ascii="宋体" w:eastAsia="宋体" w:hAnsi="宋体" w:cs="宋体"/>
                <w:sz w:val="18"/>
                <w:szCs w:val="18"/>
              </w:rPr>
            </w:pPr>
            <w:r w:rsidRPr="00980BC4">
              <w:rPr>
                <w:rFonts w:ascii="宋体" w:eastAsia="宋体" w:hAnsi="宋体" w:cs="宋体"/>
                <w:sz w:val="18"/>
                <w:szCs w:val="18"/>
              </w:rPr>
              <w:t>现金及现金等价物净增加额</w:t>
            </w:r>
          </w:p>
        </w:tc>
        <w:tc>
          <w:tcPr>
            <w:tcW w:w="18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24,839,880.25</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-391,525,657.41</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571D5D">
            <w:pPr>
              <w:spacing w:line="280" w:lineRule="exact"/>
              <w:jc w:val="right"/>
              <w:rPr>
                <w:rFonts w:ascii="宋体" w:eastAsia="宋体" w:hAnsi="宋体" w:cs="宋体"/>
                <w:sz w:val="18"/>
                <w:szCs w:val="18"/>
              </w:rPr>
            </w:pPr>
            <w:r w:rsidRPr="00980BC4">
              <w:rPr>
                <w:rFonts w:ascii="宋体" w:eastAsia="宋体" w:hAnsi="宋体" w:cs="宋体"/>
                <w:sz w:val="18"/>
                <w:szCs w:val="18"/>
              </w:rPr>
              <w:t>106.34%</w:t>
            </w:r>
          </w:p>
        </w:tc>
      </w:tr>
    </w:tbl>
    <w:p w:rsidR="002A3304" w:rsidRPr="00980BC4" w:rsidRDefault="00DF4EBF" w:rsidP="00571D5D">
      <w:pPr>
        <w:pStyle w:val="a3"/>
        <w:spacing w:before="0" w:beforeAutospacing="0" w:after="0" w:afterAutospacing="0" w:line="560" w:lineRule="exact"/>
        <w:ind w:firstLine="560"/>
        <w:jc w:val="both"/>
        <w:rPr>
          <w:rStyle w:val="a4"/>
          <w:rFonts w:ascii="仿宋" w:eastAsia="仿宋" w:hAnsi="仿宋"/>
          <w:sz w:val="28"/>
          <w:szCs w:val="28"/>
        </w:rPr>
      </w:pPr>
      <w:r w:rsidRPr="00980BC4">
        <w:rPr>
          <w:rStyle w:val="a4"/>
          <w:rFonts w:ascii="仿宋" w:eastAsia="仿宋" w:hAnsi="仿宋"/>
          <w:sz w:val="28"/>
          <w:szCs w:val="28"/>
        </w:rPr>
        <w:t>相关数据同比发生重大变动的主要影响因素说明</w:t>
      </w:r>
    </w:p>
    <w:p w:rsidR="00C63C1D" w:rsidRPr="00980BC4" w:rsidRDefault="00DF4EBF" w:rsidP="00C63C1D">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lastRenderedPageBreak/>
        <w:sym w:font="Wingdings 2" w:char="F052"/>
      </w:r>
      <w:r w:rsidRPr="00980BC4">
        <w:rPr>
          <w:rFonts w:ascii="仿宋" w:eastAsia="仿宋" w:hAnsi="仿宋" w:cs="Times New Roman"/>
          <w:color w:val="333333"/>
          <w:sz w:val="28"/>
          <w:szCs w:val="28"/>
          <w:shd w:val="clear" w:color="auto" w:fill="FFFFFF"/>
        </w:rPr>
        <w:t>适用</w:t>
      </w:r>
      <w:r w:rsidR="004C6B03"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□不适用</w:t>
      </w:r>
    </w:p>
    <w:p w:rsidR="00A47FA6" w:rsidRPr="00980BC4" w:rsidRDefault="00A47FA6" w:rsidP="00A47FA6">
      <w:pPr>
        <w:pStyle w:val="a3"/>
        <w:widowControl w:val="0"/>
        <w:spacing w:before="0" w:beforeAutospacing="0" w:after="0" w:afterAutospacing="0" w:line="560" w:lineRule="exact"/>
        <w:ind w:firstLineChars="200" w:firstLine="560"/>
        <w:rPr>
          <w:rFonts w:ascii="仿宋" w:eastAsia="仿宋" w:hAnsi="仿宋" w:cs="Times New Roman"/>
          <w:color w:val="333333"/>
          <w:sz w:val="28"/>
          <w:szCs w:val="28"/>
          <w:shd w:val="clear" w:color="auto" w:fill="FFFFFF"/>
        </w:rPr>
      </w:pPr>
      <w:r w:rsidRPr="00980BC4">
        <w:rPr>
          <w:rFonts w:ascii="仿宋" w:eastAsia="仿宋" w:hAnsi="仿宋" w:cs="Times New Roman" w:hint="eastAsia"/>
          <w:color w:val="333333"/>
          <w:sz w:val="28"/>
          <w:szCs w:val="28"/>
          <w:shd w:val="clear" w:color="auto" w:fill="FFFFFF"/>
        </w:rPr>
        <w:t>（1）经营活动产生的现金流量净额同比减少</w:t>
      </w:r>
      <w:r w:rsidR="00863E71" w:rsidRPr="00EE7950">
        <w:rPr>
          <w:rFonts w:ascii="仿宋" w:eastAsia="仿宋" w:hAnsi="仿宋" w:cs="Times New Roman"/>
          <w:color w:val="333333"/>
          <w:sz w:val="28"/>
          <w:szCs w:val="28"/>
          <w:shd w:val="clear" w:color="auto" w:fill="FFFFFF"/>
        </w:rPr>
        <w:t>144.08</w:t>
      </w:r>
      <w:r w:rsidRPr="00980BC4">
        <w:rPr>
          <w:rFonts w:ascii="仿宋" w:eastAsia="仿宋" w:hAnsi="仿宋" w:cs="Times New Roman" w:hint="eastAsia"/>
          <w:color w:val="333333"/>
          <w:sz w:val="28"/>
          <w:szCs w:val="28"/>
          <w:shd w:val="clear" w:color="auto" w:fill="FFFFFF"/>
        </w:rPr>
        <w:t>%，主要原因是：①本期军品收入规模增长，公司积极备货，采购支出增加；②公司本期销售形成应收票据较多。</w:t>
      </w:r>
    </w:p>
    <w:p w:rsidR="00C63C1D" w:rsidRPr="00980BC4" w:rsidRDefault="00F05366" w:rsidP="00863E71">
      <w:pPr>
        <w:pStyle w:val="a3"/>
        <w:widowControl w:val="0"/>
        <w:spacing w:before="0" w:beforeAutospacing="0" w:after="0" w:afterAutospacing="0" w:line="560" w:lineRule="exact"/>
        <w:ind w:firstLineChars="200" w:firstLine="560"/>
        <w:rPr>
          <w:rFonts w:ascii="仿宋" w:eastAsia="仿宋" w:hAnsi="仿宋" w:cs="Times New Roman"/>
          <w:color w:val="333333"/>
          <w:sz w:val="28"/>
          <w:szCs w:val="28"/>
          <w:shd w:val="clear" w:color="auto" w:fill="FFFFFF"/>
        </w:rPr>
      </w:pPr>
      <w:r w:rsidRPr="00980BC4">
        <w:rPr>
          <w:rFonts w:ascii="仿宋" w:eastAsia="仿宋" w:hAnsi="仿宋" w:cs="Times New Roman" w:hint="eastAsia"/>
          <w:color w:val="333333"/>
          <w:sz w:val="28"/>
          <w:szCs w:val="28"/>
          <w:shd w:val="clear" w:color="auto" w:fill="FFFFFF"/>
        </w:rPr>
        <w:t>（2）</w:t>
      </w:r>
      <w:r w:rsidR="002A3304" w:rsidRPr="00980BC4">
        <w:rPr>
          <w:rFonts w:ascii="仿宋" w:eastAsia="仿宋" w:hAnsi="仿宋" w:cs="Times New Roman" w:hint="eastAsia"/>
          <w:color w:val="333333"/>
          <w:sz w:val="28"/>
          <w:szCs w:val="28"/>
          <w:shd w:val="clear" w:color="auto" w:fill="FFFFFF"/>
        </w:rPr>
        <w:t>投资活动产生的现金流量净额同比增加</w:t>
      </w:r>
      <w:r w:rsidR="00863E71" w:rsidRPr="00EE7950">
        <w:rPr>
          <w:rFonts w:ascii="仿宋" w:eastAsia="仿宋" w:hAnsi="仿宋" w:cs="Times New Roman"/>
          <w:color w:val="333333"/>
          <w:sz w:val="28"/>
          <w:szCs w:val="28"/>
          <w:shd w:val="clear" w:color="auto" w:fill="FFFFFF"/>
        </w:rPr>
        <w:t>122.92</w:t>
      </w:r>
      <w:r w:rsidR="002A3304" w:rsidRPr="00980BC4">
        <w:rPr>
          <w:rFonts w:ascii="仿宋" w:eastAsia="仿宋" w:hAnsi="仿宋" w:cs="Times New Roman" w:hint="eastAsia"/>
          <w:color w:val="333333"/>
          <w:sz w:val="28"/>
          <w:szCs w:val="28"/>
          <w:shd w:val="clear" w:color="auto" w:fill="FFFFFF"/>
        </w:rPr>
        <w:t>%，主要原因是：</w:t>
      </w:r>
      <w:r w:rsidRPr="00980BC4">
        <w:rPr>
          <w:rFonts w:ascii="仿宋" w:eastAsia="仿宋" w:hAnsi="仿宋" w:cs="Times New Roman" w:hint="eastAsia"/>
          <w:color w:val="333333"/>
          <w:sz w:val="28"/>
          <w:szCs w:val="28"/>
          <w:shd w:val="clear" w:color="auto" w:fill="FFFFFF"/>
        </w:rPr>
        <w:t>①</w:t>
      </w:r>
      <w:r w:rsidR="002A3304" w:rsidRPr="00980BC4">
        <w:rPr>
          <w:rFonts w:ascii="仿宋" w:eastAsia="仿宋" w:hAnsi="仿宋" w:cs="Times New Roman" w:hint="eastAsia"/>
          <w:color w:val="333333"/>
          <w:sz w:val="28"/>
          <w:szCs w:val="28"/>
          <w:shd w:val="clear" w:color="auto" w:fill="FFFFFF"/>
        </w:rPr>
        <w:t>上期购买理财产品较多；</w:t>
      </w:r>
      <w:r w:rsidRPr="00980BC4">
        <w:rPr>
          <w:rFonts w:ascii="仿宋" w:eastAsia="仿宋" w:hAnsi="仿宋" w:cs="Times New Roman" w:hint="eastAsia"/>
          <w:color w:val="333333"/>
          <w:sz w:val="28"/>
          <w:szCs w:val="28"/>
          <w:shd w:val="clear" w:color="auto" w:fill="FFFFFF"/>
        </w:rPr>
        <w:t>②</w:t>
      </w:r>
      <w:r w:rsidR="002A3304" w:rsidRPr="00980BC4">
        <w:rPr>
          <w:rFonts w:ascii="仿宋" w:eastAsia="仿宋" w:hAnsi="仿宋" w:cs="Times New Roman" w:hint="eastAsia"/>
          <w:color w:val="333333"/>
          <w:sz w:val="28"/>
          <w:szCs w:val="28"/>
          <w:shd w:val="clear" w:color="auto" w:fill="FFFFFF"/>
        </w:rPr>
        <w:t>上期支付股权转让款项1.12亿元。</w:t>
      </w:r>
    </w:p>
    <w:p w:rsidR="00C63C1D" w:rsidRPr="00980BC4" w:rsidRDefault="00F05366" w:rsidP="00C63C1D">
      <w:pPr>
        <w:pStyle w:val="a3"/>
        <w:widowControl w:val="0"/>
        <w:spacing w:before="0" w:beforeAutospacing="0" w:after="0" w:afterAutospacing="0" w:line="560" w:lineRule="exact"/>
        <w:ind w:firstLineChars="200" w:firstLine="560"/>
        <w:divId w:val="595132995"/>
        <w:rPr>
          <w:rFonts w:ascii="仿宋" w:eastAsia="仿宋" w:hAnsi="仿宋" w:cs="Times New Roman"/>
          <w:color w:val="333333"/>
          <w:sz w:val="28"/>
          <w:szCs w:val="28"/>
          <w:shd w:val="clear" w:color="auto" w:fill="FFFFFF"/>
        </w:rPr>
      </w:pPr>
      <w:r w:rsidRPr="00980BC4">
        <w:rPr>
          <w:rFonts w:ascii="仿宋" w:eastAsia="仿宋" w:hAnsi="仿宋" w:cs="Times New Roman" w:hint="eastAsia"/>
          <w:color w:val="333333"/>
          <w:sz w:val="28"/>
          <w:szCs w:val="28"/>
          <w:shd w:val="clear" w:color="auto" w:fill="FFFFFF"/>
        </w:rPr>
        <w:t>（3）</w:t>
      </w:r>
      <w:r w:rsidR="002A3304" w:rsidRPr="00980BC4">
        <w:rPr>
          <w:rFonts w:ascii="仿宋" w:eastAsia="仿宋" w:hAnsi="仿宋" w:cs="Times New Roman" w:hint="eastAsia"/>
          <w:color w:val="333333"/>
          <w:sz w:val="28"/>
          <w:szCs w:val="28"/>
          <w:shd w:val="clear" w:color="auto" w:fill="FFFFFF"/>
        </w:rPr>
        <w:t>筹资活动产生的现金流量净额同比增加95.41%，主要原因是：</w:t>
      </w:r>
      <w:r w:rsidRPr="00980BC4">
        <w:rPr>
          <w:rFonts w:ascii="仿宋" w:eastAsia="仿宋" w:hAnsi="仿宋" w:cs="Times New Roman" w:hint="eastAsia"/>
          <w:color w:val="333333"/>
          <w:sz w:val="28"/>
          <w:szCs w:val="28"/>
          <w:shd w:val="clear" w:color="auto" w:fill="FFFFFF"/>
        </w:rPr>
        <w:t>①</w:t>
      </w:r>
      <w:r w:rsidR="002A3304" w:rsidRPr="00980BC4">
        <w:rPr>
          <w:rFonts w:ascii="仿宋" w:eastAsia="仿宋" w:hAnsi="仿宋" w:cs="Times New Roman" w:hint="eastAsia"/>
          <w:color w:val="333333"/>
          <w:sz w:val="28"/>
          <w:szCs w:val="28"/>
          <w:shd w:val="clear" w:color="auto" w:fill="FFFFFF"/>
        </w:rPr>
        <w:t>上期支付购买少数股东股权款项6,833.60万元；</w:t>
      </w:r>
      <w:r w:rsidRPr="00980BC4">
        <w:rPr>
          <w:rFonts w:ascii="仿宋" w:eastAsia="仿宋" w:hAnsi="仿宋" w:cs="Times New Roman" w:hint="eastAsia"/>
          <w:color w:val="333333"/>
          <w:sz w:val="28"/>
          <w:szCs w:val="28"/>
          <w:shd w:val="clear" w:color="auto" w:fill="FFFFFF"/>
        </w:rPr>
        <w:t>②</w:t>
      </w:r>
      <w:r w:rsidR="002A3304" w:rsidRPr="00980BC4">
        <w:rPr>
          <w:rFonts w:ascii="仿宋" w:eastAsia="仿宋" w:hAnsi="仿宋" w:cs="Times New Roman" w:hint="eastAsia"/>
          <w:color w:val="333333"/>
          <w:sz w:val="28"/>
          <w:szCs w:val="28"/>
          <w:shd w:val="clear" w:color="auto" w:fill="FFFFFF"/>
        </w:rPr>
        <w:t>上期分配股利9,657.73万元。</w:t>
      </w:r>
    </w:p>
    <w:p w:rsidR="002A3304" w:rsidRPr="00980BC4" w:rsidRDefault="00F05366" w:rsidP="00C63C1D">
      <w:pPr>
        <w:pStyle w:val="a3"/>
        <w:widowControl w:val="0"/>
        <w:spacing w:before="0" w:beforeAutospacing="0" w:after="0" w:afterAutospacing="0" w:line="560" w:lineRule="exact"/>
        <w:ind w:firstLineChars="200" w:firstLine="560"/>
        <w:divId w:val="595132995"/>
        <w:rPr>
          <w:rFonts w:ascii="仿宋" w:eastAsia="仿宋" w:hAnsi="仿宋" w:cs="Times New Roman"/>
          <w:color w:val="333333"/>
          <w:sz w:val="28"/>
          <w:szCs w:val="28"/>
          <w:shd w:val="clear" w:color="auto" w:fill="FFFFFF"/>
        </w:rPr>
      </w:pPr>
      <w:r w:rsidRPr="00980BC4">
        <w:rPr>
          <w:rFonts w:ascii="仿宋" w:eastAsia="仿宋" w:hAnsi="仿宋" w:cs="Times New Roman" w:hint="eastAsia"/>
          <w:color w:val="333333"/>
          <w:sz w:val="28"/>
          <w:szCs w:val="28"/>
          <w:shd w:val="clear" w:color="auto" w:fill="FFFFFF"/>
        </w:rPr>
        <w:t>（4）</w:t>
      </w:r>
      <w:r w:rsidR="002A3304" w:rsidRPr="00980BC4">
        <w:rPr>
          <w:rFonts w:ascii="仿宋" w:eastAsia="仿宋" w:hAnsi="仿宋" w:cs="Times New Roman" w:hint="eastAsia"/>
          <w:color w:val="333333"/>
          <w:sz w:val="28"/>
          <w:szCs w:val="28"/>
          <w:shd w:val="clear" w:color="auto" w:fill="FFFFFF"/>
        </w:rPr>
        <w:t>现金及现金等价物净增加额同比增加106.34%，主要原因是：</w:t>
      </w:r>
      <w:r w:rsidRPr="00980BC4">
        <w:rPr>
          <w:rFonts w:ascii="仿宋" w:eastAsia="仿宋" w:hAnsi="仿宋" w:cs="Times New Roman" w:hint="eastAsia"/>
          <w:color w:val="333333"/>
          <w:sz w:val="28"/>
          <w:szCs w:val="28"/>
          <w:shd w:val="clear" w:color="auto" w:fill="FFFFFF"/>
        </w:rPr>
        <w:t>①</w:t>
      </w:r>
      <w:r w:rsidR="002A3304" w:rsidRPr="00980BC4">
        <w:rPr>
          <w:rFonts w:ascii="仿宋" w:eastAsia="仿宋" w:hAnsi="仿宋" w:cs="Times New Roman" w:hint="eastAsia"/>
          <w:color w:val="333333"/>
          <w:sz w:val="28"/>
          <w:szCs w:val="28"/>
          <w:shd w:val="clear" w:color="auto" w:fill="FFFFFF"/>
        </w:rPr>
        <w:t>上期购买理财产品较多；</w:t>
      </w:r>
      <w:r w:rsidRPr="00980BC4">
        <w:rPr>
          <w:rFonts w:ascii="仿宋" w:eastAsia="仿宋" w:hAnsi="仿宋" w:cs="Times New Roman" w:hint="eastAsia"/>
          <w:color w:val="333333"/>
          <w:sz w:val="28"/>
          <w:szCs w:val="28"/>
          <w:shd w:val="clear" w:color="auto" w:fill="FFFFFF"/>
        </w:rPr>
        <w:t>②</w:t>
      </w:r>
      <w:r w:rsidR="002A3304" w:rsidRPr="00980BC4">
        <w:rPr>
          <w:rFonts w:ascii="仿宋" w:eastAsia="仿宋" w:hAnsi="仿宋" w:cs="Times New Roman" w:hint="eastAsia"/>
          <w:color w:val="333333"/>
          <w:sz w:val="28"/>
          <w:szCs w:val="28"/>
          <w:shd w:val="clear" w:color="auto" w:fill="FFFFFF"/>
        </w:rPr>
        <w:t>上期支付股权转让款项1.12亿。</w:t>
      </w:r>
      <w:r w:rsidRPr="00980BC4">
        <w:rPr>
          <w:rFonts w:ascii="仿宋" w:eastAsia="仿宋" w:hAnsi="仿宋" w:cs="Times New Roman" w:hint="eastAsia"/>
          <w:color w:val="333333"/>
          <w:sz w:val="28"/>
          <w:szCs w:val="28"/>
          <w:shd w:val="clear" w:color="auto" w:fill="FFFFFF"/>
        </w:rPr>
        <w:t>③</w:t>
      </w:r>
      <w:r w:rsidR="002A3304" w:rsidRPr="00980BC4">
        <w:rPr>
          <w:rFonts w:ascii="仿宋" w:eastAsia="仿宋" w:hAnsi="仿宋" w:cs="Times New Roman" w:hint="eastAsia"/>
          <w:color w:val="333333"/>
          <w:sz w:val="28"/>
          <w:szCs w:val="28"/>
          <w:shd w:val="clear" w:color="auto" w:fill="FFFFFF"/>
        </w:rPr>
        <w:t>上期分配股利9,657.73万元；</w:t>
      </w:r>
      <w:r w:rsidRPr="00980BC4">
        <w:rPr>
          <w:rFonts w:ascii="仿宋" w:eastAsia="仿宋" w:hAnsi="仿宋" w:cs="Times New Roman" w:hint="eastAsia"/>
          <w:color w:val="333333"/>
          <w:sz w:val="28"/>
          <w:szCs w:val="28"/>
          <w:shd w:val="clear" w:color="auto" w:fill="FFFFFF"/>
        </w:rPr>
        <w:t>④</w:t>
      </w:r>
      <w:r w:rsidR="002A3304" w:rsidRPr="00980BC4">
        <w:rPr>
          <w:rFonts w:ascii="仿宋" w:eastAsia="仿宋" w:hAnsi="仿宋" w:cs="Times New Roman" w:hint="eastAsia"/>
          <w:color w:val="333333"/>
          <w:sz w:val="28"/>
          <w:szCs w:val="28"/>
          <w:shd w:val="clear" w:color="auto" w:fill="FFFFFF"/>
        </w:rPr>
        <w:t>上期支付少数股东股权转让款项6,833.60万元。</w:t>
      </w:r>
    </w:p>
    <w:p w:rsidR="002A3304" w:rsidRPr="00980BC4" w:rsidRDefault="00DF4EBF" w:rsidP="000E6E4D">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r w:rsidRPr="00980BC4">
        <w:rPr>
          <w:rFonts w:ascii="仿宋" w:eastAsia="仿宋" w:hAnsi="仿宋" w:cs="Times New Roman"/>
          <w:b/>
          <w:color w:val="333333"/>
          <w:sz w:val="28"/>
          <w:szCs w:val="28"/>
          <w:shd w:val="clear" w:color="auto" w:fill="FFFFFF"/>
        </w:rPr>
        <w:t>报告期内公司经营活动产生的现金净流量与本年度净利润存在重大差异的原因说明</w:t>
      </w:r>
    </w:p>
    <w:p w:rsidR="002A3304" w:rsidRPr="00980BC4" w:rsidRDefault="00DF4EBF" w:rsidP="000E6E4D">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适用</w:t>
      </w:r>
      <w:r w:rsidR="00612835"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□不适用</w:t>
      </w:r>
    </w:p>
    <w:p w:rsidR="002A3304" w:rsidRPr="00980BC4" w:rsidRDefault="002A3304" w:rsidP="000E6E4D">
      <w:pPr>
        <w:pStyle w:val="a3"/>
        <w:spacing w:before="0" w:beforeAutospacing="0" w:after="0" w:afterAutospacing="0" w:line="560" w:lineRule="exact"/>
        <w:ind w:firstLine="560"/>
        <w:divId w:val="2130539606"/>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 xml:space="preserve">详见“第十节 财务报告 七、合并报表注释 </w:t>
      </w:r>
      <w:r w:rsidR="0094461B" w:rsidRPr="00980BC4">
        <w:rPr>
          <w:rFonts w:ascii="仿宋" w:eastAsia="仿宋" w:hAnsi="仿宋" w:cs="Times New Roman" w:hint="eastAsia"/>
          <w:color w:val="333333"/>
          <w:sz w:val="28"/>
          <w:szCs w:val="28"/>
          <w:shd w:val="clear" w:color="auto" w:fill="FFFFFF"/>
        </w:rPr>
        <w:t>58</w:t>
      </w:r>
      <w:r w:rsidRPr="00980BC4">
        <w:rPr>
          <w:rFonts w:ascii="仿宋" w:eastAsia="仿宋" w:hAnsi="仿宋" w:cs="Times New Roman"/>
          <w:color w:val="333333"/>
          <w:sz w:val="28"/>
          <w:szCs w:val="28"/>
          <w:shd w:val="clear" w:color="auto" w:fill="FFFFFF"/>
        </w:rPr>
        <w:t>（1）现金流量表补充资料”。</w:t>
      </w:r>
    </w:p>
    <w:p w:rsidR="002A3304" w:rsidRPr="00980BC4" w:rsidRDefault="00DF4EBF" w:rsidP="0094461B">
      <w:pPr>
        <w:pStyle w:val="Chapter"/>
        <w:spacing w:before="0" w:after="0" w:line="560" w:lineRule="exact"/>
        <w:ind w:firstLineChars="200" w:firstLine="562"/>
        <w:outlineLvl w:val="1"/>
        <w:rPr>
          <w:bCs w:val="0"/>
          <w:sz w:val="28"/>
          <w:szCs w:val="28"/>
        </w:rPr>
      </w:pPr>
      <w:bookmarkStart w:id="31" w:name="_Toc988920"/>
      <w:r w:rsidRPr="00980BC4">
        <w:rPr>
          <w:bCs w:val="0"/>
          <w:sz w:val="28"/>
          <w:szCs w:val="28"/>
        </w:rPr>
        <w:t>五、非主营业务分析</w:t>
      </w:r>
      <w:bookmarkEnd w:id="31"/>
    </w:p>
    <w:p w:rsidR="002A3304" w:rsidRPr="00980BC4" w:rsidRDefault="00DF4EBF" w:rsidP="0094461B">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适用</w:t>
      </w:r>
      <w:r w:rsidR="0094461B"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□不适用</w:t>
      </w:r>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68"/>
        <w:gridCol w:w="1701"/>
        <w:gridCol w:w="1559"/>
        <w:gridCol w:w="2783"/>
        <w:gridCol w:w="1928"/>
      </w:tblGrid>
      <w:tr w:rsidR="002A3304" w:rsidRPr="00980BC4" w:rsidTr="0094461B">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94461B">
            <w:pPr>
              <w:spacing w:line="28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461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461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占利润总额比例</w:t>
            </w:r>
          </w:p>
        </w:tc>
        <w:tc>
          <w:tcPr>
            <w:tcW w:w="278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461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形成原因说明</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461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是否具有可持续性</w:t>
            </w:r>
          </w:p>
        </w:tc>
      </w:tr>
      <w:tr w:rsidR="00AD5712" w:rsidRPr="00980BC4" w:rsidTr="0094461B">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AD5712" w:rsidRPr="00980BC4" w:rsidRDefault="00AD5712" w:rsidP="0094461B">
            <w:pPr>
              <w:spacing w:before="40" w:after="40" w:line="280" w:lineRule="exact"/>
              <w:rPr>
                <w:rFonts w:ascii="宋体" w:eastAsia="宋体" w:hAnsi="宋体" w:cs="宋体"/>
                <w:sz w:val="18"/>
                <w:szCs w:val="18"/>
              </w:rPr>
            </w:pPr>
            <w:r w:rsidRPr="00980BC4">
              <w:rPr>
                <w:rFonts w:ascii="宋体" w:eastAsia="宋体" w:hAnsi="宋体" w:cs="宋体"/>
                <w:sz w:val="18"/>
                <w:szCs w:val="18"/>
              </w:rPr>
              <w:t>投资收益</w:t>
            </w:r>
          </w:p>
        </w:tc>
        <w:tc>
          <w:tcPr>
            <w:tcW w:w="1701"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17,355,042.93</w:t>
            </w:r>
          </w:p>
        </w:tc>
        <w:tc>
          <w:tcPr>
            <w:tcW w:w="1559"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13.42%</w:t>
            </w:r>
          </w:p>
        </w:tc>
        <w:tc>
          <w:tcPr>
            <w:tcW w:w="2783"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r w:rsidRPr="00980BC4">
              <w:rPr>
                <w:rFonts w:ascii="宋体" w:eastAsia="宋体" w:hAnsi="宋体" w:cs="宋体"/>
                <w:sz w:val="18"/>
                <w:szCs w:val="18"/>
              </w:rPr>
              <w:t>主要是银行理财收益、对联营企业的投资收益和证券投资收益。</w:t>
            </w:r>
          </w:p>
        </w:tc>
        <w:tc>
          <w:tcPr>
            <w:tcW w:w="1928"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AD5712" w:rsidRPr="00980BC4" w:rsidTr="0094461B">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AD5712" w:rsidRPr="00980BC4" w:rsidRDefault="00AD5712" w:rsidP="0094461B">
            <w:pPr>
              <w:spacing w:before="40" w:after="40" w:line="280" w:lineRule="exact"/>
              <w:rPr>
                <w:rFonts w:ascii="宋体" w:eastAsia="宋体" w:hAnsi="宋体" w:cs="宋体"/>
                <w:sz w:val="18"/>
                <w:szCs w:val="18"/>
              </w:rPr>
            </w:pPr>
            <w:r w:rsidRPr="00980BC4">
              <w:rPr>
                <w:rFonts w:ascii="宋体" w:eastAsia="宋体" w:hAnsi="宋体" w:cs="宋体"/>
                <w:sz w:val="18"/>
                <w:szCs w:val="18"/>
              </w:rPr>
              <w:t>公允价值变动损益</w:t>
            </w:r>
          </w:p>
        </w:tc>
        <w:tc>
          <w:tcPr>
            <w:tcW w:w="1701"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-2,995,137.67</w:t>
            </w:r>
          </w:p>
        </w:tc>
        <w:tc>
          <w:tcPr>
            <w:tcW w:w="1559"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-2.32%</w:t>
            </w:r>
          </w:p>
        </w:tc>
        <w:tc>
          <w:tcPr>
            <w:tcW w:w="2783"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r w:rsidRPr="00980BC4">
              <w:rPr>
                <w:rFonts w:ascii="宋体" w:eastAsia="宋体" w:hAnsi="宋体" w:cs="宋体"/>
                <w:sz w:val="18"/>
                <w:szCs w:val="18"/>
              </w:rPr>
              <w:t>主要是证券投资亏损。</w:t>
            </w:r>
          </w:p>
        </w:tc>
        <w:tc>
          <w:tcPr>
            <w:tcW w:w="1928"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AD5712" w:rsidRPr="00980BC4" w:rsidTr="0094461B">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AD5712" w:rsidRPr="00980BC4" w:rsidRDefault="00AD5712" w:rsidP="0094461B">
            <w:pPr>
              <w:spacing w:before="40" w:after="40" w:line="280" w:lineRule="exact"/>
              <w:rPr>
                <w:rFonts w:ascii="宋体" w:eastAsia="宋体" w:hAnsi="宋体" w:cs="宋体"/>
                <w:sz w:val="18"/>
                <w:szCs w:val="18"/>
              </w:rPr>
            </w:pPr>
            <w:r w:rsidRPr="00980BC4">
              <w:rPr>
                <w:rFonts w:ascii="宋体" w:eastAsia="宋体" w:hAnsi="宋体" w:cs="宋体"/>
                <w:sz w:val="18"/>
                <w:szCs w:val="18"/>
              </w:rPr>
              <w:t>资产减值</w:t>
            </w:r>
          </w:p>
        </w:tc>
        <w:tc>
          <w:tcPr>
            <w:tcW w:w="1701"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-4,187,718.17</w:t>
            </w:r>
          </w:p>
        </w:tc>
        <w:tc>
          <w:tcPr>
            <w:tcW w:w="1559"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-3.24%</w:t>
            </w:r>
          </w:p>
        </w:tc>
        <w:tc>
          <w:tcPr>
            <w:tcW w:w="2783"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r w:rsidRPr="00980BC4">
              <w:rPr>
                <w:rFonts w:ascii="宋体" w:eastAsia="宋体" w:hAnsi="宋体" w:cs="宋体"/>
                <w:sz w:val="18"/>
                <w:szCs w:val="18"/>
              </w:rPr>
              <w:t>主要是存货跌价。</w:t>
            </w:r>
          </w:p>
        </w:tc>
        <w:tc>
          <w:tcPr>
            <w:tcW w:w="1928"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AD5712" w:rsidRPr="00980BC4" w:rsidTr="0094461B">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AD5712" w:rsidRPr="00980BC4" w:rsidRDefault="00AD5712" w:rsidP="0094461B">
            <w:pPr>
              <w:spacing w:before="40" w:after="40" w:line="280" w:lineRule="exact"/>
              <w:rPr>
                <w:rFonts w:ascii="宋体" w:eastAsia="宋体" w:hAnsi="宋体" w:cs="宋体"/>
                <w:sz w:val="18"/>
                <w:szCs w:val="18"/>
              </w:rPr>
            </w:pPr>
            <w:r w:rsidRPr="00980BC4">
              <w:rPr>
                <w:rFonts w:ascii="宋体" w:eastAsia="宋体" w:hAnsi="宋体" w:cs="宋体"/>
                <w:sz w:val="18"/>
                <w:szCs w:val="18"/>
              </w:rPr>
              <w:t>营业外收入</w:t>
            </w:r>
          </w:p>
        </w:tc>
        <w:tc>
          <w:tcPr>
            <w:tcW w:w="1701"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16,568,321.42</w:t>
            </w:r>
          </w:p>
        </w:tc>
        <w:tc>
          <w:tcPr>
            <w:tcW w:w="1559"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12.81%</w:t>
            </w:r>
          </w:p>
        </w:tc>
        <w:tc>
          <w:tcPr>
            <w:tcW w:w="2783" w:type="dxa"/>
            <w:tcBorders>
              <w:top w:val="single" w:sz="2" w:space="0" w:color="auto"/>
              <w:left w:val="single" w:sz="2" w:space="0" w:color="auto"/>
              <w:bottom w:val="single" w:sz="2" w:space="0" w:color="auto"/>
              <w:right w:val="single" w:sz="2" w:space="0" w:color="auto"/>
            </w:tcBorders>
            <w:vAlign w:val="center"/>
          </w:tcPr>
          <w:p w:rsidR="00AD5712" w:rsidRPr="00980BC4" w:rsidRDefault="00380A83" w:rsidP="00380A83">
            <w:pPr>
              <w:spacing w:line="280" w:lineRule="exact"/>
              <w:rPr>
                <w:rFonts w:ascii="宋体" w:eastAsia="宋体" w:hAnsi="宋体" w:cs="宋体"/>
                <w:sz w:val="18"/>
                <w:szCs w:val="18"/>
              </w:rPr>
            </w:pPr>
            <w:r w:rsidRPr="00980BC4">
              <w:rPr>
                <w:rFonts w:ascii="宋体" w:eastAsia="宋体" w:hAnsi="宋体" w:cs="宋体" w:hint="eastAsia"/>
                <w:sz w:val="18"/>
                <w:szCs w:val="18"/>
              </w:rPr>
              <w:t>主要是</w:t>
            </w:r>
            <w:r>
              <w:rPr>
                <w:rFonts w:ascii="宋体" w:eastAsia="宋体" w:hAnsi="宋体" w:cs="宋体" w:hint="eastAsia"/>
                <w:sz w:val="18"/>
                <w:szCs w:val="18"/>
              </w:rPr>
              <w:t>由处置</w:t>
            </w:r>
            <w:r w:rsidRPr="00980BC4">
              <w:rPr>
                <w:rFonts w:ascii="宋体" w:eastAsia="宋体" w:hAnsi="宋体" w:cs="宋体" w:hint="eastAsia"/>
                <w:sz w:val="18"/>
                <w:szCs w:val="18"/>
              </w:rPr>
              <w:t>历史遗留款项</w:t>
            </w:r>
            <w:r>
              <w:rPr>
                <w:rFonts w:ascii="宋体" w:eastAsia="宋体" w:hAnsi="宋体" w:cs="宋体" w:hint="eastAsia"/>
                <w:sz w:val="18"/>
                <w:szCs w:val="18"/>
              </w:rPr>
              <w:t>及税费构成</w:t>
            </w:r>
            <w:r w:rsidRPr="00980BC4">
              <w:rPr>
                <w:rFonts w:ascii="宋体" w:eastAsia="宋体" w:hAnsi="宋体" w:cs="宋体" w:hint="eastAsia"/>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AD5712" w:rsidRPr="00980BC4" w:rsidTr="0094461B">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AD5712" w:rsidRPr="00980BC4" w:rsidRDefault="00AD5712" w:rsidP="0094461B">
            <w:pPr>
              <w:spacing w:before="40" w:after="40" w:line="280" w:lineRule="exact"/>
              <w:rPr>
                <w:rFonts w:ascii="宋体" w:eastAsia="宋体" w:hAnsi="宋体" w:cs="宋体"/>
                <w:sz w:val="18"/>
                <w:szCs w:val="18"/>
              </w:rPr>
            </w:pPr>
            <w:r w:rsidRPr="00980BC4">
              <w:rPr>
                <w:rFonts w:ascii="宋体" w:eastAsia="宋体" w:hAnsi="宋体" w:cs="宋体"/>
                <w:sz w:val="18"/>
                <w:szCs w:val="18"/>
              </w:rPr>
              <w:t>营业外支出</w:t>
            </w:r>
          </w:p>
        </w:tc>
        <w:tc>
          <w:tcPr>
            <w:tcW w:w="1701"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157,265.68</w:t>
            </w:r>
          </w:p>
        </w:tc>
        <w:tc>
          <w:tcPr>
            <w:tcW w:w="1559"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0.12%</w:t>
            </w:r>
          </w:p>
        </w:tc>
        <w:tc>
          <w:tcPr>
            <w:tcW w:w="2783"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AD5712" w:rsidRPr="00980BC4" w:rsidTr="0094461B">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94461B">
            <w:pPr>
              <w:spacing w:line="280" w:lineRule="exact"/>
              <w:rPr>
                <w:rFonts w:ascii="宋体" w:eastAsia="宋体" w:hAnsi="宋体" w:cs="宋体"/>
                <w:sz w:val="18"/>
                <w:szCs w:val="18"/>
              </w:rPr>
            </w:pPr>
            <w:r w:rsidRPr="00980BC4">
              <w:rPr>
                <w:rFonts w:ascii="宋体" w:eastAsia="宋体" w:hAnsi="宋体" w:cs="宋体"/>
                <w:sz w:val="18"/>
                <w:szCs w:val="18"/>
              </w:rPr>
              <w:lastRenderedPageBreak/>
              <w:t>资产处置收益</w:t>
            </w:r>
          </w:p>
        </w:tc>
        <w:tc>
          <w:tcPr>
            <w:tcW w:w="1701"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17,193.76</w:t>
            </w:r>
          </w:p>
        </w:tc>
        <w:tc>
          <w:tcPr>
            <w:tcW w:w="1559"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0.01%</w:t>
            </w:r>
          </w:p>
        </w:tc>
        <w:tc>
          <w:tcPr>
            <w:tcW w:w="2783"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rPr>
                <w:rFonts w:ascii="宋体" w:eastAsia="宋体" w:hAnsi="宋体" w:cs="宋体"/>
                <w:sz w:val="18"/>
                <w:szCs w:val="18"/>
              </w:rPr>
            </w:pPr>
            <w:r w:rsidRPr="00980BC4">
              <w:rPr>
                <w:rFonts w:ascii="宋体" w:eastAsia="宋体" w:hAnsi="宋体" w:cs="宋体"/>
                <w:sz w:val="18"/>
                <w:szCs w:val="18"/>
              </w:rPr>
              <w:t>否</w:t>
            </w:r>
          </w:p>
        </w:tc>
      </w:tr>
    </w:tbl>
    <w:p w:rsidR="002A3304" w:rsidRPr="00980BC4" w:rsidRDefault="00DF4EBF" w:rsidP="000C7563">
      <w:pPr>
        <w:pStyle w:val="Chapter"/>
        <w:spacing w:before="0" w:after="0" w:line="560" w:lineRule="exact"/>
        <w:ind w:firstLineChars="200" w:firstLine="562"/>
        <w:outlineLvl w:val="1"/>
        <w:rPr>
          <w:bCs w:val="0"/>
          <w:sz w:val="28"/>
          <w:szCs w:val="28"/>
        </w:rPr>
      </w:pPr>
      <w:bookmarkStart w:id="32" w:name="_Toc988921"/>
      <w:r w:rsidRPr="00980BC4">
        <w:rPr>
          <w:bCs w:val="0"/>
          <w:sz w:val="28"/>
          <w:szCs w:val="28"/>
        </w:rPr>
        <w:t>六、资产及负债状况分析</w:t>
      </w:r>
      <w:bookmarkEnd w:id="32"/>
    </w:p>
    <w:p w:rsidR="002A3304" w:rsidRPr="00980BC4" w:rsidRDefault="00DF4EBF" w:rsidP="000C7563">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33" w:name="_Toc988922"/>
      <w:r w:rsidRPr="00980BC4">
        <w:rPr>
          <w:rFonts w:ascii="仿宋" w:eastAsia="仿宋" w:hAnsi="仿宋" w:cs="Times New Roman"/>
          <w:b/>
          <w:color w:val="333333"/>
          <w:sz w:val="28"/>
          <w:szCs w:val="28"/>
          <w:shd w:val="clear" w:color="auto" w:fill="FFFFFF"/>
        </w:rPr>
        <w:t>1、资产构成重大变动情况</w:t>
      </w:r>
      <w:bookmarkEnd w:id="33"/>
    </w:p>
    <w:p w:rsidR="002A3304" w:rsidRPr="00980BC4" w:rsidRDefault="00DF4EBF">
      <w:pPr>
        <w:spacing w:before="40" w:after="4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526"/>
        <w:gridCol w:w="1559"/>
        <w:gridCol w:w="1134"/>
        <w:gridCol w:w="1559"/>
        <w:gridCol w:w="1134"/>
        <w:gridCol w:w="1134"/>
        <w:gridCol w:w="1593"/>
      </w:tblGrid>
      <w:tr w:rsidR="002A3304" w:rsidRPr="00980BC4" w:rsidTr="000C7563">
        <w:trPr>
          <w:trHeight w:val="240"/>
        </w:trPr>
        <w:tc>
          <w:tcPr>
            <w:tcW w:w="15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C7563">
            <w:pPr>
              <w:spacing w:line="280" w:lineRule="exact"/>
            </w:pPr>
          </w:p>
        </w:tc>
        <w:tc>
          <w:tcPr>
            <w:tcW w:w="26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C75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2022年末</w:t>
            </w:r>
          </w:p>
        </w:tc>
        <w:tc>
          <w:tcPr>
            <w:tcW w:w="26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C75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2022年初</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C75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比重增减</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C75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重大变动说明</w:t>
            </w:r>
          </w:p>
        </w:tc>
      </w:tr>
      <w:tr w:rsidR="002A3304" w:rsidRPr="00980BC4" w:rsidTr="000C7563">
        <w:trPr>
          <w:trHeight w:val="240"/>
        </w:trPr>
        <w:tc>
          <w:tcPr>
            <w:tcW w:w="15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C7563">
            <w:pPr>
              <w:spacing w:line="280" w:lineRule="exact"/>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C75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C75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占总资产比例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C75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C75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占总资产比例</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C7563">
            <w:pPr>
              <w:spacing w:line="280" w:lineRule="exact"/>
            </w:pP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C7563">
            <w:pPr>
              <w:spacing w:line="280" w:lineRule="exact"/>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64B53" w:rsidRPr="00980BC4" w:rsidRDefault="00264B53" w:rsidP="000C7563">
            <w:pPr>
              <w:spacing w:before="40" w:after="40" w:line="280" w:lineRule="exact"/>
              <w:rPr>
                <w:rFonts w:ascii="宋体" w:eastAsia="宋体" w:hAnsi="宋体" w:cs="宋体"/>
                <w:sz w:val="18"/>
                <w:szCs w:val="18"/>
              </w:rPr>
            </w:pPr>
            <w:r w:rsidRPr="00980BC4">
              <w:rPr>
                <w:rFonts w:ascii="宋体" w:eastAsia="宋体" w:hAnsi="宋体" w:cs="宋体"/>
                <w:sz w:val="18"/>
                <w:szCs w:val="18"/>
              </w:rPr>
              <w:t>货币资金</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141,639,744.87</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7.06%</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122,849,662.46</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6.62%</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0.44%</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64B53" w:rsidRPr="00980BC4" w:rsidRDefault="00264B53" w:rsidP="000C7563">
            <w:pPr>
              <w:spacing w:before="40" w:after="40" w:line="280" w:lineRule="exact"/>
              <w:rPr>
                <w:rFonts w:ascii="宋体" w:eastAsia="宋体" w:hAnsi="宋体" w:cs="宋体"/>
                <w:sz w:val="18"/>
                <w:szCs w:val="18"/>
              </w:rPr>
            </w:pPr>
            <w:r w:rsidRPr="00980BC4">
              <w:rPr>
                <w:rFonts w:ascii="宋体" w:eastAsia="宋体" w:hAnsi="宋体" w:cs="宋体"/>
                <w:sz w:val="18"/>
                <w:szCs w:val="18"/>
              </w:rPr>
              <w:t>应收账款</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151,471,551.63</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7.55%</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93,657,626.97</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5.05%</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2.50%</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本期</w:t>
            </w:r>
            <w:r w:rsidRPr="00980BC4">
              <w:rPr>
                <w:rFonts w:ascii="宋体" w:eastAsia="宋体" w:hAnsi="宋体" w:cs="宋体" w:hint="eastAsia"/>
                <w:color w:val="000000" w:themeColor="text1"/>
                <w:sz w:val="18"/>
                <w:szCs w:val="18"/>
              </w:rPr>
              <w:t>军品收入规模增长，应收账款相应增加</w:t>
            </w:r>
            <w:r w:rsidRPr="00980BC4">
              <w:rPr>
                <w:rFonts w:ascii="宋体" w:eastAsia="宋体" w:hAnsi="宋体" w:cs="宋体"/>
                <w:color w:val="000000" w:themeColor="text1"/>
                <w:sz w:val="18"/>
                <w:szCs w:val="18"/>
              </w:rPr>
              <w:t>。</w:t>
            </w: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64B53" w:rsidRPr="00980BC4" w:rsidRDefault="00264B53" w:rsidP="000C7563">
            <w:pPr>
              <w:spacing w:before="40" w:after="40" w:line="280" w:lineRule="exact"/>
              <w:rPr>
                <w:rFonts w:ascii="宋体" w:eastAsia="宋体" w:hAnsi="宋体" w:cs="宋体"/>
                <w:sz w:val="18"/>
                <w:szCs w:val="18"/>
              </w:rPr>
            </w:pPr>
            <w:r w:rsidRPr="00980BC4">
              <w:rPr>
                <w:rFonts w:ascii="宋体" w:eastAsia="宋体" w:hAnsi="宋体" w:cs="宋体"/>
                <w:sz w:val="18"/>
                <w:szCs w:val="18"/>
              </w:rPr>
              <w:t>存货</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159,144,000.01</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7.93%</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114,068,172.37</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6.15%</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1.78%</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64B53" w:rsidRPr="00980BC4" w:rsidRDefault="00264B53" w:rsidP="000C7563">
            <w:pPr>
              <w:spacing w:before="40" w:after="40" w:line="280" w:lineRule="exact"/>
              <w:rPr>
                <w:rFonts w:ascii="宋体" w:eastAsia="宋体" w:hAnsi="宋体" w:cs="宋体"/>
                <w:sz w:val="18"/>
                <w:szCs w:val="18"/>
              </w:rPr>
            </w:pPr>
            <w:r w:rsidRPr="00980BC4">
              <w:rPr>
                <w:rFonts w:ascii="宋体" w:eastAsia="宋体" w:hAnsi="宋体" w:cs="宋体"/>
                <w:sz w:val="18"/>
                <w:szCs w:val="18"/>
              </w:rPr>
              <w:t>投资性房地产</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22,577,561.65</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1.13%</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23,297,125.81</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1.26%</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-0.13%</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64B53" w:rsidRPr="00980BC4" w:rsidRDefault="00264B53" w:rsidP="000C7563">
            <w:pPr>
              <w:spacing w:before="40" w:after="40" w:line="280" w:lineRule="exact"/>
              <w:rPr>
                <w:rFonts w:ascii="宋体" w:eastAsia="宋体" w:hAnsi="宋体" w:cs="宋体"/>
                <w:sz w:val="18"/>
                <w:szCs w:val="18"/>
              </w:rPr>
            </w:pPr>
            <w:r w:rsidRPr="00980BC4">
              <w:rPr>
                <w:rFonts w:ascii="宋体" w:eastAsia="宋体" w:hAnsi="宋体" w:cs="宋体"/>
                <w:sz w:val="18"/>
                <w:szCs w:val="18"/>
              </w:rPr>
              <w:t>长期股权投资</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164,439,177.20</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8.19%</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157,858,508.52</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8.51%</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-0.32%</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64B53" w:rsidRPr="00980BC4" w:rsidRDefault="00264B53" w:rsidP="000C7563">
            <w:pPr>
              <w:spacing w:before="40" w:after="40" w:line="280" w:lineRule="exact"/>
              <w:rPr>
                <w:rFonts w:ascii="宋体" w:eastAsia="宋体" w:hAnsi="宋体" w:cs="宋体"/>
                <w:sz w:val="18"/>
                <w:szCs w:val="18"/>
              </w:rPr>
            </w:pPr>
            <w:r w:rsidRPr="00980BC4">
              <w:rPr>
                <w:rFonts w:ascii="宋体" w:eastAsia="宋体" w:hAnsi="宋体" w:cs="宋体"/>
                <w:sz w:val="18"/>
                <w:szCs w:val="18"/>
              </w:rPr>
              <w:t>固定资产</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57,770,822.39</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2.88%</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39,274,854.67</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2.12%</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0.76%</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64B53" w:rsidRPr="00980BC4" w:rsidRDefault="00264B53" w:rsidP="000C7563">
            <w:pPr>
              <w:spacing w:before="40" w:after="40" w:line="280" w:lineRule="exact"/>
              <w:rPr>
                <w:rFonts w:ascii="宋体" w:eastAsia="宋体" w:hAnsi="宋体" w:cs="宋体"/>
                <w:sz w:val="18"/>
                <w:szCs w:val="18"/>
              </w:rPr>
            </w:pPr>
            <w:r w:rsidRPr="00980BC4">
              <w:rPr>
                <w:rFonts w:ascii="宋体" w:eastAsia="宋体" w:hAnsi="宋体" w:cs="宋体"/>
                <w:sz w:val="18"/>
                <w:szCs w:val="18"/>
              </w:rPr>
              <w:t>在建工程</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273,451.33</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0.01%</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375,558.55</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0.02%</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-0.01%</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64B53" w:rsidRPr="00980BC4" w:rsidRDefault="00264B53" w:rsidP="000C7563">
            <w:pPr>
              <w:spacing w:before="40" w:after="40" w:line="280" w:lineRule="exact"/>
              <w:rPr>
                <w:rFonts w:ascii="宋体" w:eastAsia="宋体" w:hAnsi="宋体" w:cs="宋体"/>
                <w:sz w:val="18"/>
                <w:szCs w:val="18"/>
              </w:rPr>
            </w:pPr>
            <w:r w:rsidRPr="00980BC4">
              <w:rPr>
                <w:rFonts w:ascii="宋体" w:eastAsia="宋体" w:hAnsi="宋体" w:cs="宋体"/>
                <w:sz w:val="18"/>
                <w:szCs w:val="18"/>
              </w:rPr>
              <w:t>使用权资产</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57,660,520.15</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2.87%</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59,413,719.69</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3.20%</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-0.33%</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64B53" w:rsidRPr="00980BC4" w:rsidRDefault="00264B53" w:rsidP="000C7563">
            <w:pPr>
              <w:spacing w:before="40" w:after="40" w:line="280" w:lineRule="exact"/>
              <w:rPr>
                <w:rFonts w:ascii="宋体" w:eastAsia="宋体" w:hAnsi="宋体" w:cs="宋体"/>
                <w:sz w:val="18"/>
                <w:szCs w:val="18"/>
              </w:rPr>
            </w:pPr>
            <w:r w:rsidRPr="00980BC4">
              <w:rPr>
                <w:rFonts w:ascii="宋体" w:eastAsia="宋体" w:hAnsi="宋体" w:cs="宋体"/>
                <w:sz w:val="18"/>
                <w:szCs w:val="18"/>
              </w:rPr>
              <w:t>合同负债</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5,520,477.18</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0.28%</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24,629,339.09</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1.33%</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-1.05%</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64B53" w:rsidRPr="00980BC4" w:rsidRDefault="00264B53" w:rsidP="000C7563">
            <w:pPr>
              <w:spacing w:before="40" w:after="40" w:line="280" w:lineRule="exact"/>
              <w:rPr>
                <w:rFonts w:ascii="宋体" w:eastAsia="宋体" w:hAnsi="宋体" w:cs="宋体"/>
                <w:sz w:val="18"/>
                <w:szCs w:val="18"/>
              </w:rPr>
            </w:pPr>
            <w:r w:rsidRPr="00980BC4">
              <w:rPr>
                <w:rFonts w:ascii="宋体" w:eastAsia="宋体" w:hAnsi="宋体" w:cs="宋体"/>
                <w:sz w:val="18"/>
                <w:szCs w:val="18"/>
              </w:rPr>
              <w:t>租赁负债</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60,071,068.19</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2.99%</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60,897,403.69</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3.28%</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-0.29%</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0C7563">
            <w:pPr>
              <w:spacing w:line="280" w:lineRule="exact"/>
              <w:rPr>
                <w:rFonts w:ascii="宋体" w:eastAsia="宋体" w:hAnsi="宋体" w:cs="宋体"/>
                <w:sz w:val="18"/>
                <w:szCs w:val="18"/>
              </w:rPr>
            </w:pPr>
            <w:r w:rsidRPr="00980BC4">
              <w:rPr>
                <w:rFonts w:ascii="宋体" w:eastAsia="宋体" w:hAnsi="宋体" w:cs="宋体"/>
                <w:sz w:val="18"/>
                <w:szCs w:val="18"/>
              </w:rPr>
              <w:t>交易性金融资产</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292,231,491.07</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14.56%</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292,481,315.59</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15.77%</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-1.21%</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0C7563">
            <w:pPr>
              <w:spacing w:line="280" w:lineRule="exact"/>
              <w:rPr>
                <w:rFonts w:ascii="宋体" w:eastAsia="宋体" w:hAnsi="宋体" w:cs="宋体"/>
                <w:sz w:val="18"/>
                <w:szCs w:val="18"/>
              </w:rPr>
            </w:pPr>
            <w:r w:rsidRPr="00980BC4">
              <w:rPr>
                <w:rFonts w:ascii="宋体" w:eastAsia="宋体" w:hAnsi="宋体" w:cs="宋体"/>
                <w:sz w:val="18"/>
                <w:szCs w:val="18"/>
              </w:rPr>
              <w:t>应收票据</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156,156,288.85</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7.78%</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77,930,640.69</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4.20%</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3.58%</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r w:rsidRPr="00980BC4">
              <w:rPr>
                <w:rFonts w:ascii="宋体" w:eastAsia="宋体" w:hAnsi="宋体" w:cs="宋体"/>
                <w:sz w:val="18"/>
                <w:szCs w:val="18"/>
              </w:rPr>
              <w:t>本期销售形成应收票据较多。</w:t>
            </w:r>
          </w:p>
        </w:tc>
      </w:tr>
      <w:tr w:rsidR="00264B53" w:rsidRPr="00980BC4" w:rsidTr="000C7563">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0C7563">
            <w:pPr>
              <w:spacing w:line="280" w:lineRule="exact"/>
              <w:rPr>
                <w:rFonts w:ascii="宋体" w:eastAsia="宋体" w:hAnsi="宋体" w:cs="宋体"/>
                <w:sz w:val="18"/>
                <w:szCs w:val="18"/>
              </w:rPr>
            </w:pPr>
            <w:r w:rsidRPr="00980BC4">
              <w:rPr>
                <w:rFonts w:ascii="宋体" w:eastAsia="宋体" w:hAnsi="宋体" w:cs="宋体"/>
                <w:sz w:val="18"/>
                <w:szCs w:val="18"/>
              </w:rPr>
              <w:t>商誉</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718,624,779.20</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35.81%</w:t>
            </w:r>
          </w:p>
        </w:tc>
        <w:tc>
          <w:tcPr>
            <w:tcW w:w="1559"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650,263,070.56</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35.06%</w:t>
            </w:r>
          </w:p>
        </w:tc>
        <w:tc>
          <w:tcPr>
            <w:tcW w:w="1134"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264B53">
            <w:pPr>
              <w:spacing w:line="280" w:lineRule="exact"/>
              <w:jc w:val="right"/>
              <w:rPr>
                <w:rFonts w:ascii="宋体" w:eastAsia="宋体" w:hAnsi="宋体" w:cs="宋体"/>
                <w:sz w:val="18"/>
                <w:szCs w:val="18"/>
              </w:rPr>
            </w:pPr>
            <w:r w:rsidRPr="00216DE5">
              <w:rPr>
                <w:rFonts w:ascii="宋体" w:eastAsia="宋体" w:hAnsi="宋体" w:cs="宋体"/>
                <w:sz w:val="18"/>
                <w:szCs w:val="18"/>
              </w:rPr>
              <w:t>0.75%</w:t>
            </w:r>
          </w:p>
        </w:tc>
        <w:tc>
          <w:tcPr>
            <w:tcW w:w="1593" w:type="dxa"/>
            <w:tcBorders>
              <w:top w:val="single" w:sz="2" w:space="0" w:color="auto"/>
              <w:left w:val="single" w:sz="2" w:space="0" w:color="auto"/>
              <w:bottom w:val="single" w:sz="2" w:space="0" w:color="auto"/>
              <w:right w:val="single" w:sz="2" w:space="0" w:color="auto"/>
            </w:tcBorders>
            <w:vAlign w:val="center"/>
          </w:tcPr>
          <w:p w:rsidR="00264B53" w:rsidRPr="00980BC4" w:rsidRDefault="00264B53" w:rsidP="008D6E99">
            <w:pPr>
              <w:spacing w:line="280" w:lineRule="exact"/>
              <w:rPr>
                <w:rFonts w:ascii="宋体" w:eastAsia="宋体" w:hAnsi="宋体" w:cs="宋体"/>
                <w:sz w:val="18"/>
                <w:szCs w:val="18"/>
              </w:rPr>
            </w:pPr>
          </w:p>
        </w:tc>
      </w:tr>
    </w:tbl>
    <w:p w:rsidR="002A3304" w:rsidRPr="00980BC4" w:rsidRDefault="00DF4EBF" w:rsidP="00C51864">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r w:rsidRPr="00980BC4">
        <w:rPr>
          <w:rFonts w:ascii="仿宋" w:eastAsia="仿宋" w:hAnsi="仿宋" w:cs="Times New Roman"/>
          <w:b/>
          <w:color w:val="333333"/>
          <w:sz w:val="28"/>
          <w:szCs w:val="28"/>
          <w:shd w:val="clear" w:color="auto" w:fill="FFFFFF"/>
        </w:rPr>
        <w:t>境外资产占比较高</w:t>
      </w:r>
    </w:p>
    <w:p w:rsidR="002A3304" w:rsidRPr="00980BC4" w:rsidRDefault="00DF4EBF" w:rsidP="00C51864">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 xml:space="preserve">□适用 </w:t>
      </w:r>
      <w:r w:rsidR="00C51864"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不适用</w:t>
      </w:r>
    </w:p>
    <w:p w:rsidR="002A3304" w:rsidRPr="00980BC4" w:rsidRDefault="00DF4EBF" w:rsidP="006F00D1">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34" w:name="_Toc988923"/>
      <w:r w:rsidRPr="00980BC4">
        <w:rPr>
          <w:rFonts w:ascii="仿宋" w:eastAsia="仿宋" w:hAnsi="仿宋" w:cs="Times New Roman"/>
          <w:b/>
          <w:color w:val="333333"/>
          <w:sz w:val="28"/>
          <w:szCs w:val="28"/>
          <w:shd w:val="clear" w:color="auto" w:fill="FFFFFF"/>
        </w:rPr>
        <w:t>2、以公允价值计量的资产和负债</w:t>
      </w:r>
      <w:bookmarkEnd w:id="34"/>
    </w:p>
    <w:p w:rsidR="002A3304" w:rsidRPr="00980BC4" w:rsidRDefault="00DF4EBF" w:rsidP="006F00D1">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 xml:space="preserve">适用 </w:t>
      </w:r>
      <w:r w:rsidR="006F00D1"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□不适用</w:t>
      </w:r>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242"/>
        <w:gridCol w:w="1560"/>
        <w:gridCol w:w="850"/>
        <w:gridCol w:w="1134"/>
        <w:gridCol w:w="851"/>
        <w:gridCol w:w="708"/>
        <w:gridCol w:w="709"/>
        <w:gridCol w:w="992"/>
        <w:gridCol w:w="1593"/>
      </w:tblGrid>
      <w:tr w:rsidR="006F00D1" w:rsidRPr="00980BC4" w:rsidTr="006F00D1">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F00D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F00D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期初数</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F00D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本期公允价值变动损益</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F00D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计入权益的累计公允价值变动</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F00D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本期计提的减值</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F00D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本期购买金额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F00D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本期出售金额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F00D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其他变动</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F00D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期末数</w:t>
            </w:r>
          </w:p>
        </w:tc>
      </w:tr>
      <w:tr w:rsidR="002A3304" w:rsidRPr="00980BC4">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F00D1">
            <w:pPr>
              <w:spacing w:before="40" w:after="40" w:line="280" w:lineRule="exact"/>
              <w:rPr>
                <w:rFonts w:ascii="宋体" w:eastAsia="宋体" w:hAnsi="宋体" w:cs="宋体"/>
                <w:sz w:val="18"/>
                <w:szCs w:val="18"/>
              </w:rPr>
            </w:pPr>
            <w:r w:rsidRPr="00980BC4">
              <w:rPr>
                <w:rFonts w:ascii="宋体" w:eastAsia="宋体" w:hAnsi="宋体" w:cs="宋体"/>
                <w:sz w:val="18"/>
                <w:szCs w:val="18"/>
              </w:rPr>
              <w:t>金融资产</w:t>
            </w:r>
          </w:p>
        </w:tc>
      </w:tr>
      <w:tr w:rsidR="00E76CDC" w:rsidRPr="00980BC4" w:rsidTr="006F00D1">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E76CDC" w:rsidRPr="00980BC4" w:rsidRDefault="00E76CDC" w:rsidP="006F00D1">
            <w:pPr>
              <w:spacing w:before="40" w:after="40" w:line="280" w:lineRule="exact"/>
              <w:rPr>
                <w:rFonts w:ascii="宋体" w:eastAsia="宋体" w:hAnsi="宋体" w:cs="宋体"/>
                <w:sz w:val="18"/>
                <w:szCs w:val="18"/>
              </w:rPr>
            </w:pPr>
            <w:r w:rsidRPr="00980BC4">
              <w:rPr>
                <w:rFonts w:ascii="宋体" w:eastAsia="宋体" w:hAnsi="宋体" w:cs="宋体"/>
                <w:sz w:val="18"/>
                <w:szCs w:val="18"/>
              </w:rPr>
              <w:t>1.交易性金融资产（不含衍生金融资产）</w:t>
            </w:r>
          </w:p>
        </w:tc>
        <w:tc>
          <w:tcPr>
            <w:tcW w:w="1560"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6F00D1">
            <w:pPr>
              <w:spacing w:line="280" w:lineRule="exact"/>
              <w:jc w:val="right"/>
              <w:rPr>
                <w:rFonts w:ascii="宋体" w:eastAsia="宋体" w:hAnsi="宋体" w:cs="宋体"/>
                <w:sz w:val="18"/>
                <w:szCs w:val="18"/>
              </w:rPr>
            </w:pPr>
            <w:r w:rsidRPr="00980BC4">
              <w:rPr>
                <w:rFonts w:ascii="宋体" w:eastAsia="宋体" w:hAnsi="宋体" w:cs="宋体"/>
                <w:sz w:val="18"/>
                <w:szCs w:val="18"/>
              </w:rPr>
              <w:t>292,481,315.59</w:t>
            </w:r>
          </w:p>
        </w:tc>
        <w:tc>
          <w:tcPr>
            <w:tcW w:w="850"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r w:rsidRPr="00980BC4">
              <w:rPr>
                <w:rFonts w:ascii="宋体" w:eastAsia="宋体" w:hAnsi="宋体" w:cs="宋体"/>
                <w:sz w:val="18"/>
                <w:szCs w:val="18"/>
              </w:rPr>
              <w:t>1,785,144.58</w:t>
            </w:r>
          </w:p>
        </w:tc>
        <w:tc>
          <w:tcPr>
            <w:tcW w:w="1134"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r w:rsidRPr="00980BC4">
              <w:rPr>
                <w:rFonts w:ascii="宋体" w:eastAsia="宋体" w:hAnsi="宋体" w:cs="宋体"/>
                <w:sz w:val="18"/>
                <w:szCs w:val="18"/>
              </w:rPr>
              <w:t>2,062,435,490.90</w:t>
            </w:r>
          </w:p>
        </w:tc>
        <w:tc>
          <w:tcPr>
            <w:tcW w:w="709"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r w:rsidRPr="00980BC4">
              <w:rPr>
                <w:rFonts w:ascii="宋体" w:eastAsia="宋体" w:hAnsi="宋体" w:cs="宋体"/>
                <w:sz w:val="18"/>
                <w:szCs w:val="18"/>
              </w:rPr>
              <w:t>2,064,470,460.00</w:t>
            </w:r>
          </w:p>
        </w:tc>
        <w:tc>
          <w:tcPr>
            <w:tcW w:w="992"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6F00D1">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E76CDC" w:rsidRPr="00980BC4" w:rsidRDefault="00863E71" w:rsidP="008D6E99">
            <w:pPr>
              <w:spacing w:line="280" w:lineRule="exact"/>
              <w:jc w:val="right"/>
              <w:rPr>
                <w:rFonts w:ascii="宋体" w:eastAsia="宋体" w:hAnsi="宋体" w:cs="宋体"/>
                <w:sz w:val="18"/>
                <w:szCs w:val="18"/>
              </w:rPr>
            </w:pPr>
            <w:r w:rsidRPr="00474EFB">
              <w:rPr>
                <w:rFonts w:ascii="宋体" w:eastAsia="宋体" w:hAnsi="宋体" w:cs="宋体"/>
                <w:sz w:val="18"/>
                <w:szCs w:val="18"/>
              </w:rPr>
              <w:t>292,231,491.07</w:t>
            </w:r>
          </w:p>
        </w:tc>
      </w:tr>
      <w:tr w:rsidR="00AD5712" w:rsidRPr="00980BC4" w:rsidTr="006F00D1">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AD5712" w:rsidRPr="00980BC4" w:rsidRDefault="00AD5712" w:rsidP="006F00D1">
            <w:pPr>
              <w:spacing w:before="40" w:after="40" w:line="280" w:lineRule="exact"/>
              <w:rPr>
                <w:rFonts w:ascii="宋体" w:eastAsia="宋体" w:hAnsi="宋体" w:cs="宋体"/>
                <w:sz w:val="18"/>
                <w:szCs w:val="18"/>
              </w:rPr>
            </w:pPr>
            <w:r w:rsidRPr="00980BC4">
              <w:rPr>
                <w:rFonts w:ascii="宋体" w:eastAsia="宋体" w:hAnsi="宋体" w:cs="宋体" w:hint="eastAsia"/>
                <w:sz w:val="18"/>
                <w:szCs w:val="18"/>
              </w:rPr>
              <w:t>2</w:t>
            </w:r>
            <w:r w:rsidRPr="00980BC4">
              <w:rPr>
                <w:rFonts w:ascii="宋体" w:eastAsia="宋体" w:hAnsi="宋体" w:cs="宋体"/>
                <w:sz w:val="18"/>
                <w:szCs w:val="18"/>
              </w:rPr>
              <w:t>.其他权益</w:t>
            </w:r>
            <w:r w:rsidRPr="00980BC4">
              <w:rPr>
                <w:rFonts w:ascii="宋体" w:eastAsia="宋体" w:hAnsi="宋体" w:cs="宋体"/>
                <w:sz w:val="18"/>
                <w:szCs w:val="18"/>
              </w:rPr>
              <w:lastRenderedPageBreak/>
              <w:t>工具投资</w:t>
            </w:r>
          </w:p>
        </w:tc>
        <w:tc>
          <w:tcPr>
            <w:tcW w:w="1560"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r w:rsidRPr="00980BC4">
              <w:rPr>
                <w:rFonts w:ascii="宋体" w:eastAsia="宋体" w:hAnsi="宋体" w:cs="宋体"/>
                <w:sz w:val="18"/>
                <w:szCs w:val="18"/>
              </w:rPr>
              <w:lastRenderedPageBreak/>
              <w:t>20,000,000.00</w:t>
            </w:r>
          </w:p>
        </w:tc>
        <w:tc>
          <w:tcPr>
            <w:tcW w:w="850"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r w:rsidRPr="00980BC4">
              <w:rPr>
                <w:rFonts w:ascii="宋体" w:eastAsia="宋体" w:hAnsi="宋体" w:cs="宋体"/>
                <w:sz w:val="18"/>
                <w:szCs w:val="18"/>
              </w:rPr>
              <w:t>2,000,00</w:t>
            </w:r>
            <w:r w:rsidRPr="00980BC4">
              <w:rPr>
                <w:rFonts w:ascii="宋体" w:eastAsia="宋体" w:hAnsi="宋体" w:cs="宋体"/>
                <w:sz w:val="18"/>
                <w:szCs w:val="18"/>
              </w:rPr>
              <w:lastRenderedPageBreak/>
              <w:t>0.00</w:t>
            </w:r>
          </w:p>
        </w:tc>
        <w:tc>
          <w:tcPr>
            <w:tcW w:w="1593"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lastRenderedPageBreak/>
              <w:t>22,000,000.00</w:t>
            </w:r>
          </w:p>
        </w:tc>
      </w:tr>
      <w:tr w:rsidR="00E76CDC" w:rsidRPr="00980BC4" w:rsidTr="006F00D1">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E76CDC" w:rsidRPr="00980BC4" w:rsidRDefault="00E76CDC" w:rsidP="006F00D1">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其他</w:t>
            </w:r>
          </w:p>
        </w:tc>
        <w:tc>
          <w:tcPr>
            <w:tcW w:w="1560"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6F00D1">
            <w:pPr>
              <w:spacing w:line="280" w:lineRule="exact"/>
              <w:jc w:val="right"/>
              <w:rPr>
                <w:rFonts w:ascii="宋体" w:eastAsia="宋体" w:hAnsi="宋体" w:cs="宋体"/>
                <w:sz w:val="18"/>
                <w:szCs w:val="18"/>
              </w:rPr>
            </w:pPr>
            <w:r w:rsidRPr="00980BC4">
              <w:rPr>
                <w:rFonts w:ascii="宋体" w:eastAsia="宋体" w:hAnsi="宋体" w:cs="宋体"/>
                <w:sz w:val="18"/>
                <w:szCs w:val="18"/>
              </w:rPr>
              <w:t>140,352,812.76</w:t>
            </w:r>
          </w:p>
        </w:tc>
        <w:tc>
          <w:tcPr>
            <w:tcW w:w="850"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r w:rsidRPr="00980BC4">
              <w:rPr>
                <w:rFonts w:ascii="宋体" w:eastAsia="宋体" w:hAnsi="宋体" w:cs="宋体"/>
                <w:sz w:val="18"/>
                <w:szCs w:val="18"/>
              </w:rPr>
              <w:t>-302,812.76</w:t>
            </w:r>
          </w:p>
        </w:tc>
        <w:tc>
          <w:tcPr>
            <w:tcW w:w="1134"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r w:rsidRPr="00980BC4">
              <w:rPr>
                <w:rFonts w:ascii="宋体" w:eastAsia="宋体" w:hAnsi="宋体" w:cs="宋体"/>
                <w:sz w:val="18"/>
                <w:szCs w:val="18"/>
              </w:rPr>
              <w:t>140,050,000.00</w:t>
            </w:r>
          </w:p>
        </w:tc>
        <w:tc>
          <w:tcPr>
            <w:tcW w:w="992"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D6E99">
            <w:pPr>
              <w:spacing w:line="280" w:lineRule="exact"/>
              <w:jc w:val="right"/>
              <w:rPr>
                <w:rFonts w:ascii="宋体" w:eastAsia="宋体" w:hAnsi="宋体" w:cs="宋体"/>
                <w:sz w:val="18"/>
                <w:szCs w:val="18"/>
              </w:rPr>
            </w:pPr>
          </w:p>
        </w:tc>
      </w:tr>
      <w:tr w:rsidR="00E76CDC" w:rsidRPr="00980BC4" w:rsidTr="006F00D1">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E76CDC" w:rsidRPr="00980BC4" w:rsidRDefault="00E76CDC" w:rsidP="006F00D1">
            <w:pPr>
              <w:spacing w:before="40" w:after="40" w:line="280" w:lineRule="exact"/>
              <w:rPr>
                <w:rFonts w:ascii="宋体" w:eastAsia="宋体" w:hAnsi="宋体" w:cs="宋体"/>
                <w:sz w:val="18"/>
                <w:szCs w:val="18"/>
              </w:rPr>
            </w:pPr>
            <w:r w:rsidRPr="00980BC4">
              <w:rPr>
                <w:rFonts w:ascii="宋体" w:eastAsia="宋体" w:hAnsi="宋体" w:cs="宋体"/>
                <w:sz w:val="18"/>
                <w:szCs w:val="18"/>
              </w:rPr>
              <w:t>上述合计</w:t>
            </w:r>
          </w:p>
        </w:tc>
        <w:tc>
          <w:tcPr>
            <w:tcW w:w="1560"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6F00D1">
            <w:pPr>
              <w:spacing w:line="280" w:lineRule="exact"/>
              <w:jc w:val="right"/>
              <w:rPr>
                <w:rFonts w:ascii="宋体" w:eastAsia="宋体" w:hAnsi="宋体" w:cs="宋体"/>
                <w:sz w:val="18"/>
                <w:szCs w:val="18"/>
              </w:rPr>
            </w:pPr>
            <w:r w:rsidRPr="00980BC4">
              <w:rPr>
                <w:rFonts w:ascii="宋体" w:eastAsia="宋体" w:hAnsi="宋体" w:cs="宋体"/>
                <w:sz w:val="18"/>
                <w:szCs w:val="18"/>
              </w:rPr>
              <w:t>452,834,128.35</w:t>
            </w:r>
          </w:p>
        </w:tc>
        <w:tc>
          <w:tcPr>
            <w:tcW w:w="850"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r w:rsidRPr="00980BC4">
              <w:rPr>
                <w:rFonts w:ascii="宋体" w:eastAsia="宋体" w:hAnsi="宋体" w:cs="宋体"/>
                <w:sz w:val="18"/>
                <w:szCs w:val="18"/>
              </w:rPr>
              <w:t>1,482,331.82</w:t>
            </w:r>
          </w:p>
        </w:tc>
        <w:tc>
          <w:tcPr>
            <w:tcW w:w="1134"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r w:rsidRPr="00980BC4">
              <w:rPr>
                <w:rFonts w:ascii="宋体" w:eastAsia="宋体" w:hAnsi="宋体" w:cs="宋体"/>
                <w:sz w:val="18"/>
                <w:szCs w:val="18"/>
              </w:rPr>
              <w:t>2,062,435,490.90</w:t>
            </w:r>
          </w:p>
        </w:tc>
        <w:tc>
          <w:tcPr>
            <w:tcW w:w="709"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r w:rsidRPr="00980BC4">
              <w:rPr>
                <w:rFonts w:ascii="宋体" w:eastAsia="宋体" w:hAnsi="宋体" w:cs="宋体"/>
                <w:sz w:val="18"/>
                <w:szCs w:val="18"/>
              </w:rPr>
              <w:t>2,204,520,460.00</w:t>
            </w:r>
          </w:p>
        </w:tc>
        <w:tc>
          <w:tcPr>
            <w:tcW w:w="992"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80C64">
            <w:pPr>
              <w:spacing w:line="280" w:lineRule="exact"/>
              <w:jc w:val="right"/>
              <w:rPr>
                <w:rFonts w:ascii="宋体" w:eastAsia="宋体" w:hAnsi="宋体" w:cs="宋体"/>
                <w:sz w:val="18"/>
                <w:szCs w:val="18"/>
              </w:rPr>
            </w:pPr>
            <w:r w:rsidRPr="00980BC4">
              <w:rPr>
                <w:rFonts w:ascii="宋体" w:eastAsia="宋体" w:hAnsi="宋体" w:cs="宋体"/>
                <w:sz w:val="18"/>
                <w:szCs w:val="18"/>
              </w:rPr>
              <w:t>2,000,000.00</w:t>
            </w:r>
          </w:p>
        </w:tc>
        <w:tc>
          <w:tcPr>
            <w:tcW w:w="1593" w:type="dxa"/>
            <w:tcBorders>
              <w:top w:val="single" w:sz="2" w:space="0" w:color="auto"/>
              <w:left w:val="single" w:sz="2" w:space="0" w:color="auto"/>
              <w:bottom w:val="single" w:sz="2" w:space="0" w:color="auto"/>
              <w:right w:val="single" w:sz="2" w:space="0" w:color="auto"/>
            </w:tcBorders>
            <w:vAlign w:val="center"/>
          </w:tcPr>
          <w:p w:rsidR="00E76CDC" w:rsidRPr="00980BC4" w:rsidRDefault="00E76CDC"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314,231,491.07</w:t>
            </w:r>
          </w:p>
        </w:tc>
      </w:tr>
      <w:tr w:rsidR="00AD5712" w:rsidRPr="00980BC4" w:rsidTr="006F00D1">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AD5712" w:rsidRPr="00980BC4" w:rsidRDefault="00AD5712" w:rsidP="006F00D1">
            <w:pPr>
              <w:spacing w:before="40" w:after="40" w:line="280" w:lineRule="exact"/>
              <w:rPr>
                <w:rFonts w:ascii="宋体" w:eastAsia="宋体" w:hAnsi="宋体" w:cs="宋体"/>
                <w:sz w:val="18"/>
                <w:szCs w:val="18"/>
              </w:rPr>
            </w:pPr>
            <w:r w:rsidRPr="00980BC4">
              <w:rPr>
                <w:rFonts w:ascii="宋体" w:eastAsia="宋体" w:hAnsi="宋体" w:cs="宋体"/>
                <w:sz w:val="18"/>
                <w:szCs w:val="18"/>
              </w:rPr>
              <w:t>金融负债</w:t>
            </w:r>
          </w:p>
        </w:tc>
        <w:tc>
          <w:tcPr>
            <w:tcW w:w="1560"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850"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6F00D1">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AD5712" w:rsidRPr="00980BC4" w:rsidRDefault="00AD5712"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bl>
    <w:p w:rsidR="002A3304" w:rsidRPr="00980BC4" w:rsidRDefault="00DF4EBF" w:rsidP="006F00D1">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r w:rsidRPr="00980BC4">
        <w:rPr>
          <w:rFonts w:ascii="仿宋" w:eastAsia="仿宋" w:hAnsi="仿宋" w:cs="Times New Roman"/>
          <w:b/>
          <w:color w:val="333333"/>
          <w:sz w:val="28"/>
          <w:szCs w:val="28"/>
          <w:shd w:val="clear" w:color="auto" w:fill="FFFFFF"/>
        </w:rPr>
        <w:t>报告期内公司主要资产计量属性是否发生重大变化</w:t>
      </w:r>
    </w:p>
    <w:p w:rsidR="002A3304" w:rsidRPr="00980BC4" w:rsidRDefault="00DF4EBF" w:rsidP="006F00D1">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□是</w:t>
      </w:r>
      <w:r w:rsidR="006F00D1"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否</w:t>
      </w:r>
    </w:p>
    <w:p w:rsidR="002A3304" w:rsidRPr="00980BC4" w:rsidRDefault="00DF4EBF" w:rsidP="00B43277">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35" w:name="_Toc988924"/>
      <w:r w:rsidRPr="00980BC4">
        <w:rPr>
          <w:rFonts w:ascii="仿宋" w:eastAsia="仿宋" w:hAnsi="仿宋" w:cs="Times New Roman"/>
          <w:b/>
          <w:color w:val="333333"/>
          <w:sz w:val="28"/>
          <w:szCs w:val="28"/>
          <w:shd w:val="clear" w:color="auto" w:fill="FFFFFF"/>
        </w:rPr>
        <w:t>3、截至报告期末的资产权利受限情况</w:t>
      </w:r>
      <w:bookmarkEnd w:id="35"/>
    </w:p>
    <w:tbl>
      <w:tblPr>
        <w:tblW w:w="8844" w:type="dxa"/>
        <w:jc w:val="center"/>
        <w:tblCellMar>
          <w:left w:w="0" w:type="dxa"/>
          <w:right w:w="0" w:type="dxa"/>
        </w:tblCellMar>
        <w:tblLook w:val="04A0"/>
      </w:tblPr>
      <w:tblGrid>
        <w:gridCol w:w="2267"/>
        <w:gridCol w:w="2977"/>
        <w:gridCol w:w="3600"/>
      </w:tblGrid>
      <w:tr w:rsidR="002A3304" w:rsidRPr="00980BC4">
        <w:trPr>
          <w:divId w:val="786705591"/>
          <w:trHeight w:val="369"/>
          <w:tblHeader/>
          <w:jc w:val="center"/>
        </w:trPr>
        <w:tc>
          <w:tcPr>
            <w:tcW w:w="1282" w:type="pct"/>
            <w:tcBorders>
              <w:top w:val="single" w:sz="8" w:space="0" w:color="auto"/>
              <w:left w:val="single" w:sz="8" w:space="0" w:color="auto"/>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项</w:t>
            </w:r>
            <w:r w:rsidRPr="00980BC4">
              <w:rPr>
                <w:rFonts w:ascii="Times New Roman" w:hAnsi="Times New Roman" w:cs="Times New Roman"/>
                <w:sz w:val="21"/>
                <w:szCs w:val="21"/>
              </w:rPr>
              <w:t xml:space="preserve">  </w:t>
            </w:r>
            <w:r w:rsidRPr="00980BC4">
              <w:rPr>
                <w:rFonts w:cs="Times New Roman" w:hint="eastAsia"/>
                <w:sz w:val="21"/>
                <w:szCs w:val="21"/>
              </w:rPr>
              <w:t>目</w:t>
            </w:r>
          </w:p>
        </w:tc>
        <w:tc>
          <w:tcPr>
            <w:tcW w:w="1683" w:type="pct"/>
            <w:tcBorders>
              <w:top w:val="single" w:sz="8" w:space="0" w:color="auto"/>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jc w:val="center"/>
              <w:rPr>
                <w:rFonts w:ascii="Times New Roman" w:hAnsi="Times New Roman" w:cs="Times New Roman"/>
                <w:sz w:val="21"/>
                <w:szCs w:val="21"/>
              </w:rPr>
            </w:pPr>
            <w:r w:rsidRPr="00980BC4">
              <w:rPr>
                <w:rFonts w:ascii="Times New Roman" w:hAnsi="Times New Roman" w:cs="Times New Roman"/>
                <w:sz w:val="21"/>
                <w:szCs w:val="21"/>
              </w:rPr>
              <w:t>2022</w:t>
            </w:r>
            <w:r w:rsidRPr="00980BC4">
              <w:rPr>
                <w:rFonts w:cs="Times New Roman" w:hint="eastAsia"/>
                <w:sz w:val="21"/>
                <w:szCs w:val="21"/>
              </w:rPr>
              <w:t>年</w:t>
            </w:r>
            <w:r w:rsidRPr="00980BC4">
              <w:rPr>
                <w:rFonts w:ascii="Times New Roman" w:hAnsi="Times New Roman" w:cs="Times New Roman"/>
                <w:sz w:val="21"/>
                <w:szCs w:val="21"/>
              </w:rPr>
              <w:t>12</w:t>
            </w:r>
            <w:r w:rsidRPr="00980BC4">
              <w:rPr>
                <w:rFonts w:cs="Times New Roman" w:hint="eastAsia"/>
                <w:sz w:val="21"/>
                <w:szCs w:val="21"/>
              </w:rPr>
              <w:t>月</w:t>
            </w:r>
            <w:r w:rsidRPr="00980BC4">
              <w:rPr>
                <w:rFonts w:ascii="Times New Roman" w:hAnsi="Times New Roman" w:cs="Times New Roman"/>
                <w:sz w:val="21"/>
                <w:szCs w:val="21"/>
              </w:rPr>
              <w:t>31</w:t>
            </w:r>
            <w:r w:rsidRPr="00980BC4">
              <w:rPr>
                <w:rFonts w:cs="Times New Roman" w:hint="eastAsia"/>
                <w:sz w:val="21"/>
                <w:szCs w:val="21"/>
              </w:rPr>
              <w:t>日账面价值</w:t>
            </w:r>
          </w:p>
        </w:tc>
        <w:tc>
          <w:tcPr>
            <w:tcW w:w="2035" w:type="pct"/>
            <w:tcBorders>
              <w:top w:val="single" w:sz="8" w:space="0" w:color="auto"/>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受限原因</w:t>
            </w:r>
          </w:p>
        </w:tc>
      </w:tr>
      <w:tr w:rsidR="002A3304" w:rsidRPr="00980BC4">
        <w:trPr>
          <w:divId w:val="786705591"/>
          <w:trHeight w:val="369"/>
          <w:jc w:val="center"/>
        </w:trPr>
        <w:tc>
          <w:tcPr>
            <w:tcW w:w="1282"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rPr>
                <w:rFonts w:ascii="Times New Roman" w:hAnsi="Times New Roman" w:cs="Times New Roman"/>
                <w:sz w:val="21"/>
                <w:szCs w:val="21"/>
              </w:rPr>
            </w:pPr>
            <w:r w:rsidRPr="00980BC4">
              <w:rPr>
                <w:rFonts w:cs="Times New Roman" w:hint="eastAsia"/>
                <w:sz w:val="21"/>
                <w:szCs w:val="21"/>
              </w:rPr>
              <w:t>货币资金</w:t>
            </w:r>
          </w:p>
        </w:tc>
        <w:tc>
          <w:tcPr>
            <w:tcW w:w="1683"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jc w:val="right"/>
              <w:rPr>
                <w:rFonts w:ascii="Times New Roman" w:hAnsi="Times New Roman" w:cs="Times New Roman"/>
                <w:sz w:val="21"/>
                <w:szCs w:val="21"/>
              </w:rPr>
            </w:pPr>
            <w:r w:rsidRPr="00980BC4">
              <w:rPr>
                <w:rFonts w:ascii="Times New Roman" w:hAnsi="Times New Roman" w:cs="Times New Roman"/>
                <w:sz w:val="21"/>
                <w:szCs w:val="21"/>
              </w:rPr>
              <w:t>47,294,365.16</w:t>
            </w:r>
          </w:p>
        </w:tc>
        <w:tc>
          <w:tcPr>
            <w:tcW w:w="2035"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rPr>
                <w:rFonts w:ascii="Times New Roman" w:hAnsi="Times New Roman" w:cs="Times New Roman"/>
                <w:sz w:val="21"/>
                <w:szCs w:val="21"/>
              </w:rPr>
            </w:pPr>
            <w:r w:rsidRPr="00980BC4">
              <w:rPr>
                <w:rFonts w:cs="Times New Roman" w:hint="eastAsia"/>
                <w:sz w:val="21"/>
                <w:szCs w:val="21"/>
              </w:rPr>
              <w:t>票据保证金、定期存款</w:t>
            </w:r>
          </w:p>
        </w:tc>
      </w:tr>
      <w:tr w:rsidR="002A3304" w:rsidRPr="00980BC4">
        <w:trPr>
          <w:divId w:val="786705591"/>
          <w:trHeight w:val="369"/>
          <w:jc w:val="center"/>
        </w:trPr>
        <w:tc>
          <w:tcPr>
            <w:tcW w:w="1282"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rPr>
                <w:rFonts w:ascii="Times New Roman" w:hAnsi="Times New Roman" w:cs="Times New Roman"/>
                <w:sz w:val="21"/>
                <w:szCs w:val="21"/>
              </w:rPr>
            </w:pPr>
            <w:r w:rsidRPr="00980BC4">
              <w:rPr>
                <w:rFonts w:cs="Times New Roman" w:hint="eastAsia"/>
                <w:sz w:val="21"/>
                <w:szCs w:val="21"/>
              </w:rPr>
              <w:t>固定资产</w:t>
            </w:r>
          </w:p>
        </w:tc>
        <w:tc>
          <w:tcPr>
            <w:tcW w:w="1683"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jc w:val="right"/>
              <w:rPr>
                <w:rFonts w:ascii="Times New Roman" w:hAnsi="Times New Roman" w:cs="Times New Roman"/>
                <w:sz w:val="21"/>
                <w:szCs w:val="21"/>
              </w:rPr>
            </w:pPr>
            <w:r w:rsidRPr="00980BC4">
              <w:rPr>
                <w:rFonts w:ascii="Times New Roman" w:hAnsi="Times New Roman" w:cs="Times New Roman"/>
                <w:sz w:val="21"/>
                <w:szCs w:val="21"/>
              </w:rPr>
              <w:t>14,135,492.56</w:t>
            </w:r>
          </w:p>
        </w:tc>
        <w:tc>
          <w:tcPr>
            <w:tcW w:w="2035"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ind w:right="210"/>
              <w:rPr>
                <w:rFonts w:ascii="Times New Roman" w:hAnsi="Times New Roman" w:cs="Times New Roman"/>
                <w:sz w:val="21"/>
                <w:szCs w:val="21"/>
              </w:rPr>
            </w:pPr>
            <w:r w:rsidRPr="00980BC4">
              <w:rPr>
                <w:rFonts w:cs="Times New Roman" w:hint="eastAsia"/>
                <w:sz w:val="21"/>
                <w:szCs w:val="21"/>
              </w:rPr>
              <w:t>银行贷款额度抵押（期末无借款）</w:t>
            </w:r>
          </w:p>
        </w:tc>
      </w:tr>
      <w:tr w:rsidR="002A3304" w:rsidRPr="00980BC4">
        <w:trPr>
          <w:divId w:val="786705591"/>
          <w:trHeight w:val="369"/>
          <w:jc w:val="center"/>
        </w:trPr>
        <w:tc>
          <w:tcPr>
            <w:tcW w:w="1282"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rPr>
                <w:rFonts w:ascii="Times New Roman" w:hAnsi="Times New Roman" w:cs="Times New Roman"/>
                <w:sz w:val="21"/>
                <w:szCs w:val="21"/>
              </w:rPr>
            </w:pPr>
            <w:r w:rsidRPr="00980BC4">
              <w:rPr>
                <w:rFonts w:cs="Times New Roman" w:hint="eastAsia"/>
                <w:sz w:val="21"/>
                <w:szCs w:val="21"/>
              </w:rPr>
              <w:t>无形资产</w:t>
            </w:r>
          </w:p>
        </w:tc>
        <w:tc>
          <w:tcPr>
            <w:tcW w:w="1683"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jc w:val="right"/>
              <w:rPr>
                <w:rFonts w:ascii="Times New Roman" w:hAnsi="Times New Roman" w:cs="Times New Roman"/>
                <w:sz w:val="21"/>
                <w:szCs w:val="21"/>
              </w:rPr>
            </w:pPr>
            <w:r w:rsidRPr="00980BC4">
              <w:rPr>
                <w:rFonts w:ascii="Times New Roman" w:hAnsi="Times New Roman" w:cs="Times New Roman"/>
                <w:sz w:val="21"/>
                <w:szCs w:val="21"/>
              </w:rPr>
              <w:t>1,169,174.46</w:t>
            </w:r>
          </w:p>
        </w:tc>
        <w:tc>
          <w:tcPr>
            <w:tcW w:w="2035"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rPr>
                <w:rFonts w:ascii="Times New Roman" w:hAnsi="Times New Roman" w:cs="Times New Roman"/>
                <w:sz w:val="21"/>
                <w:szCs w:val="21"/>
              </w:rPr>
            </w:pPr>
            <w:r w:rsidRPr="00980BC4">
              <w:rPr>
                <w:rFonts w:cs="Times New Roman" w:hint="eastAsia"/>
                <w:sz w:val="21"/>
                <w:szCs w:val="21"/>
              </w:rPr>
              <w:t>银行贷款额度抵押（期末无借款）</w:t>
            </w:r>
          </w:p>
        </w:tc>
      </w:tr>
      <w:tr w:rsidR="002A3304" w:rsidRPr="00980BC4">
        <w:trPr>
          <w:divId w:val="786705591"/>
          <w:trHeight w:val="369"/>
          <w:jc w:val="center"/>
        </w:trPr>
        <w:tc>
          <w:tcPr>
            <w:tcW w:w="1282"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rPr>
                <w:rFonts w:ascii="Times New Roman" w:hAnsi="Times New Roman" w:cs="Times New Roman"/>
                <w:sz w:val="21"/>
                <w:szCs w:val="21"/>
              </w:rPr>
            </w:pPr>
            <w:r w:rsidRPr="00980BC4">
              <w:rPr>
                <w:rFonts w:cs="Times New Roman" w:hint="eastAsia"/>
                <w:sz w:val="21"/>
                <w:szCs w:val="21"/>
              </w:rPr>
              <w:t>投资性房地产</w:t>
            </w:r>
          </w:p>
        </w:tc>
        <w:tc>
          <w:tcPr>
            <w:tcW w:w="1683"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jc w:val="right"/>
              <w:rPr>
                <w:rFonts w:ascii="Times New Roman" w:hAnsi="Times New Roman" w:cs="Times New Roman"/>
                <w:sz w:val="21"/>
                <w:szCs w:val="21"/>
              </w:rPr>
            </w:pPr>
            <w:r w:rsidRPr="00980BC4">
              <w:rPr>
                <w:rFonts w:ascii="Times New Roman" w:hAnsi="Times New Roman" w:cs="Times New Roman"/>
                <w:sz w:val="21"/>
                <w:szCs w:val="21"/>
              </w:rPr>
              <w:t>22,577,561.64</w:t>
            </w:r>
          </w:p>
        </w:tc>
        <w:tc>
          <w:tcPr>
            <w:tcW w:w="2035"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rPr>
                <w:rFonts w:ascii="Times New Roman" w:hAnsi="Times New Roman" w:cs="Times New Roman"/>
                <w:sz w:val="21"/>
                <w:szCs w:val="21"/>
              </w:rPr>
            </w:pPr>
            <w:r w:rsidRPr="00980BC4">
              <w:rPr>
                <w:rFonts w:cs="Times New Roman" w:hint="eastAsia"/>
                <w:sz w:val="21"/>
                <w:szCs w:val="21"/>
              </w:rPr>
              <w:t>银行贷款额度抵押（期末无借款）</w:t>
            </w:r>
          </w:p>
        </w:tc>
      </w:tr>
      <w:tr w:rsidR="002A3304" w:rsidRPr="00980BC4">
        <w:trPr>
          <w:divId w:val="786705591"/>
          <w:trHeight w:val="369"/>
          <w:jc w:val="center"/>
        </w:trPr>
        <w:tc>
          <w:tcPr>
            <w:tcW w:w="1282"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合计</w:t>
            </w:r>
          </w:p>
        </w:tc>
        <w:tc>
          <w:tcPr>
            <w:tcW w:w="1683"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jc w:val="right"/>
              <w:rPr>
                <w:rFonts w:ascii="Times New Roman" w:hAnsi="Times New Roman" w:cs="Times New Roman"/>
                <w:sz w:val="21"/>
                <w:szCs w:val="21"/>
              </w:rPr>
            </w:pPr>
            <w:r w:rsidRPr="00980BC4">
              <w:rPr>
                <w:rFonts w:ascii="Times New Roman" w:hAnsi="Times New Roman" w:cs="Times New Roman"/>
                <w:sz w:val="21"/>
                <w:szCs w:val="21"/>
              </w:rPr>
              <w:t>85,176,593.82</w:t>
            </w:r>
          </w:p>
        </w:tc>
        <w:tc>
          <w:tcPr>
            <w:tcW w:w="2035" w:type="pct"/>
            <w:tcBorders>
              <w:top w:val="nil"/>
              <w:left w:val="nil"/>
              <w:bottom w:val="single" w:sz="8" w:space="0" w:color="auto"/>
              <w:right w:val="single" w:sz="8" w:space="0" w:color="auto"/>
            </w:tcBorders>
            <w:tcMar>
              <w:top w:w="0" w:type="dxa"/>
              <w:left w:w="0" w:type="dxa"/>
              <w:bottom w:w="0" w:type="dxa"/>
              <w:right w:w="108" w:type="dxa"/>
            </w:tcMar>
            <w:vAlign w:val="center"/>
            <w:hideMark/>
          </w:tcPr>
          <w:p w:rsidR="002A3304" w:rsidRPr="00980BC4" w:rsidRDefault="002A3304">
            <w:pPr>
              <w:pStyle w:val="a3"/>
              <w:spacing w:before="0" w:beforeAutospacing="0" w:after="0" w:afterAutospacing="0"/>
              <w:jc w:val="center"/>
              <w:rPr>
                <w:rFonts w:ascii="Times New Roman" w:hAnsi="Times New Roman" w:cs="Times New Roman"/>
                <w:sz w:val="21"/>
                <w:szCs w:val="21"/>
              </w:rPr>
            </w:pPr>
            <w:r w:rsidRPr="00980BC4">
              <w:rPr>
                <w:rFonts w:ascii="Times New Roman" w:hAnsi="Times New Roman" w:cs="Times New Roman"/>
                <w:sz w:val="21"/>
                <w:szCs w:val="21"/>
              </w:rPr>
              <w:t>/</w:t>
            </w:r>
          </w:p>
        </w:tc>
      </w:tr>
    </w:tbl>
    <w:p w:rsidR="002A3304" w:rsidRPr="00980BC4" w:rsidRDefault="002A3304">
      <w:pPr>
        <w:divId w:val="786705591"/>
        <w:rPr>
          <w:sz w:val="24"/>
          <w:szCs w:val="24"/>
        </w:rPr>
      </w:pPr>
    </w:p>
    <w:p w:rsidR="002A3304" w:rsidRPr="00980BC4" w:rsidRDefault="00DF4EBF" w:rsidP="006D0579">
      <w:pPr>
        <w:pStyle w:val="Chapter"/>
        <w:spacing w:before="0" w:after="0" w:line="560" w:lineRule="exact"/>
        <w:ind w:firstLineChars="200" w:firstLine="562"/>
        <w:outlineLvl w:val="1"/>
        <w:rPr>
          <w:bCs w:val="0"/>
          <w:sz w:val="28"/>
          <w:szCs w:val="28"/>
        </w:rPr>
      </w:pPr>
      <w:bookmarkStart w:id="36" w:name="_Toc988925"/>
      <w:r w:rsidRPr="00980BC4">
        <w:rPr>
          <w:bCs w:val="0"/>
          <w:sz w:val="28"/>
          <w:szCs w:val="28"/>
        </w:rPr>
        <w:t>七、投资状况分析</w:t>
      </w:r>
      <w:bookmarkEnd w:id="36"/>
    </w:p>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37" w:name="_Toc988926"/>
      <w:r w:rsidRPr="00980BC4">
        <w:rPr>
          <w:rFonts w:ascii="仿宋" w:eastAsia="仿宋" w:hAnsi="仿宋" w:cs="Times New Roman"/>
          <w:b/>
          <w:color w:val="333333"/>
          <w:sz w:val="28"/>
          <w:szCs w:val="28"/>
          <w:shd w:val="clear" w:color="auto" w:fill="FFFFFF"/>
        </w:rPr>
        <w:t>1、总体情况</w:t>
      </w:r>
      <w:bookmarkEnd w:id="37"/>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□适用</w:t>
      </w:r>
      <w:r w:rsidR="006D0579"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不适用</w:t>
      </w:r>
    </w:p>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38" w:name="_Toc988927"/>
      <w:r w:rsidRPr="00980BC4">
        <w:rPr>
          <w:rFonts w:ascii="仿宋" w:eastAsia="仿宋" w:hAnsi="仿宋" w:cs="Times New Roman"/>
          <w:b/>
          <w:color w:val="333333"/>
          <w:sz w:val="28"/>
          <w:szCs w:val="28"/>
          <w:shd w:val="clear" w:color="auto" w:fill="FFFFFF"/>
        </w:rPr>
        <w:t>2、报告期内获取的重大的股权投资情况</w:t>
      </w:r>
      <w:bookmarkEnd w:id="38"/>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 xml:space="preserve">适用 </w:t>
      </w:r>
      <w:r w:rsidR="006D0579"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□不适用</w:t>
      </w:r>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642"/>
        <w:gridCol w:w="642"/>
        <w:gridCol w:w="642"/>
        <w:gridCol w:w="642"/>
        <w:gridCol w:w="642"/>
        <w:gridCol w:w="642"/>
        <w:gridCol w:w="643"/>
        <w:gridCol w:w="643"/>
        <w:gridCol w:w="643"/>
        <w:gridCol w:w="643"/>
        <w:gridCol w:w="643"/>
        <w:gridCol w:w="643"/>
        <w:gridCol w:w="643"/>
        <w:gridCol w:w="643"/>
        <w:gridCol w:w="643"/>
      </w:tblGrid>
      <w:tr w:rsidR="002A3304" w:rsidRPr="00980BC4">
        <w:trPr>
          <w:trHeight w:val="240"/>
        </w:trPr>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被投资公司名称</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主要业务</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投资方式</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投资金额</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持股比例</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资金来源</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合作方</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投资期限</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产品类型</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截至资产负债表日的进展情况</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预计收益</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本期投资盈亏</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是否涉诉</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披露日期（如有）</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披露索引（如有）</w:t>
            </w:r>
          </w:p>
        </w:tc>
      </w:tr>
      <w:tr w:rsidR="002A3304" w:rsidRPr="00980BC4">
        <w:trPr>
          <w:trHeight w:val="240"/>
        </w:trPr>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沈阳非晶金属材料制造有限公司</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非晶合金制品的研发、生产、</w:t>
            </w:r>
            <w:r w:rsidRPr="00980BC4">
              <w:rPr>
                <w:rFonts w:ascii="宋体" w:eastAsia="宋体" w:hAnsi="宋体" w:cs="宋体"/>
                <w:sz w:val="18"/>
                <w:szCs w:val="18"/>
              </w:rPr>
              <w:lastRenderedPageBreak/>
              <w:t>销售</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lastRenderedPageBreak/>
              <w:t>增资</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F64C1E">
            <w:pPr>
              <w:spacing w:line="240" w:lineRule="exact"/>
              <w:jc w:val="right"/>
              <w:rPr>
                <w:rFonts w:ascii="宋体" w:eastAsia="宋体" w:hAnsi="宋体" w:cs="宋体"/>
                <w:sz w:val="18"/>
                <w:szCs w:val="18"/>
              </w:rPr>
            </w:pPr>
            <w:r w:rsidRPr="00980BC4">
              <w:rPr>
                <w:rFonts w:ascii="宋体" w:eastAsia="宋体" w:hAnsi="宋体" w:cs="宋体"/>
                <w:sz w:val="18"/>
                <w:szCs w:val="18"/>
              </w:rPr>
              <w:t>60,000,000.00</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33.34%</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自有资金</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福建将乐卓越金属材料有限公</w:t>
            </w:r>
            <w:r w:rsidRPr="00980BC4">
              <w:rPr>
                <w:rFonts w:ascii="宋体" w:eastAsia="宋体" w:hAnsi="宋体" w:cs="宋体"/>
                <w:sz w:val="18"/>
                <w:szCs w:val="18"/>
              </w:rPr>
              <w:lastRenderedPageBreak/>
              <w:t>司、三明超越科技有限公司、辽宁君合高新科技合伙企业（有限合伙）、张海峰、付华萌、朱正旺、胡强、张宏伟、李宏、王爱民、丁炳哲</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lastRenderedPageBreak/>
              <w:t>长期</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股权</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股权已全部过户</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F64C1E">
            <w:pPr>
              <w:spacing w:line="240" w:lineRule="exact"/>
              <w:jc w:val="right"/>
              <w:rPr>
                <w:rFonts w:ascii="宋体" w:eastAsia="宋体" w:hAnsi="宋体" w:cs="宋体"/>
                <w:sz w:val="18"/>
                <w:szCs w:val="18"/>
              </w:rPr>
            </w:pPr>
            <w:r w:rsidRPr="00980BC4">
              <w:rPr>
                <w:rFonts w:ascii="宋体" w:eastAsia="宋体" w:hAnsi="宋体" w:cs="宋体"/>
                <w:sz w:val="18"/>
                <w:szCs w:val="18"/>
              </w:rPr>
              <w:t>-7,778,571.61</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否</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trPr>
          <w:trHeight w:val="240"/>
        </w:trPr>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lastRenderedPageBreak/>
              <w:t>福建将乐卓越金属材料有限公司</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非晶合金制品的研发、生产、销售</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收购</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42,000,000.00</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自有资金</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郝宏伟</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长期</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股权</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股权已全部过户</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否</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trPr>
          <w:trHeight w:val="240"/>
        </w:trPr>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合计</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F64C1E">
            <w:pPr>
              <w:spacing w:line="240" w:lineRule="exact"/>
              <w:jc w:val="right"/>
              <w:rPr>
                <w:rFonts w:ascii="宋体" w:eastAsia="宋体" w:hAnsi="宋体" w:cs="宋体"/>
                <w:sz w:val="18"/>
                <w:szCs w:val="18"/>
              </w:rPr>
            </w:pPr>
            <w:r w:rsidRPr="00980BC4">
              <w:rPr>
                <w:rFonts w:ascii="宋体" w:eastAsia="宋体" w:hAnsi="宋体" w:cs="宋体"/>
                <w:sz w:val="18"/>
                <w:szCs w:val="18"/>
              </w:rPr>
              <w:t>102,000,000.00</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3F3025">
            <w:pPr>
              <w:spacing w:line="240" w:lineRule="exact"/>
              <w:jc w:val="right"/>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vAlign w:val="center"/>
          </w:tcPr>
          <w:p w:rsidR="002A3304" w:rsidRPr="00980BC4" w:rsidRDefault="00F64C1E">
            <w:pPr>
              <w:spacing w:line="240" w:lineRule="exact"/>
              <w:jc w:val="right"/>
              <w:rPr>
                <w:rFonts w:ascii="宋体" w:eastAsia="宋体" w:hAnsi="宋体" w:cs="宋体"/>
                <w:sz w:val="18"/>
                <w:szCs w:val="18"/>
              </w:rPr>
            </w:pPr>
            <w:r w:rsidRPr="00980BC4">
              <w:rPr>
                <w:rFonts w:ascii="宋体" w:eastAsia="宋体" w:hAnsi="宋体" w:cs="宋体"/>
                <w:sz w:val="18"/>
                <w:szCs w:val="18"/>
              </w:rPr>
              <w:t>-7,778,571.61</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r>
    </w:tbl>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39" w:name="_Toc988928"/>
      <w:r w:rsidRPr="00980BC4">
        <w:rPr>
          <w:rFonts w:ascii="仿宋" w:eastAsia="仿宋" w:hAnsi="仿宋" w:cs="Times New Roman"/>
          <w:b/>
          <w:color w:val="333333"/>
          <w:sz w:val="28"/>
          <w:szCs w:val="28"/>
          <w:shd w:val="clear" w:color="auto" w:fill="FFFFFF"/>
        </w:rPr>
        <w:t>3、报告期内正在进行的重大的非股权投资情况</w:t>
      </w:r>
      <w:bookmarkEnd w:id="39"/>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□适用</w:t>
      </w:r>
      <w:r w:rsidR="006D0579"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不适用</w:t>
      </w:r>
    </w:p>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40" w:name="_Toc988929"/>
      <w:r w:rsidRPr="00980BC4">
        <w:rPr>
          <w:rFonts w:ascii="仿宋" w:eastAsia="仿宋" w:hAnsi="仿宋" w:cs="Times New Roman"/>
          <w:b/>
          <w:color w:val="333333"/>
          <w:sz w:val="28"/>
          <w:szCs w:val="28"/>
          <w:shd w:val="clear" w:color="auto" w:fill="FFFFFF"/>
        </w:rPr>
        <w:t>4、金融资产投资</w:t>
      </w:r>
      <w:bookmarkEnd w:id="40"/>
    </w:p>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41" w:name="_Toc988930"/>
      <w:r w:rsidRPr="00980BC4">
        <w:rPr>
          <w:rFonts w:ascii="仿宋" w:eastAsia="仿宋" w:hAnsi="仿宋" w:cs="Times New Roman"/>
          <w:b/>
          <w:color w:val="333333"/>
          <w:sz w:val="28"/>
          <w:szCs w:val="28"/>
          <w:shd w:val="clear" w:color="auto" w:fill="FFFFFF"/>
        </w:rPr>
        <w:t>（1） 证券投资情况</w:t>
      </w:r>
      <w:bookmarkEnd w:id="41"/>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 xml:space="preserve">适用 </w:t>
      </w:r>
      <w:r w:rsidR="006D0579"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□不适用</w:t>
      </w:r>
    </w:p>
    <w:p w:rsidR="00A8053C" w:rsidRPr="00980BC4" w:rsidRDefault="00A8053C">
      <w:pPr>
        <w:spacing w:before="120" w:after="120" w:line="240" w:lineRule="exact"/>
        <w:jc w:val="right"/>
        <w:rPr>
          <w:rFonts w:ascii="宋体" w:eastAsia="宋体" w:hAnsi="宋体" w:cs="宋体"/>
          <w:sz w:val="18"/>
          <w:szCs w:val="18"/>
        </w:rPr>
      </w:pPr>
    </w:p>
    <w:p w:rsidR="00A8053C" w:rsidRPr="00980BC4" w:rsidRDefault="00A8053C">
      <w:pPr>
        <w:spacing w:before="120" w:after="120" w:line="240" w:lineRule="exact"/>
        <w:jc w:val="right"/>
        <w:rPr>
          <w:rFonts w:ascii="宋体" w:eastAsia="宋体" w:hAnsi="宋体" w:cs="宋体"/>
          <w:sz w:val="18"/>
          <w:szCs w:val="18"/>
        </w:rPr>
      </w:pPr>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689"/>
        <w:gridCol w:w="689"/>
        <w:gridCol w:w="689"/>
        <w:gridCol w:w="689"/>
        <w:gridCol w:w="689"/>
        <w:gridCol w:w="689"/>
        <w:gridCol w:w="689"/>
        <w:gridCol w:w="688"/>
        <w:gridCol w:w="688"/>
        <w:gridCol w:w="688"/>
        <w:gridCol w:w="688"/>
        <w:gridCol w:w="688"/>
        <w:gridCol w:w="688"/>
        <w:gridCol w:w="688"/>
      </w:tblGrid>
      <w:tr w:rsidR="002A3304" w:rsidRPr="00980BC4">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证券品种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证券代码</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会计计量模式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期初账面价值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本期公允价值变动损益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计入权益的累计公允价值变动</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本期购买金额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本期出售金额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报告期损益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期末账面价值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会计核算科目</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资金来源</w:t>
            </w:r>
          </w:p>
        </w:tc>
      </w:tr>
      <w:tr w:rsidR="002A3304" w:rsidRPr="00980BC4">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601398</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工商银行</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463.00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21.00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21.00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484.00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自有</w:t>
            </w:r>
          </w:p>
        </w:tc>
      </w:tr>
      <w:tr w:rsidR="002A3304" w:rsidRPr="00980BC4">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463.00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21.00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21.00</w:t>
            </w:r>
          </w:p>
        </w:tc>
        <w:tc>
          <w:tcPr>
            <w:tcW w:w="68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484.00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r>
      <w:tr w:rsidR="002A3304" w:rsidRPr="00980BC4">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证券投资审批董事会公告披露日期</w:t>
            </w:r>
          </w:p>
        </w:tc>
        <w:tc>
          <w:tcPr>
            <w:tcW w:w="7574" w:type="dxa"/>
            <w:gridSpan w:val="11"/>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2017年12月21日</w:t>
            </w:r>
          </w:p>
        </w:tc>
      </w:tr>
      <w:tr w:rsidR="002A3304" w:rsidRPr="00980BC4">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证券投资审批股东会公告披露日期（如有)</w:t>
            </w:r>
          </w:p>
        </w:tc>
        <w:tc>
          <w:tcPr>
            <w:tcW w:w="7574" w:type="dxa"/>
            <w:gridSpan w:val="11"/>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2018年01月06日</w:t>
            </w:r>
          </w:p>
        </w:tc>
      </w:tr>
    </w:tbl>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42" w:name="_Toc988931"/>
      <w:r w:rsidRPr="00980BC4">
        <w:rPr>
          <w:rFonts w:ascii="仿宋" w:eastAsia="仿宋" w:hAnsi="仿宋" w:cs="Times New Roman"/>
          <w:b/>
          <w:color w:val="333333"/>
          <w:sz w:val="28"/>
          <w:szCs w:val="28"/>
          <w:shd w:val="clear" w:color="auto" w:fill="FFFFFF"/>
        </w:rPr>
        <w:t>（2） 衍生品投资情况</w:t>
      </w:r>
      <w:bookmarkEnd w:id="42"/>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□适用</w:t>
      </w:r>
      <w:r w:rsidR="006D0579"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不适用</w:t>
      </w:r>
    </w:p>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r w:rsidRPr="00980BC4">
        <w:rPr>
          <w:rFonts w:ascii="仿宋" w:eastAsia="仿宋" w:hAnsi="仿宋" w:cs="Times New Roman"/>
          <w:color w:val="333333"/>
          <w:sz w:val="28"/>
          <w:szCs w:val="28"/>
          <w:shd w:val="clear" w:color="auto" w:fill="FFFFFF"/>
        </w:rPr>
        <w:t>公司报告期不存在衍生品投资</w:t>
      </w:r>
      <w:r w:rsidRPr="00980BC4">
        <w:rPr>
          <w:rFonts w:ascii="仿宋" w:eastAsia="仿宋" w:hAnsi="仿宋" w:cs="Times New Roman"/>
          <w:b/>
          <w:color w:val="333333"/>
          <w:sz w:val="28"/>
          <w:szCs w:val="28"/>
          <w:shd w:val="clear" w:color="auto" w:fill="FFFFFF"/>
        </w:rPr>
        <w:t>。</w:t>
      </w:r>
    </w:p>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43" w:name="_Toc988932"/>
      <w:r w:rsidRPr="00980BC4">
        <w:rPr>
          <w:rFonts w:ascii="仿宋" w:eastAsia="仿宋" w:hAnsi="仿宋" w:cs="Times New Roman"/>
          <w:b/>
          <w:color w:val="333333"/>
          <w:sz w:val="28"/>
          <w:szCs w:val="28"/>
          <w:shd w:val="clear" w:color="auto" w:fill="FFFFFF"/>
        </w:rPr>
        <w:t>5、募集资金使用情况</w:t>
      </w:r>
      <w:bookmarkEnd w:id="43"/>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□适用</w:t>
      </w:r>
      <w:r w:rsidR="006D0579"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不适用</w:t>
      </w:r>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公司报告期无募集资金使用情况。</w:t>
      </w:r>
    </w:p>
    <w:p w:rsidR="002A3304" w:rsidRPr="00980BC4" w:rsidRDefault="00DF4EBF" w:rsidP="006D0579">
      <w:pPr>
        <w:pStyle w:val="Chapter"/>
        <w:spacing w:before="0" w:after="0" w:line="560" w:lineRule="exact"/>
        <w:ind w:firstLineChars="200" w:firstLine="562"/>
        <w:outlineLvl w:val="1"/>
        <w:rPr>
          <w:bCs w:val="0"/>
          <w:sz w:val="28"/>
          <w:szCs w:val="28"/>
        </w:rPr>
      </w:pPr>
      <w:bookmarkStart w:id="44" w:name="_Toc988933"/>
      <w:r w:rsidRPr="00980BC4">
        <w:rPr>
          <w:bCs w:val="0"/>
          <w:sz w:val="28"/>
          <w:szCs w:val="28"/>
        </w:rPr>
        <w:t>八、重大资产和股权出售</w:t>
      </w:r>
      <w:bookmarkEnd w:id="44"/>
    </w:p>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45" w:name="_Toc988934"/>
      <w:r w:rsidRPr="00980BC4">
        <w:rPr>
          <w:rFonts w:ascii="仿宋" w:eastAsia="仿宋" w:hAnsi="仿宋" w:cs="Times New Roman"/>
          <w:b/>
          <w:color w:val="333333"/>
          <w:sz w:val="28"/>
          <w:szCs w:val="28"/>
          <w:shd w:val="clear" w:color="auto" w:fill="FFFFFF"/>
        </w:rPr>
        <w:t>1、出售重大资产情况</w:t>
      </w:r>
      <w:bookmarkEnd w:id="45"/>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 xml:space="preserve">□适用 </w:t>
      </w:r>
      <w:r w:rsidR="006D0579"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不适用</w:t>
      </w:r>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公司报告期未出售重大资产。</w:t>
      </w:r>
    </w:p>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bookmarkStart w:id="46" w:name="_Toc988935"/>
      <w:r w:rsidRPr="00980BC4">
        <w:rPr>
          <w:rFonts w:ascii="仿宋" w:eastAsia="仿宋" w:hAnsi="仿宋" w:cs="Times New Roman"/>
          <w:b/>
          <w:color w:val="333333"/>
          <w:sz w:val="28"/>
          <w:szCs w:val="28"/>
          <w:shd w:val="clear" w:color="auto" w:fill="FFFFFF"/>
        </w:rPr>
        <w:t>2、出售重大股权情况</w:t>
      </w:r>
      <w:bookmarkEnd w:id="46"/>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t>□适用</w:t>
      </w:r>
      <w:r w:rsidR="006D0579"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不适用</w:t>
      </w:r>
    </w:p>
    <w:p w:rsidR="002A3304" w:rsidRPr="00980BC4" w:rsidRDefault="00DF4EBF" w:rsidP="006D0579">
      <w:pPr>
        <w:pStyle w:val="Chapter"/>
        <w:spacing w:before="0" w:after="0" w:line="560" w:lineRule="exact"/>
        <w:ind w:firstLineChars="200" w:firstLine="562"/>
        <w:outlineLvl w:val="1"/>
        <w:rPr>
          <w:bCs w:val="0"/>
          <w:sz w:val="28"/>
          <w:szCs w:val="28"/>
        </w:rPr>
      </w:pPr>
      <w:bookmarkStart w:id="47" w:name="_Toc988936"/>
      <w:r w:rsidRPr="00980BC4">
        <w:rPr>
          <w:bCs w:val="0"/>
          <w:sz w:val="28"/>
          <w:szCs w:val="28"/>
        </w:rPr>
        <w:t>九、主要控股参股公司分析</w:t>
      </w:r>
      <w:bookmarkEnd w:id="47"/>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 xml:space="preserve">适用 </w:t>
      </w:r>
      <w:r w:rsidR="006D0579"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□不适用</w:t>
      </w:r>
    </w:p>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r w:rsidRPr="00980BC4">
        <w:rPr>
          <w:rFonts w:ascii="仿宋" w:eastAsia="仿宋" w:hAnsi="仿宋" w:cs="Times New Roman"/>
          <w:b/>
          <w:color w:val="333333"/>
          <w:sz w:val="28"/>
          <w:szCs w:val="28"/>
          <w:shd w:val="clear" w:color="auto" w:fill="FFFFFF"/>
        </w:rPr>
        <w:t>主要子公司及对公司净利润影响达10%以上的参股公司情况</w:t>
      </w:r>
    </w:p>
    <w:p w:rsidR="00A8053C" w:rsidRPr="00980BC4" w:rsidRDefault="00A8053C">
      <w:pPr>
        <w:spacing w:before="120" w:after="120" w:line="240" w:lineRule="exact"/>
        <w:jc w:val="right"/>
        <w:rPr>
          <w:rFonts w:ascii="宋体" w:eastAsia="宋体" w:hAnsi="宋体" w:cs="宋体"/>
          <w:sz w:val="18"/>
          <w:szCs w:val="18"/>
        </w:rPr>
      </w:pPr>
    </w:p>
    <w:p w:rsidR="00A8053C" w:rsidRPr="00980BC4" w:rsidRDefault="00A8053C">
      <w:pPr>
        <w:spacing w:before="120" w:after="120" w:line="240" w:lineRule="exact"/>
        <w:jc w:val="right"/>
        <w:rPr>
          <w:rFonts w:ascii="宋体" w:eastAsia="宋体" w:hAnsi="宋体" w:cs="宋体"/>
          <w:sz w:val="18"/>
          <w:szCs w:val="18"/>
        </w:rPr>
      </w:pPr>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071"/>
        <w:gridCol w:w="1071"/>
        <w:gridCol w:w="1071"/>
        <w:gridCol w:w="1071"/>
        <w:gridCol w:w="1071"/>
        <w:gridCol w:w="1071"/>
        <w:gridCol w:w="912"/>
        <w:gridCol w:w="1230"/>
        <w:gridCol w:w="1071"/>
      </w:tblGrid>
      <w:tr w:rsidR="002A3304" w:rsidRPr="00980BC4" w:rsidTr="003F3025">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净资产</w:t>
            </w:r>
          </w:p>
        </w:tc>
        <w:tc>
          <w:tcPr>
            <w:tcW w:w="91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营业收入</w:t>
            </w:r>
          </w:p>
        </w:tc>
        <w:tc>
          <w:tcPr>
            <w:tcW w:w="123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净利润</w:t>
            </w:r>
          </w:p>
        </w:tc>
      </w:tr>
      <w:tr w:rsidR="002A3304" w:rsidRPr="00980BC4" w:rsidTr="003F302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D710F">
            <w:pPr>
              <w:spacing w:line="240" w:lineRule="exact"/>
              <w:rPr>
                <w:rFonts w:ascii="宋体" w:eastAsia="宋体" w:hAnsi="宋体" w:cs="宋体"/>
                <w:sz w:val="18"/>
                <w:szCs w:val="18"/>
              </w:rPr>
            </w:pPr>
            <w:r w:rsidRPr="00980BC4">
              <w:rPr>
                <w:rFonts w:ascii="宋体" w:eastAsia="宋体" w:hAnsi="宋体" w:cs="宋体"/>
                <w:sz w:val="18"/>
                <w:szCs w:val="18"/>
              </w:rPr>
              <w:t>沈阳含能金属材料制造有限公司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有色金属合金制造、仪器仪表制造、粉末冶金制品制造及销售</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 30,000,000.00</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152,474,930.99</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117,042,336.16</w:t>
            </w:r>
          </w:p>
        </w:tc>
        <w:tc>
          <w:tcPr>
            <w:tcW w:w="91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121,407,212.55</w:t>
            </w:r>
          </w:p>
        </w:tc>
        <w:tc>
          <w:tcPr>
            <w:tcW w:w="123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33,513,648.33</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29,338,992.15</w:t>
            </w:r>
          </w:p>
        </w:tc>
      </w:tr>
      <w:tr w:rsidR="002A3304" w:rsidRPr="00980BC4" w:rsidTr="003F302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DD710F">
            <w:pPr>
              <w:spacing w:line="240" w:lineRule="exact"/>
              <w:rPr>
                <w:rFonts w:ascii="宋体" w:eastAsia="宋体" w:hAnsi="宋体" w:cs="宋体"/>
                <w:sz w:val="18"/>
                <w:szCs w:val="18"/>
              </w:rPr>
            </w:pPr>
            <w:r w:rsidRPr="00980BC4">
              <w:rPr>
                <w:rFonts w:ascii="宋体" w:eastAsia="宋体" w:hAnsi="宋体" w:cs="宋体"/>
                <w:sz w:val="18"/>
                <w:szCs w:val="18"/>
              </w:rPr>
              <w:t>四川升华电源科技有限公司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电源变换器、电源模板、电子元器件</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 50,000,000.00</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556,561,101.82</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401,019,920.21</w:t>
            </w:r>
          </w:p>
        </w:tc>
        <w:tc>
          <w:tcPr>
            <w:tcW w:w="91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276,154,957.48</w:t>
            </w:r>
          </w:p>
        </w:tc>
        <w:tc>
          <w:tcPr>
            <w:tcW w:w="123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109,202,248.40</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101,040,554.70</w:t>
            </w:r>
          </w:p>
        </w:tc>
      </w:tr>
      <w:tr w:rsidR="002A3304" w:rsidRPr="00980BC4" w:rsidTr="003F302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沈阳非晶金属材料有限公司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非晶合金制品的研发、生产、销售</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 40,000,000.00</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43,168,210.55</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31,672,417.95</w:t>
            </w:r>
          </w:p>
        </w:tc>
        <w:tc>
          <w:tcPr>
            <w:tcW w:w="91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15,185,043.02</w:t>
            </w:r>
          </w:p>
        </w:tc>
        <w:tc>
          <w:tcPr>
            <w:tcW w:w="123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-7,846,271.61</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-7,778,571.61</w:t>
            </w:r>
          </w:p>
        </w:tc>
      </w:tr>
      <w:tr w:rsidR="00E604D3" w:rsidRPr="00980BC4" w:rsidTr="003F3025">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E604D3" w:rsidRPr="00980BC4" w:rsidRDefault="00E604D3">
            <w:pPr>
              <w:spacing w:line="240" w:lineRule="exact"/>
              <w:rPr>
                <w:rFonts w:ascii="宋体" w:eastAsia="宋体" w:hAnsi="宋体" w:cs="宋体"/>
                <w:sz w:val="18"/>
                <w:szCs w:val="18"/>
              </w:rPr>
            </w:pPr>
            <w:r w:rsidRPr="00980BC4">
              <w:rPr>
                <w:rFonts w:ascii="宋体" w:eastAsia="宋体" w:hAnsi="宋体" w:cs="宋体"/>
                <w:sz w:val="18"/>
                <w:szCs w:val="18"/>
              </w:rPr>
              <w:t>苏州锴威特半导体股份有限公司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E604D3" w:rsidRPr="00980BC4" w:rsidRDefault="00E604D3">
            <w:pPr>
              <w:spacing w:line="240" w:lineRule="exact"/>
              <w:rPr>
                <w:rFonts w:ascii="宋体" w:eastAsia="宋体" w:hAnsi="宋体" w:cs="宋体"/>
                <w:sz w:val="18"/>
                <w:szCs w:val="18"/>
              </w:rPr>
            </w:pPr>
            <w:r w:rsidRPr="00980BC4">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E604D3" w:rsidRPr="00980BC4" w:rsidRDefault="00E604D3">
            <w:pPr>
              <w:spacing w:line="240" w:lineRule="exact"/>
              <w:rPr>
                <w:rFonts w:ascii="宋体" w:eastAsia="宋体" w:hAnsi="宋体" w:cs="宋体"/>
                <w:sz w:val="18"/>
                <w:szCs w:val="18"/>
              </w:rPr>
            </w:pPr>
            <w:r w:rsidRPr="00980BC4">
              <w:rPr>
                <w:rFonts w:ascii="宋体" w:eastAsia="宋体" w:hAnsi="宋体" w:cs="宋体"/>
                <w:sz w:val="18"/>
                <w:szCs w:val="18"/>
              </w:rPr>
              <w:t>集成电路开发与销售</w:t>
            </w:r>
          </w:p>
        </w:tc>
        <w:tc>
          <w:tcPr>
            <w:tcW w:w="1071" w:type="dxa"/>
            <w:tcBorders>
              <w:top w:val="single" w:sz="2" w:space="0" w:color="auto"/>
              <w:left w:val="single" w:sz="2" w:space="0" w:color="auto"/>
              <w:bottom w:val="single" w:sz="2" w:space="0" w:color="auto"/>
              <w:right w:val="single" w:sz="2" w:space="0" w:color="auto"/>
            </w:tcBorders>
            <w:vAlign w:val="center"/>
          </w:tcPr>
          <w:p w:rsidR="00E604D3" w:rsidRPr="00980BC4" w:rsidRDefault="00E604D3" w:rsidP="008D6E99">
            <w:pPr>
              <w:spacing w:line="240" w:lineRule="exact"/>
              <w:rPr>
                <w:rFonts w:ascii="宋体" w:eastAsia="宋体" w:hAnsi="宋体" w:cs="宋体"/>
                <w:sz w:val="18"/>
                <w:szCs w:val="18"/>
              </w:rPr>
            </w:pPr>
            <w:r w:rsidRPr="00980BC4">
              <w:rPr>
                <w:rFonts w:ascii="宋体" w:eastAsia="宋体" w:hAnsi="宋体" w:cs="宋体"/>
                <w:sz w:val="18"/>
                <w:szCs w:val="18"/>
              </w:rPr>
              <w:t>55,263,158.00</w:t>
            </w:r>
          </w:p>
        </w:tc>
        <w:tc>
          <w:tcPr>
            <w:tcW w:w="1071" w:type="dxa"/>
            <w:tcBorders>
              <w:top w:val="single" w:sz="2" w:space="0" w:color="auto"/>
              <w:left w:val="single" w:sz="2" w:space="0" w:color="auto"/>
              <w:bottom w:val="single" w:sz="2" w:space="0" w:color="auto"/>
              <w:right w:val="single" w:sz="2" w:space="0" w:color="auto"/>
            </w:tcBorders>
            <w:vAlign w:val="center"/>
          </w:tcPr>
          <w:p w:rsidR="00E604D3" w:rsidRPr="00980BC4" w:rsidRDefault="00E604D3"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444,039,283.05</w:t>
            </w:r>
          </w:p>
        </w:tc>
        <w:tc>
          <w:tcPr>
            <w:tcW w:w="1071" w:type="dxa"/>
            <w:tcBorders>
              <w:top w:val="single" w:sz="2" w:space="0" w:color="auto"/>
              <w:left w:val="single" w:sz="2" w:space="0" w:color="auto"/>
              <w:bottom w:val="single" w:sz="2" w:space="0" w:color="auto"/>
              <w:right w:val="single" w:sz="2" w:space="0" w:color="auto"/>
            </w:tcBorders>
            <w:vAlign w:val="center"/>
          </w:tcPr>
          <w:p w:rsidR="00E604D3" w:rsidRPr="00980BC4" w:rsidRDefault="00E604D3"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339,725,877.14</w:t>
            </w:r>
          </w:p>
        </w:tc>
        <w:tc>
          <w:tcPr>
            <w:tcW w:w="912" w:type="dxa"/>
            <w:tcBorders>
              <w:top w:val="single" w:sz="2" w:space="0" w:color="auto"/>
              <w:left w:val="single" w:sz="2" w:space="0" w:color="auto"/>
              <w:bottom w:val="single" w:sz="2" w:space="0" w:color="auto"/>
              <w:right w:val="single" w:sz="2" w:space="0" w:color="auto"/>
            </w:tcBorders>
            <w:vAlign w:val="center"/>
          </w:tcPr>
          <w:p w:rsidR="00E604D3" w:rsidRPr="00980BC4" w:rsidRDefault="00E604D3"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235,381,937.61</w:t>
            </w:r>
          </w:p>
        </w:tc>
        <w:tc>
          <w:tcPr>
            <w:tcW w:w="1230" w:type="dxa"/>
            <w:tcBorders>
              <w:top w:val="single" w:sz="2" w:space="0" w:color="auto"/>
              <w:left w:val="single" w:sz="2" w:space="0" w:color="auto"/>
              <w:bottom w:val="single" w:sz="2" w:space="0" w:color="auto"/>
              <w:right w:val="single" w:sz="2" w:space="0" w:color="auto"/>
            </w:tcBorders>
            <w:vAlign w:val="center"/>
          </w:tcPr>
          <w:p w:rsidR="00E604D3" w:rsidRPr="00980BC4" w:rsidRDefault="00E604D3"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66,032,102.90</w:t>
            </w:r>
          </w:p>
        </w:tc>
        <w:tc>
          <w:tcPr>
            <w:tcW w:w="1071" w:type="dxa"/>
            <w:tcBorders>
              <w:top w:val="single" w:sz="2" w:space="0" w:color="auto"/>
              <w:left w:val="single" w:sz="2" w:space="0" w:color="auto"/>
              <w:bottom w:val="single" w:sz="2" w:space="0" w:color="auto"/>
              <w:right w:val="single" w:sz="2" w:space="0" w:color="auto"/>
            </w:tcBorders>
            <w:vAlign w:val="center"/>
          </w:tcPr>
          <w:p w:rsidR="00E604D3" w:rsidRPr="00980BC4" w:rsidRDefault="00E604D3"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61,113,515.57</w:t>
            </w:r>
          </w:p>
        </w:tc>
      </w:tr>
    </w:tbl>
    <w:p w:rsidR="002A3304" w:rsidRPr="00980BC4" w:rsidRDefault="00DF4EBF" w:rsidP="006D0579">
      <w:pPr>
        <w:pStyle w:val="a3"/>
        <w:spacing w:before="0" w:beforeAutospacing="0" w:after="0" w:afterAutospacing="0" w:line="560" w:lineRule="exact"/>
        <w:ind w:firstLine="560"/>
        <w:rPr>
          <w:rFonts w:ascii="仿宋" w:eastAsia="仿宋" w:hAnsi="仿宋" w:cs="Times New Roman"/>
          <w:b/>
          <w:color w:val="333333"/>
          <w:sz w:val="28"/>
          <w:szCs w:val="28"/>
          <w:shd w:val="clear" w:color="auto" w:fill="FFFFFF"/>
        </w:rPr>
      </w:pPr>
      <w:r w:rsidRPr="00980BC4">
        <w:rPr>
          <w:rFonts w:ascii="仿宋" w:eastAsia="仿宋" w:hAnsi="仿宋" w:cs="Times New Roman"/>
          <w:b/>
          <w:color w:val="333333"/>
          <w:sz w:val="28"/>
          <w:szCs w:val="28"/>
          <w:shd w:val="clear" w:color="auto" w:fill="FFFFFF"/>
        </w:rPr>
        <w:t>报告期内取得和处置子公司的情况</w:t>
      </w:r>
    </w:p>
    <w:p w:rsidR="002A3304" w:rsidRPr="00980BC4" w:rsidRDefault="00DF4EBF" w:rsidP="006D0579">
      <w:pPr>
        <w:pStyle w:val="a3"/>
        <w:spacing w:before="0" w:beforeAutospacing="0" w:after="0" w:afterAutospacing="0" w:line="560" w:lineRule="exact"/>
        <w:ind w:firstLine="560"/>
        <w:rPr>
          <w:rFonts w:ascii="仿宋" w:eastAsia="仿宋" w:hAnsi="仿宋" w:cs="Times New Roman"/>
          <w:color w:val="333333"/>
          <w:sz w:val="28"/>
          <w:szCs w:val="28"/>
          <w:shd w:val="clear" w:color="auto" w:fill="FFFFFF"/>
        </w:rPr>
      </w:pPr>
      <w:r w:rsidRPr="00980BC4">
        <w:rPr>
          <w:rFonts w:ascii="仿宋" w:eastAsia="仿宋" w:hAnsi="仿宋" w:cs="Times New Roman"/>
          <w:color w:val="333333"/>
          <w:sz w:val="28"/>
          <w:szCs w:val="28"/>
          <w:shd w:val="clear" w:color="auto" w:fill="FFFFFF"/>
        </w:rPr>
        <w:sym w:font="Wingdings 2" w:char="F052"/>
      </w:r>
      <w:r w:rsidRPr="00980BC4">
        <w:rPr>
          <w:rFonts w:ascii="仿宋" w:eastAsia="仿宋" w:hAnsi="仿宋" w:cs="Times New Roman"/>
          <w:color w:val="333333"/>
          <w:sz w:val="28"/>
          <w:szCs w:val="28"/>
          <w:shd w:val="clear" w:color="auto" w:fill="FFFFFF"/>
        </w:rPr>
        <w:t>适用</w:t>
      </w:r>
      <w:r w:rsidR="006D0579" w:rsidRPr="00980BC4">
        <w:rPr>
          <w:rFonts w:ascii="仿宋" w:eastAsia="仿宋" w:hAnsi="仿宋" w:cs="Times New Roman" w:hint="eastAsia"/>
          <w:color w:val="333333"/>
          <w:sz w:val="28"/>
          <w:szCs w:val="28"/>
          <w:shd w:val="clear" w:color="auto" w:fill="FFFFFF"/>
        </w:rPr>
        <w:t xml:space="preserve"> </w:t>
      </w:r>
      <w:r w:rsidRPr="00980BC4">
        <w:rPr>
          <w:rFonts w:ascii="仿宋" w:eastAsia="仿宋" w:hAnsi="仿宋" w:cs="Times New Roman"/>
          <w:color w:val="333333"/>
          <w:sz w:val="28"/>
          <w:szCs w:val="28"/>
          <w:shd w:val="clear" w:color="auto" w:fill="FFFFFF"/>
        </w:rPr>
        <w:t xml:space="preserve">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2A3304" w:rsidRPr="00980BC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对整体生产经营和业绩的影响</w:t>
            </w:r>
          </w:p>
        </w:tc>
      </w:tr>
      <w:tr w:rsidR="002A3304" w:rsidRPr="00980BC4">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沈阳非晶金属材料有限公司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股权收购及增资</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不会对公司本期和未来财务状况、经营成果和现金流造成重大影响</w:t>
            </w:r>
          </w:p>
        </w:tc>
      </w:tr>
      <w:tr w:rsidR="002A3304" w:rsidRPr="00980BC4">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福建将乐卓越金属材料有限公司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股权收购</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不会对公司本期和未来财务状况、经营成果和现金流造成重大影响</w:t>
            </w:r>
          </w:p>
        </w:tc>
      </w:tr>
      <w:tr w:rsidR="002A3304" w:rsidRPr="00980BC4">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上海多普思电源有限责任公司</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注销</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不会对公司本期和未来财务状况、经营成果和现金流造成重大影响</w:t>
            </w:r>
          </w:p>
        </w:tc>
      </w:tr>
    </w:tbl>
    <w:p w:rsidR="002A3304" w:rsidRPr="00980BC4" w:rsidRDefault="00DF4EBF" w:rsidP="006D0579">
      <w:pPr>
        <w:pStyle w:val="Chapter"/>
        <w:spacing w:before="0" w:after="0" w:line="560" w:lineRule="exact"/>
        <w:ind w:firstLineChars="200" w:firstLine="562"/>
        <w:outlineLvl w:val="1"/>
        <w:rPr>
          <w:bCs w:val="0"/>
          <w:sz w:val="28"/>
          <w:szCs w:val="28"/>
        </w:rPr>
      </w:pPr>
      <w:bookmarkStart w:id="48" w:name="_Toc988937"/>
      <w:r w:rsidRPr="00980BC4">
        <w:rPr>
          <w:bCs w:val="0"/>
          <w:sz w:val="28"/>
          <w:szCs w:val="28"/>
        </w:rPr>
        <w:t>十、公司控制的结构化主体情况</w:t>
      </w:r>
      <w:bookmarkEnd w:id="48"/>
    </w:p>
    <w:p w:rsidR="002A3304" w:rsidRPr="00980BC4" w:rsidRDefault="00DF4EBF" w:rsidP="006D0579">
      <w:pPr>
        <w:pStyle w:val="a3"/>
        <w:spacing w:before="0" w:beforeAutospacing="0" w:after="0" w:afterAutospacing="0" w:line="560" w:lineRule="exact"/>
        <w:ind w:firstLine="560"/>
        <w:jc w:val="both"/>
        <w:rPr>
          <w:rFonts w:ascii="仿宋" w:eastAsia="仿宋" w:hAnsi="仿宋"/>
          <w:color w:val="000000"/>
          <w:sz w:val="28"/>
          <w:szCs w:val="28"/>
        </w:rPr>
      </w:pPr>
      <w:r w:rsidRPr="00980BC4">
        <w:rPr>
          <w:rFonts w:ascii="仿宋" w:eastAsia="仿宋" w:hAnsi="仿宋"/>
          <w:color w:val="000000"/>
          <w:sz w:val="28"/>
          <w:szCs w:val="28"/>
        </w:rPr>
        <w:t xml:space="preserve">□适用 </w:t>
      </w:r>
      <w:r w:rsidR="006D0579" w:rsidRPr="00980BC4">
        <w:rPr>
          <w:rFonts w:ascii="仿宋" w:eastAsia="仿宋" w:hAnsi="仿宋" w:hint="eastAsia"/>
          <w:color w:val="000000"/>
          <w:sz w:val="28"/>
          <w:szCs w:val="28"/>
        </w:rPr>
        <w:t xml:space="preserve"> </w:t>
      </w:r>
      <w:r w:rsidRPr="00980BC4">
        <w:rPr>
          <w:rFonts w:ascii="仿宋" w:eastAsia="仿宋" w:hAnsi="仿宋"/>
          <w:color w:val="000000"/>
          <w:sz w:val="28"/>
          <w:szCs w:val="28"/>
        </w:rPr>
        <w:sym w:font="Wingdings 2" w:char="F052"/>
      </w:r>
      <w:r w:rsidRPr="00980BC4">
        <w:rPr>
          <w:rFonts w:ascii="仿宋" w:eastAsia="仿宋" w:hAnsi="仿宋"/>
          <w:color w:val="000000"/>
          <w:sz w:val="28"/>
          <w:szCs w:val="28"/>
        </w:rPr>
        <w:t>不适用</w:t>
      </w:r>
    </w:p>
    <w:p w:rsidR="002A3304" w:rsidRPr="00980BC4" w:rsidRDefault="00DF4EBF" w:rsidP="006D0579">
      <w:pPr>
        <w:pStyle w:val="Chapter"/>
        <w:spacing w:before="0" w:after="0" w:line="560" w:lineRule="exact"/>
        <w:ind w:firstLineChars="200" w:firstLine="562"/>
        <w:outlineLvl w:val="1"/>
        <w:rPr>
          <w:bCs w:val="0"/>
          <w:sz w:val="28"/>
          <w:szCs w:val="28"/>
        </w:rPr>
      </w:pPr>
      <w:bookmarkStart w:id="49" w:name="_Toc988938"/>
      <w:r w:rsidRPr="00980BC4">
        <w:rPr>
          <w:bCs w:val="0"/>
          <w:sz w:val="28"/>
          <w:szCs w:val="28"/>
        </w:rPr>
        <w:t>十一、公司未来发展的展望</w:t>
      </w:r>
      <w:bookmarkEnd w:id="49"/>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hint="eastAsia"/>
          <w:color w:val="000000" w:themeColor="text1"/>
          <w:sz w:val="28"/>
          <w:szCs w:val="28"/>
        </w:rPr>
        <w:t>（一）行业格局和趋势</w:t>
      </w:r>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ascii="仿宋" w:eastAsia="仿宋" w:hAnsi="仿宋" w:hint="eastAsia"/>
          <w:color w:val="000000" w:themeColor="text1"/>
          <w:sz w:val="28"/>
          <w:szCs w:val="28"/>
        </w:rPr>
        <w:t>近年来，为维护国家安全和国家利益，我国国防投入不断增加。2020年国防预算同比增长6.6%，2021年国防预算同比增长6.8%，2022年国防预算同比增长7.1%。国防预算总量虽保持上升势态，但我国国防支出占同期 GDP、政府财政支出的比例在世界范围内尚处于低位水平。公司所处军工细分行业</w:t>
      </w:r>
      <w:r w:rsidRPr="00980BC4">
        <w:rPr>
          <w:rFonts w:ascii="仿宋" w:eastAsia="仿宋" w:hAnsi="仿宋" w:hint="eastAsia"/>
          <w:color w:val="000000" w:themeColor="text1"/>
          <w:sz w:val="28"/>
          <w:szCs w:val="28"/>
        </w:rPr>
        <w:lastRenderedPageBreak/>
        <w:t>为电源</w:t>
      </w:r>
      <w:r w:rsidR="008D70D0" w:rsidRPr="00980BC4">
        <w:rPr>
          <w:rFonts w:ascii="仿宋" w:eastAsia="仿宋" w:hAnsi="仿宋" w:hint="eastAsia"/>
          <w:color w:val="000000" w:themeColor="text1"/>
          <w:sz w:val="28"/>
          <w:szCs w:val="28"/>
        </w:rPr>
        <w:t>及相关产品、</w:t>
      </w:r>
      <w:r w:rsidRPr="00980BC4">
        <w:rPr>
          <w:rFonts w:ascii="仿宋" w:eastAsia="仿宋" w:hAnsi="仿宋" w:hint="eastAsia"/>
          <w:color w:val="000000" w:themeColor="text1"/>
          <w:sz w:val="28"/>
          <w:szCs w:val="28"/>
        </w:rPr>
        <w:t>高性能特种合金材料制品行业，具有一定的持续性需求，周期性不明显。</w:t>
      </w:r>
    </w:p>
    <w:p w:rsidR="002A3304" w:rsidRPr="00980BC4" w:rsidRDefault="002A3304" w:rsidP="006D0579">
      <w:pPr>
        <w:pStyle w:val="a3"/>
        <w:spacing w:before="0" w:beforeAutospacing="0" w:after="0" w:afterAutospacing="0" w:line="560" w:lineRule="exact"/>
        <w:ind w:firstLine="551"/>
        <w:jc w:val="both"/>
        <w:divId w:val="147869068"/>
        <w:rPr>
          <w:rStyle w:val="a4"/>
          <w:rFonts w:ascii="仿宋" w:eastAsia="仿宋" w:hAnsi="仿宋"/>
          <w:color w:val="000000" w:themeColor="text1"/>
          <w:sz w:val="28"/>
          <w:szCs w:val="28"/>
        </w:rPr>
      </w:pPr>
      <w:r w:rsidRPr="00980BC4">
        <w:rPr>
          <w:rStyle w:val="a4"/>
          <w:rFonts w:ascii="仿宋" w:eastAsia="仿宋" w:hAnsi="仿宋" w:hint="eastAsia"/>
          <w:color w:val="000000" w:themeColor="text1"/>
          <w:sz w:val="28"/>
          <w:szCs w:val="28"/>
        </w:rPr>
        <w:t>1、电源行业</w:t>
      </w:r>
    </w:p>
    <w:p w:rsidR="004657B3" w:rsidRPr="00980BC4" w:rsidRDefault="004657B3" w:rsidP="00A835F0">
      <w:pPr>
        <w:spacing w:line="560" w:lineRule="exact"/>
        <w:ind w:firstLineChars="200" w:firstLine="560"/>
        <w:jc w:val="both"/>
        <w:divId w:val="147869068"/>
        <w:rPr>
          <w:rFonts w:ascii="仿宋" w:eastAsia="仿宋" w:hAnsi="仿宋" w:cs="宋体"/>
          <w:color w:val="000000" w:themeColor="text1"/>
          <w:kern w:val="0"/>
          <w:sz w:val="28"/>
          <w:szCs w:val="28"/>
        </w:rPr>
      </w:pPr>
      <w:r w:rsidRPr="00980BC4">
        <w:rPr>
          <w:rFonts w:ascii="仿宋" w:eastAsia="仿宋" w:hAnsi="仿宋" w:cs="宋体" w:hint="eastAsia"/>
          <w:color w:val="000000" w:themeColor="text1"/>
          <w:kern w:val="0"/>
          <w:sz w:val="28"/>
          <w:szCs w:val="28"/>
        </w:rPr>
        <w:t>电源产业在欧美发达国家技术较为成熟，中国市场发展相对较晚。近年来，随着国际产业转移、我国信息化建设的不断深入以及航空、航天及军工产业的持续发展，下游行业快速发展对电源行业的有力拉动，国内电源产业市场迎来了商机。国内电源市场的繁荣也加剧了市场竞争，一方面众多国外知名公司进军国内电源产业市场，另一方面国内的电源生产企业数量</w:t>
      </w:r>
      <w:r w:rsidR="00530883" w:rsidRPr="00980BC4">
        <w:rPr>
          <w:rFonts w:ascii="仿宋" w:eastAsia="仿宋" w:hAnsi="仿宋" w:cs="宋体" w:hint="eastAsia"/>
          <w:color w:val="000000" w:themeColor="text1"/>
          <w:kern w:val="0"/>
          <w:sz w:val="28"/>
          <w:szCs w:val="28"/>
        </w:rPr>
        <w:t>也</w:t>
      </w:r>
      <w:r w:rsidRPr="00980BC4">
        <w:rPr>
          <w:rFonts w:ascii="仿宋" w:eastAsia="仿宋" w:hAnsi="仿宋" w:cs="宋体" w:hint="eastAsia"/>
          <w:color w:val="000000" w:themeColor="text1"/>
          <w:kern w:val="0"/>
          <w:sz w:val="28"/>
          <w:szCs w:val="28"/>
        </w:rPr>
        <w:t>逐年增加。</w:t>
      </w:r>
      <w:r w:rsidR="00530883" w:rsidRPr="00980BC4">
        <w:rPr>
          <w:rFonts w:ascii="仿宋" w:eastAsia="仿宋" w:hAnsi="仿宋" w:cs="宋体" w:hint="eastAsia"/>
          <w:color w:val="000000" w:themeColor="text1"/>
          <w:kern w:val="0"/>
          <w:sz w:val="28"/>
          <w:szCs w:val="28"/>
        </w:rPr>
        <w:t>中国电源行业已形成了高度市场化的状态，生产电源产品的厂商数量众多，市场集中度较低。</w:t>
      </w:r>
    </w:p>
    <w:p w:rsidR="000A1806" w:rsidRPr="00980BC4" w:rsidRDefault="004657B3" w:rsidP="00A835F0">
      <w:pPr>
        <w:spacing w:line="560" w:lineRule="exact"/>
        <w:ind w:firstLineChars="200" w:firstLine="560"/>
        <w:jc w:val="both"/>
        <w:divId w:val="147869068"/>
        <w:rPr>
          <w:rFonts w:ascii="仿宋" w:eastAsia="仿宋" w:hAnsi="仿宋" w:cs="宋体"/>
          <w:color w:val="000000" w:themeColor="text1"/>
          <w:kern w:val="0"/>
          <w:sz w:val="28"/>
          <w:szCs w:val="28"/>
        </w:rPr>
      </w:pPr>
      <w:r w:rsidRPr="00980BC4">
        <w:rPr>
          <w:rFonts w:ascii="仿宋" w:eastAsia="仿宋" w:hAnsi="仿宋" w:cs="宋体" w:hint="eastAsia"/>
          <w:color w:val="000000" w:themeColor="text1"/>
          <w:kern w:val="0"/>
          <w:sz w:val="28"/>
          <w:szCs w:val="28"/>
        </w:rPr>
        <w:t>除去国外企业以及国内一流电源企业，多数电源供应商由于研发能力、制造水平、服务响应能力有限，以生产单一类型的中</w:t>
      </w:r>
      <w:r w:rsidR="00D83997" w:rsidRPr="00980BC4">
        <w:rPr>
          <w:rFonts w:ascii="仿宋" w:eastAsia="仿宋" w:hAnsi="仿宋" w:cs="宋体" w:hint="eastAsia"/>
          <w:color w:val="000000" w:themeColor="text1"/>
          <w:kern w:val="0"/>
          <w:sz w:val="28"/>
          <w:szCs w:val="28"/>
        </w:rPr>
        <w:t>低端电源产品为主，产品的技术含量和附加值较低，市场竞争尤为激烈</w:t>
      </w:r>
      <w:r w:rsidRPr="00980BC4">
        <w:rPr>
          <w:rFonts w:ascii="仿宋" w:eastAsia="仿宋" w:hAnsi="仿宋" w:cs="宋体" w:hint="eastAsia"/>
          <w:color w:val="000000" w:themeColor="text1"/>
          <w:kern w:val="0"/>
          <w:sz w:val="28"/>
          <w:szCs w:val="28"/>
        </w:rPr>
        <w:t>。具有较强研发实力的电源企业，产品工艺水平不断取得突破，能够满足客户对新产品新工艺的要求，产品利润仍能保持在较高的水平；同时，通信、航空、航天、军工、铁路、电力以及节能环保新能源等多个领域的深度开拓对这部分企业的盈利能力也产生了积极影响。</w:t>
      </w:r>
    </w:p>
    <w:p w:rsidR="002A3304" w:rsidRPr="00980BC4" w:rsidRDefault="004657B3" w:rsidP="00A835F0">
      <w:pPr>
        <w:spacing w:line="560" w:lineRule="exact"/>
        <w:ind w:firstLineChars="200" w:firstLine="560"/>
        <w:jc w:val="both"/>
        <w:divId w:val="147869068"/>
        <w:rPr>
          <w:color w:val="000000" w:themeColor="text1"/>
        </w:rPr>
      </w:pPr>
      <w:r w:rsidRPr="00980BC4">
        <w:rPr>
          <w:rFonts w:ascii="仿宋" w:eastAsia="仿宋" w:hAnsi="仿宋" w:cs="宋体" w:hint="eastAsia"/>
          <w:color w:val="000000" w:themeColor="text1"/>
          <w:kern w:val="0"/>
          <w:sz w:val="28"/>
          <w:szCs w:val="28"/>
        </w:rPr>
        <w:t>电源行业所面对的军工领域与工业领域有一定的区别，军工领域一是在产品质量上有更高的要求，二是在新一代武器的研制上对技术指标要求更为严苛，三是近两年来对国产化有了明确的要求，全国产化是必然的趋势，这也是各电源厂家竞争的焦点。</w:t>
      </w:r>
      <w:r w:rsidR="00326E85" w:rsidRPr="00980BC4">
        <w:rPr>
          <w:rFonts w:ascii="仿宋" w:eastAsia="仿宋" w:hAnsi="仿宋" w:cs="宋体" w:hint="eastAsia"/>
          <w:color w:val="000000" w:themeColor="text1"/>
          <w:kern w:val="0"/>
          <w:sz w:val="28"/>
          <w:szCs w:val="28"/>
        </w:rPr>
        <w:t>目前的行业竞争格局是以几家主要</w:t>
      </w:r>
      <w:r w:rsidRPr="00980BC4">
        <w:rPr>
          <w:rFonts w:ascii="仿宋" w:eastAsia="仿宋" w:hAnsi="仿宋" w:cs="宋体" w:hint="eastAsia"/>
          <w:color w:val="000000" w:themeColor="text1"/>
          <w:kern w:val="0"/>
          <w:sz w:val="28"/>
          <w:szCs w:val="28"/>
        </w:rPr>
        <w:t>电源模块厂家在全国竞争为主，在各地方有一些小公司及进口品牌参与区域性的竞争为辅，形成了高端厂家较少，中端厂家有一定数量，低端厂家较多的金字塔型竞争格局。</w:t>
      </w:r>
      <w:r w:rsidR="002A3304" w:rsidRPr="00980BC4">
        <w:rPr>
          <w:rFonts w:ascii="仿宋" w:eastAsia="仿宋" w:hAnsi="仿宋" w:hint="eastAsia"/>
          <w:color w:val="000000" w:themeColor="text1"/>
          <w:sz w:val="28"/>
          <w:szCs w:val="28"/>
        </w:rPr>
        <w:t>升华电源是国内领先的特种电源供应商，拥有十余年的深厚技术</w:t>
      </w:r>
      <w:r w:rsidR="002A3304" w:rsidRPr="00980BC4">
        <w:rPr>
          <w:rFonts w:ascii="仿宋" w:eastAsia="仿宋" w:hAnsi="仿宋" w:hint="eastAsia"/>
          <w:color w:val="000000" w:themeColor="text1"/>
          <w:sz w:val="28"/>
          <w:szCs w:val="28"/>
        </w:rPr>
        <w:lastRenderedPageBreak/>
        <w:t>基础沉淀，始终致力于为客户提供专业化、个性化的电源产品，有较高的技术水平和较强的自主创新能力，其中高效率、高可靠性、高功率密度的模块电源、定制电源产品深受客户认可,随着行业发展，公司有望继续从中获益。</w:t>
      </w:r>
    </w:p>
    <w:p w:rsidR="002A3304" w:rsidRPr="00980BC4" w:rsidRDefault="002A3304" w:rsidP="006D0579">
      <w:pPr>
        <w:pStyle w:val="a3"/>
        <w:spacing w:before="0" w:beforeAutospacing="0" w:after="0" w:afterAutospacing="0" w:line="560" w:lineRule="exact"/>
        <w:ind w:firstLine="551"/>
        <w:jc w:val="both"/>
        <w:divId w:val="147869068"/>
        <w:rPr>
          <w:color w:val="000000" w:themeColor="text1"/>
        </w:rPr>
      </w:pPr>
      <w:r w:rsidRPr="00980BC4">
        <w:rPr>
          <w:rStyle w:val="a4"/>
          <w:rFonts w:ascii="仿宋" w:eastAsia="仿宋" w:hAnsi="仿宋" w:hint="eastAsia"/>
          <w:color w:val="000000" w:themeColor="text1"/>
          <w:sz w:val="28"/>
          <w:szCs w:val="28"/>
        </w:rPr>
        <w:t>2、高性能特种合金材料制品行业</w:t>
      </w:r>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ascii="仿宋" w:eastAsia="仿宋" w:hAnsi="仿宋" w:hint="eastAsia"/>
          <w:color w:val="000000" w:themeColor="text1"/>
          <w:sz w:val="28"/>
          <w:szCs w:val="28"/>
        </w:rPr>
        <w:t>（1）预制破片业务。按目前发展趋势，国内军品采购中常规弹药订货总量增长驱缓，预计未来在远火、制导等智能弹药的订货量将上升，智能弹药的特点是精、准、狠，在同等密集度下所需弹药量减少，由于沈阳含能的产品主要应用于常规弹药领域，这对其在钨合金预制破片市场的增长带来较大困难；同时，制造钨合金预制破片的主要原料钨粉价格目前维持高位运行，也带来成本上涨压力。公司将充分挖掘各种机遇，在巩固传统市场的基础上，通过不同举措，适时切入新材料、导引头等发展前景较好的细分领域，同时利用军工品质等资源，继续探索民品市场，保持公司经营业绩的稳定。</w:t>
      </w:r>
    </w:p>
    <w:p w:rsidR="00170887" w:rsidRPr="00980BC4" w:rsidRDefault="002A3304" w:rsidP="00170887">
      <w:pPr>
        <w:pStyle w:val="a3"/>
        <w:spacing w:before="0" w:beforeAutospacing="0" w:after="0" w:afterAutospacing="0" w:line="560" w:lineRule="exact"/>
        <w:ind w:firstLine="660"/>
        <w:jc w:val="both"/>
        <w:divId w:val="147869068"/>
        <w:rPr>
          <w:color w:val="000000" w:themeColor="text1"/>
        </w:rPr>
      </w:pPr>
      <w:r w:rsidRPr="00980BC4">
        <w:rPr>
          <w:rFonts w:ascii="仿宋" w:eastAsia="仿宋" w:hAnsi="仿宋" w:hint="eastAsia"/>
          <w:color w:val="000000" w:themeColor="text1"/>
          <w:sz w:val="28"/>
          <w:szCs w:val="28"/>
        </w:rPr>
        <w:t>（2）非晶合金业务。</w:t>
      </w:r>
      <w:r w:rsidR="00AB797C" w:rsidRPr="00980BC4">
        <w:rPr>
          <w:rFonts w:ascii="仿宋" w:eastAsia="仿宋" w:hAnsi="仿宋"/>
          <w:color w:val="000000" w:themeColor="text1"/>
          <w:sz w:val="28"/>
          <w:szCs w:val="28"/>
        </w:rPr>
        <w:t>非晶合金材料是一类具有冲击诱</w:t>
      </w:r>
      <w:r w:rsidR="00244161" w:rsidRPr="00980BC4">
        <w:rPr>
          <w:rFonts w:ascii="仿宋" w:eastAsia="仿宋" w:hAnsi="仿宋"/>
          <w:color w:val="000000" w:themeColor="text1"/>
          <w:sz w:val="28"/>
          <w:szCs w:val="28"/>
        </w:rPr>
        <w:t>发化学反应的先进活性材料，具有高强度、高硬度的特点，在国防领域</w:t>
      </w:r>
      <w:r w:rsidR="00AB797C" w:rsidRPr="00980BC4">
        <w:rPr>
          <w:rFonts w:ascii="仿宋" w:eastAsia="仿宋" w:hAnsi="仿宋"/>
          <w:color w:val="000000" w:themeColor="text1"/>
          <w:sz w:val="28"/>
          <w:szCs w:val="28"/>
        </w:rPr>
        <w:t>对装备设计、打击能力具有颠覆性作用。</w:t>
      </w:r>
      <w:r w:rsidRPr="00980BC4">
        <w:rPr>
          <w:rFonts w:ascii="仿宋" w:eastAsia="仿宋" w:hAnsi="仿宋" w:hint="eastAsia"/>
          <w:color w:val="000000" w:themeColor="text1"/>
          <w:sz w:val="28"/>
          <w:szCs w:val="28"/>
        </w:rPr>
        <w:t>非晶合金技术在国外已成功实现装备配套，但在国内发展较晚，产业化和装备配套应用程度不高</w:t>
      </w:r>
      <w:r w:rsidR="00011526" w:rsidRPr="00980BC4">
        <w:rPr>
          <w:rFonts w:ascii="仿宋" w:eastAsia="仿宋" w:hAnsi="仿宋" w:hint="eastAsia"/>
          <w:color w:val="000000" w:themeColor="text1"/>
          <w:sz w:val="28"/>
          <w:szCs w:val="28"/>
        </w:rPr>
        <w:t>，</w:t>
      </w:r>
      <w:r w:rsidR="00170887" w:rsidRPr="00980BC4">
        <w:rPr>
          <w:rFonts w:ascii="仿宋" w:eastAsia="仿宋" w:hAnsi="仿宋" w:hint="eastAsia"/>
          <w:color w:val="000000" w:themeColor="text1"/>
          <w:sz w:val="28"/>
          <w:szCs w:val="28"/>
        </w:rPr>
        <w:t>沈阳非晶公司为国内较早实现材料批量化生产和应用的制造商，未来将持续开展研发创新，积极推动技术的产业化转化。</w:t>
      </w:r>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ascii="仿宋" w:eastAsia="仿宋" w:hAnsi="仿宋" w:hint="eastAsia"/>
          <w:color w:val="000000" w:themeColor="text1"/>
          <w:sz w:val="28"/>
          <w:szCs w:val="28"/>
        </w:rPr>
        <w:t>未来公司将始终紧跟国家战略部署，紧随部队装备的更新换代和产品升级，着力开展新产品研发，不断提升产品性能，努力提高在相应军品细分市场的占有率。</w:t>
      </w:r>
    </w:p>
    <w:p w:rsidR="002A3304" w:rsidRPr="00980BC4" w:rsidRDefault="002A3304" w:rsidP="006D0579">
      <w:pPr>
        <w:pStyle w:val="a3"/>
        <w:spacing w:before="0" w:beforeAutospacing="0" w:after="0" w:afterAutospacing="0" w:line="560" w:lineRule="exact"/>
        <w:ind w:firstLine="600"/>
        <w:jc w:val="both"/>
        <w:divId w:val="147869068"/>
        <w:rPr>
          <w:color w:val="000000" w:themeColor="text1"/>
        </w:rPr>
      </w:pPr>
      <w:r w:rsidRPr="00980BC4">
        <w:rPr>
          <w:rFonts w:hint="eastAsia"/>
          <w:color w:val="000000" w:themeColor="text1"/>
          <w:sz w:val="30"/>
          <w:szCs w:val="30"/>
        </w:rPr>
        <w:t>（二）公司发展战略</w:t>
      </w:r>
    </w:p>
    <w:p w:rsidR="002A3304" w:rsidRPr="00980BC4" w:rsidRDefault="002A3304" w:rsidP="006D0579">
      <w:pPr>
        <w:pStyle w:val="a3"/>
        <w:spacing w:before="0" w:beforeAutospacing="0" w:after="0" w:afterAutospacing="0" w:line="560" w:lineRule="exact"/>
        <w:ind w:firstLine="560"/>
        <w:divId w:val="147869068"/>
        <w:rPr>
          <w:color w:val="000000" w:themeColor="text1"/>
        </w:rPr>
      </w:pPr>
      <w:r w:rsidRPr="00980BC4">
        <w:rPr>
          <w:rFonts w:ascii="仿宋" w:eastAsia="仿宋" w:hAnsi="仿宋" w:hint="eastAsia"/>
          <w:color w:val="000000" w:themeColor="text1"/>
          <w:sz w:val="28"/>
          <w:szCs w:val="28"/>
        </w:rPr>
        <w:t>公司将坚定以军工产业为核心，坚持内生式增长与外延式扩张并举，以技术创新、提质增效为主要内生动力，通过高标准的研发、制造和优质服务，</w:t>
      </w:r>
      <w:r w:rsidRPr="00980BC4">
        <w:rPr>
          <w:rFonts w:ascii="仿宋" w:eastAsia="仿宋" w:hAnsi="仿宋" w:hint="eastAsia"/>
          <w:color w:val="000000" w:themeColor="text1"/>
          <w:sz w:val="28"/>
          <w:szCs w:val="28"/>
        </w:rPr>
        <w:lastRenderedPageBreak/>
        <w:t>成为细分领域的行业标杆；以持续并购、产业基金投资为主要外延手段，深入挖掘产业整合机会，完善军工产业布局；同时依托在军品市场的技术、市场信息等优势，适时介入相应民品领域，不断提高公司发展质量和效益，努力将公司打造为综合实力较强、核心技术领先、投资价值突出的集团企业。</w:t>
      </w:r>
    </w:p>
    <w:p w:rsidR="002A3304" w:rsidRPr="00980BC4" w:rsidRDefault="002A3304" w:rsidP="006D0579">
      <w:pPr>
        <w:pStyle w:val="a3"/>
        <w:spacing w:before="0" w:beforeAutospacing="0" w:after="0" w:afterAutospacing="0" w:line="560" w:lineRule="exact"/>
        <w:ind w:firstLine="420"/>
        <w:jc w:val="both"/>
        <w:divId w:val="147869068"/>
        <w:rPr>
          <w:color w:val="000000" w:themeColor="text1"/>
        </w:rPr>
      </w:pPr>
      <w:r w:rsidRPr="00980BC4">
        <w:rPr>
          <w:rFonts w:ascii="Calibri" w:hAnsi="Calibri" w:cs="Calibri"/>
          <w:color w:val="000000" w:themeColor="text1"/>
          <w:sz w:val="21"/>
          <w:szCs w:val="21"/>
        </w:rPr>
        <w:t xml:space="preserve">   </w:t>
      </w:r>
      <w:r w:rsidRPr="00980BC4">
        <w:rPr>
          <w:rFonts w:hint="eastAsia"/>
          <w:color w:val="000000" w:themeColor="text1"/>
          <w:sz w:val="30"/>
          <w:szCs w:val="30"/>
        </w:rPr>
        <w:t>（三）2023年度经营计划</w:t>
      </w:r>
    </w:p>
    <w:p w:rsidR="002A3304" w:rsidRPr="00980BC4" w:rsidRDefault="002A3304" w:rsidP="006D0579">
      <w:pPr>
        <w:pStyle w:val="a3"/>
        <w:spacing w:before="0" w:beforeAutospacing="0" w:after="0" w:afterAutospacing="0" w:line="560" w:lineRule="exact"/>
        <w:ind w:firstLine="660"/>
        <w:jc w:val="both"/>
        <w:divId w:val="147869068"/>
        <w:rPr>
          <w:color w:val="000000" w:themeColor="text1"/>
        </w:rPr>
      </w:pPr>
      <w:r w:rsidRPr="00980BC4">
        <w:rPr>
          <w:rFonts w:ascii="仿宋" w:eastAsia="仿宋" w:hAnsi="仿宋" w:hint="eastAsia"/>
          <w:color w:val="000000" w:themeColor="text1"/>
          <w:sz w:val="28"/>
          <w:szCs w:val="28"/>
        </w:rPr>
        <w:t>2023年是紧跟国家战略部署，把握深化军工产业发展机遇的重要时机，子公司及各职能部门需围绕年度经营目标及工作计划，抓住工作重点，厘清工作中的痛点、难点，提高管理水平、优化人才结构、提升工作效率；公司也将从市场开发及资源投入等方面着手，为各子公司赋能，协助子公司拓展业务，提升经营效益，激发内生增长动力；同时继续以横纵向产业投资为外部动力，为提升综合实力夯实根基。为此，将重点做好以下几方面的工作：</w:t>
      </w:r>
    </w:p>
    <w:p w:rsidR="00403E45" w:rsidRPr="00980BC4" w:rsidRDefault="00403E45" w:rsidP="00403E45">
      <w:pPr>
        <w:pStyle w:val="a3"/>
        <w:spacing w:before="0" w:beforeAutospacing="0" w:after="0" w:afterAutospacing="0" w:line="560" w:lineRule="exact"/>
        <w:ind w:firstLine="570"/>
        <w:jc w:val="both"/>
        <w:divId w:val="147869068"/>
        <w:rPr>
          <w:color w:val="000000" w:themeColor="text1"/>
        </w:rPr>
      </w:pPr>
      <w:r w:rsidRPr="00980BC4">
        <w:rPr>
          <w:rStyle w:val="a4"/>
          <w:rFonts w:ascii="仿宋" w:eastAsia="仿宋" w:hAnsi="仿宋" w:hint="eastAsia"/>
          <w:color w:val="000000" w:themeColor="text1"/>
          <w:sz w:val="28"/>
          <w:szCs w:val="28"/>
        </w:rPr>
        <w:t>1、升华电源——拓展市场、提升研发、增强竞争实力</w:t>
      </w:r>
    </w:p>
    <w:p w:rsidR="00403E45" w:rsidRPr="00980BC4" w:rsidRDefault="00403E45" w:rsidP="00403E45">
      <w:pPr>
        <w:pStyle w:val="a3"/>
        <w:spacing w:before="0" w:beforeAutospacing="0" w:after="0" w:afterAutospacing="0" w:line="560" w:lineRule="exact"/>
        <w:ind w:firstLine="570"/>
        <w:jc w:val="both"/>
        <w:divId w:val="147869068"/>
        <w:rPr>
          <w:color w:val="000000" w:themeColor="text1"/>
        </w:rPr>
      </w:pPr>
      <w:r w:rsidRPr="00980BC4">
        <w:rPr>
          <w:rFonts w:ascii="仿宋" w:eastAsia="仿宋" w:hAnsi="仿宋" w:hint="eastAsia"/>
          <w:color w:val="000000" w:themeColor="text1"/>
          <w:sz w:val="28"/>
          <w:szCs w:val="28"/>
        </w:rPr>
        <w:t>要努力突破自身框架，建立多元化市场工作机制，充分挖潜市场营销团队的增量项目，在维系老客户订单的同时，集中力量开发优质客户、优质项目，全力获取新的增长点；同时加大研发队伍建设力度，提升公司核心业务研发竞争力，强化研发工作环节的科学性和准确性；在人员招聘配置工作上，应把重心放在研发、生产、质量方面具有丰富经验的人员，特别是具有独立完成项目经验的中高级别的研发工程师的引进方面；完善生产设备配置，提升产能、品质控制及生产效率；提高存货及供应链管理水平，优化存货配置及管理流程。</w:t>
      </w:r>
    </w:p>
    <w:p w:rsidR="002A3304" w:rsidRPr="00980BC4" w:rsidRDefault="00403E45" w:rsidP="006D0579">
      <w:pPr>
        <w:pStyle w:val="a3"/>
        <w:spacing w:before="0" w:beforeAutospacing="0" w:after="0" w:afterAutospacing="0" w:line="560" w:lineRule="exact"/>
        <w:ind w:firstLine="570"/>
        <w:jc w:val="both"/>
        <w:divId w:val="147869068"/>
        <w:rPr>
          <w:color w:val="000000" w:themeColor="text1"/>
        </w:rPr>
      </w:pPr>
      <w:r w:rsidRPr="00980BC4">
        <w:rPr>
          <w:rStyle w:val="a4"/>
          <w:rFonts w:ascii="仿宋" w:eastAsia="仿宋" w:hAnsi="仿宋" w:hint="eastAsia"/>
          <w:color w:val="000000" w:themeColor="text1"/>
          <w:sz w:val="28"/>
          <w:szCs w:val="28"/>
        </w:rPr>
        <w:t>2</w:t>
      </w:r>
      <w:r w:rsidR="002A3304" w:rsidRPr="00980BC4">
        <w:rPr>
          <w:rStyle w:val="a4"/>
          <w:rFonts w:ascii="仿宋" w:eastAsia="仿宋" w:hAnsi="仿宋" w:hint="eastAsia"/>
          <w:color w:val="000000" w:themeColor="text1"/>
          <w:sz w:val="28"/>
          <w:szCs w:val="28"/>
        </w:rPr>
        <w:t xml:space="preserve">、沈阳含能——挖掘内部潜力、巩固客户关系 </w:t>
      </w:r>
    </w:p>
    <w:p w:rsidR="002A3304" w:rsidRPr="00980BC4" w:rsidRDefault="002A3304" w:rsidP="006D0579">
      <w:pPr>
        <w:pStyle w:val="a3"/>
        <w:spacing w:before="0" w:beforeAutospacing="0" w:after="0" w:afterAutospacing="0" w:line="560" w:lineRule="exact"/>
        <w:ind w:firstLine="570"/>
        <w:jc w:val="both"/>
        <w:divId w:val="147869068"/>
        <w:rPr>
          <w:color w:val="000000" w:themeColor="text1"/>
        </w:rPr>
      </w:pPr>
      <w:r w:rsidRPr="00980BC4">
        <w:rPr>
          <w:rFonts w:ascii="仿宋" w:eastAsia="仿宋" w:hAnsi="仿宋" w:hint="eastAsia"/>
          <w:color w:val="000000" w:themeColor="text1"/>
          <w:sz w:val="28"/>
          <w:szCs w:val="28"/>
        </w:rPr>
        <w:t>应在巩固原有客户业务的基础上，持续积极跟踪军品科研项目，夯实各项关系，推动目前已在跟踪及潜在的重点科研项目能落地签订合同；同时进一步提升产品良率、得率以及生产效率，进一步扩大公司的成本优势和产能</w:t>
      </w:r>
      <w:r w:rsidRPr="00980BC4">
        <w:rPr>
          <w:rFonts w:ascii="仿宋" w:eastAsia="仿宋" w:hAnsi="仿宋" w:hint="eastAsia"/>
          <w:color w:val="000000" w:themeColor="text1"/>
          <w:sz w:val="28"/>
          <w:szCs w:val="28"/>
        </w:rPr>
        <w:lastRenderedPageBreak/>
        <w:t>优势，为开拓军品和民品市场奠定更坚实基础；加强主要材料的价格跟踪及进行市场波动研究，多措并举，进一步降低生产</w:t>
      </w:r>
      <w:r w:rsidR="00505BCF" w:rsidRPr="00980BC4">
        <w:rPr>
          <w:rFonts w:ascii="仿宋" w:eastAsia="仿宋" w:hAnsi="仿宋" w:hint="eastAsia"/>
          <w:color w:val="000000" w:themeColor="text1"/>
          <w:sz w:val="28"/>
          <w:szCs w:val="28"/>
        </w:rPr>
        <w:t>成本</w:t>
      </w:r>
      <w:r w:rsidRPr="00980BC4">
        <w:rPr>
          <w:rFonts w:ascii="仿宋" w:eastAsia="仿宋" w:hAnsi="仿宋" w:hint="eastAsia"/>
          <w:color w:val="000000" w:themeColor="text1"/>
          <w:sz w:val="28"/>
          <w:szCs w:val="28"/>
        </w:rPr>
        <w:t>受原料涨跌的影响。</w:t>
      </w:r>
    </w:p>
    <w:p w:rsidR="002A3304" w:rsidRPr="00980BC4" w:rsidRDefault="002A3304" w:rsidP="006D0579">
      <w:pPr>
        <w:pStyle w:val="a3"/>
        <w:spacing w:before="0" w:beforeAutospacing="0" w:after="0" w:afterAutospacing="0" w:line="560" w:lineRule="exact"/>
        <w:ind w:firstLine="570"/>
        <w:jc w:val="both"/>
        <w:divId w:val="147869068"/>
        <w:rPr>
          <w:color w:val="000000" w:themeColor="text1"/>
        </w:rPr>
      </w:pPr>
      <w:r w:rsidRPr="00980BC4">
        <w:rPr>
          <w:rStyle w:val="a4"/>
          <w:rFonts w:ascii="仿宋" w:eastAsia="仿宋" w:hAnsi="仿宋" w:hint="eastAsia"/>
          <w:color w:val="000000" w:themeColor="text1"/>
          <w:sz w:val="28"/>
          <w:szCs w:val="28"/>
        </w:rPr>
        <w:t>3、沈阳非晶——丰富产品结构、降低生产成本</w:t>
      </w:r>
    </w:p>
    <w:p w:rsidR="002A3304" w:rsidRPr="00980BC4" w:rsidRDefault="002A3304" w:rsidP="006D0579">
      <w:pPr>
        <w:pStyle w:val="a3"/>
        <w:spacing w:before="0" w:beforeAutospacing="0" w:after="0" w:afterAutospacing="0" w:line="560" w:lineRule="exact"/>
        <w:ind w:firstLine="570"/>
        <w:jc w:val="both"/>
        <w:divId w:val="147869068"/>
        <w:rPr>
          <w:color w:val="000000" w:themeColor="text1"/>
        </w:rPr>
      </w:pPr>
      <w:r w:rsidRPr="00980BC4">
        <w:rPr>
          <w:rFonts w:ascii="仿宋" w:eastAsia="仿宋" w:hAnsi="仿宋" w:hint="eastAsia"/>
          <w:color w:val="000000" w:themeColor="text1"/>
          <w:sz w:val="28"/>
          <w:szCs w:val="28"/>
        </w:rPr>
        <w:t>逐步拓展产品种类，弥补目前产品品类单一的不足；建立客户档案及定期的客户回访制度，加强客户关系的管理；非晶合金核心原材料由原外采向自主生产转化，掌握核心技术，提升公司在新材料领域的影响力和竞争力；对生产线进行技术改造、优化，提升产品品质；通过优化工艺，提升产品良品率和产品得率，降低生产成本；健全激励机制，完善绩效与考评方案。</w:t>
      </w:r>
    </w:p>
    <w:p w:rsidR="00F266B9" w:rsidRPr="00980BC4" w:rsidRDefault="0007391C" w:rsidP="00F266B9">
      <w:pPr>
        <w:snapToGrid w:val="0"/>
        <w:spacing w:line="560" w:lineRule="exact"/>
        <w:ind w:firstLineChars="200" w:firstLine="562"/>
        <w:jc w:val="both"/>
        <w:divId w:val="147869068"/>
        <w:rPr>
          <w:rFonts w:ascii="仿宋" w:eastAsia="仿宋" w:hAnsi="仿宋" w:cs="Times New Roman"/>
          <w:b/>
          <w:color w:val="000000" w:themeColor="text1"/>
          <w:sz w:val="28"/>
          <w:szCs w:val="28"/>
        </w:rPr>
      </w:pPr>
      <w:r w:rsidRPr="00980BC4">
        <w:rPr>
          <w:rFonts w:ascii="仿宋" w:eastAsia="仿宋" w:hAnsi="仿宋" w:cs="Times New Roman" w:hint="eastAsia"/>
          <w:b/>
          <w:color w:val="000000" w:themeColor="text1"/>
          <w:sz w:val="28"/>
          <w:szCs w:val="28"/>
        </w:rPr>
        <w:t>4</w:t>
      </w:r>
      <w:r w:rsidR="00F266B9" w:rsidRPr="00980BC4">
        <w:rPr>
          <w:rFonts w:ascii="仿宋" w:eastAsia="仿宋" w:hAnsi="仿宋" w:cs="Times New Roman" w:hint="eastAsia"/>
          <w:b/>
          <w:color w:val="000000" w:themeColor="text1"/>
          <w:sz w:val="28"/>
          <w:szCs w:val="28"/>
        </w:rPr>
        <w:t>、产业发展</w:t>
      </w:r>
      <w:r w:rsidR="00F266B9" w:rsidRPr="00980BC4">
        <w:rPr>
          <w:rFonts w:ascii="仿宋" w:eastAsia="仿宋" w:hAnsi="仿宋" w:cs="Times New Roman" w:hint="eastAsia"/>
          <w:b/>
          <w:bCs/>
          <w:color w:val="000000" w:themeColor="text1"/>
          <w:sz w:val="28"/>
          <w:szCs w:val="28"/>
        </w:rPr>
        <w:t>——</w:t>
      </w:r>
      <w:r w:rsidR="006379BB" w:rsidRPr="00980BC4">
        <w:rPr>
          <w:rFonts w:ascii="仿宋" w:eastAsia="仿宋" w:hAnsi="仿宋" w:cs="Times New Roman" w:hint="eastAsia"/>
          <w:b/>
          <w:color w:val="000000" w:themeColor="text1"/>
          <w:sz w:val="28"/>
          <w:szCs w:val="28"/>
        </w:rPr>
        <w:t>做好投资管理、深耕</w:t>
      </w:r>
      <w:r w:rsidR="00E96F5E" w:rsidRPr="00980BC4">
        <w:rPr>
          <w:rFonts w:ascii="仿宋" w:eastAsia="仿宋" w:hAnsi="仿宋" w:cs="Times New Roman" w:hint="eastAsia"/>
          <w:b/>
          <w:color w:val="000000" w:themeColor="text1"/>
          <w:sz w:val="28"/>
          <w:szCs w:val="28"/>
        </w:rPr>
        <w:t>核心业务</w:t>
      </w:r>
    </w:p>
    <w:p w:rsidR="00F266B9" w:rsidRPr="00980BC4" w:rsidRDefault="00A034B9" w:rsidP="00233026">
      <w:pPr>
        <w:snapToGrid w:val="0"/>
        <w:spacing w:line="560" w:lineRule="exact"/>
        <w:ind w:firstLineChars="200" w:firstLine="560"/>
        <w:jc w:val="both"/>
        <w:divId w:val="147869068"/>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坚定产业发展方向，</w:t>
      </w:r>
      <w:r w:rsidR="00682072" w:rsidRPr="00980BC4">
        <w:rPr>
          <w:rFonts w:ascii="仿宋" w:eastAsia="仿宋" w:hAnsi="仿宋" w:hint="eastAsia"/>
          <w:color w:val="000000" w:themeColor="text1"/>
          <w:sz w:val="28"/>
          <w:szCs w:val="28"/>
        </w:rPr>
        <w:t>通过参控股等方式，</w:t>
      </w:r>
      <w:r w:rsidRPr="00980BC4">
        <w:rPr>
          <w:rFonts w:ascii="仿宋" w:eastAsia="仿宋" w:hAnsi="仿宋" w:hint="eastAsia"/>
          <w:color w:val="000000" w:themeColor="text1"/>
          <w:sz w:val="28"/>
          <w:szCs w:val="28"/>
        </w:rPr>
        <w:t>融合现有业务，拓展新业务，</w:t>
      </w:r>
      <w:r w:rsidR="000437A7" w:rsidRPr="00980BC4">
        <w:rPr>
          <w:rFonts w:ascii="仿宋" w:eastAsia="仿宋" w:hAnsi="仿宋" w:hint="eastAsia"/>
          <w:color w:val="000000" w:themeColor="text1"/>
          <w:sz w:val="28"/>
          <w:szCs w:val="28"/>
        </w:rPr>
        <w:t>深入挖掘产业整合机会，形成一体化价值链布局；适时拓展民用市场，实现军品和民品的融合式发展。</w:t>
      </w:r>
      <w:r w:rsidR="008B2FDC" w:rsidRPr="00980BC4">
        <w:rPr>
          <w:rFonts w:ascii="仿宋" w:eastAsia="仿宋" w:hAnsi="仿宋" w:hint="eastAsia"/>
          <w:color w:val="000000" w:themeColor="text1"/>
          <w:sz w:val="28"/>
          <w:szCs w:val="28"/>
        </w:rPr>
        <w:t>加强投后管理，</w:t>
      </w:r>
      <w:r w:rsidR="002608E0" w:rsidRPr="00980BC4">
        <w:rPr>
          <w:rFonts w:ascii="仿宋" w:eastAsia="仿宋" w:hAnsi="仿宋" w:hint="eastAsia"/>
          <w:color w:val="000000" w:themeColor="text1"/>
          <w:sz w:val="28"/>
          <w:szCs w:val="28"/>
        </w:rPr>
        <w:t>做好新并购子公司的规范运作及企业管理工作，</w:t>
      </w:r>
      <w:r w:rsidR="00CD7921" w:rsidRPr="00980BC4">
        <w:rPr>
          <w:rFonts w:ascii="仿宋" w:eastAsia="仿宋" w:hAnsi="仿宋" w:hint="eastAsia"/>
          <w:color w:val="000000" w:themeColor="text1"/>
          <w:sz w:val="28"/>
          <w:szCs w:val="28"/>
        </w:rPr>
        <w:t>积极寻求与公司业务协同的合作机会，实现资源互补，</w:t>
      </w:r>
      <w:r w:rsidR="00233026" w:rsidRPr="00980BC4">
        <w:rPr>
          <w:rFonts w:ascii="仿宋" w:eastAsia="仿宋" w:hAnsi="仿宋" w:hint="eastAsia"/>
          <w:color w:val="000000" w:themeColor="text1"/>
          <w:sz w:val="28"/>
          <w:szCs w:val="28"/>
        </w:rPr>
        <w:t>促进产业内生式增长和外延式扩张</w:t>
      </w:r>
      <w:r w:rsidR="0007391C" w:rsidRPr="00980BC4">
        <w:rPr>
          <w:rFonts w:ascii="仿宋" w:eastAsia="仿宋" w:hAnsi="仿宋" w:hint="eastAsia"/>
          <w:color w:val="000000" w:themeColor="text1"/>
          <w:sz w:val="28"/>
          <w:szCs w:val="28"/>
        </w:rPr>
        <w:t>，</w:t>
      </w:r>
      <w:r w:rsidR="00F266B9" w:rsidRPr="00980BC4">
        <w:rPr>
          <w:rFonts w:ascii="仿宋" w:eastAsia="仿宋" w:hAnsi="仿宋" w:hint="eastAsia"/>
          <w:color w:val="000000" w:themeColor="text1"/>
          <w:sz w:val="28"/>
          <w:szCs w:val="28"/>
        </w:rPr>
        <w:t>构建多层次</w:t>
      </w:r>
      <w:r w:rsidR="00F54C6B" w:rsidRPr="00980BC4">
        <w:rPr>
          <w:rFonts w:ascii="仿宋" w:eastAsia="仿宋" w:hAnsi="仿宋" w:hint="eastAsia"/>
          <w:color w:val="000000" w:themeColor="text1"/>
          <w:sz w:val="28"/>
          <w:szCs w:val="28"/>
        </w:rPr>
        <w:t>核心业务</w:t>
      </w:r>
      <w:r w:rsidR="00F266B9" w:rsidRPr="00980BC4">
        <w:rPr>
          <w:rFonts w:ascii="仿宋" w:eastAsia="仿宋" w:hAnsi="仿宋" w:hint="eastAsia"/>
          <w:color w:val="000000" w:themeColor="text1"/>
          <w:sz w:val="28"/>
          <w:szCs w:val="28"/>
        </w:rPr>
        <w:t>发展格局。</w:t>
      </w:r>
    </w:p>
    <w:p w:rsidR="002A3304" w:rsidRPr="00980BC4" w:rsidRDefault="002A3304" w:rsidP="006D0579">
      <w:pPr>
        <w:pStyle w:val="a3"/>
        <w:spacing w:before="0" w:beforeAutospacing="0" w:after="0" w:afterAutospacing="0" w:line="560" w:lineRule="exact"/>
        <w:ind w:firstLine="570"/>
        <w:jc w:val="both"/>
        <w:divId w:val="147869068"/>
        <w:rPr>
          <w:color w:val="000000" w:themeColor="text1"/>
        </w:rPr>
      </w:pPr>
      <w:r w:rsidRPr="00980BC4">
        <w:rPr>
          <w:rStyle w:val="a4"/>
          <w:rFonts w:ascii="仿宋" w:eastAsia="仿宋" w:hAnsi="仿宋" w:hint="eastAsia"/>
          <w:color w:val="000000" w:themeColor="text1"/>
          <w:sz w:val="28"/>
          <w:szCs w:val="28"/>
        </w:rPr>
        <w:t>5、企业管理——优化管理体系、</w:t>
      </w:r>
      <w:r w:rsidR="00A35826" w:rsidRPr="00980BC4">
        <w:rPr>
          <w:rStyle w:val="a4"/>
          <w:rFonts w:ascii="仿宋" w:eastAsia="仿宋" w:hAnsi="仿宋" w:hint="eastAsia"/>
          <w:color w:val="000000" w:themeColor="text1"/>
          <w:sz w:val="28"/>
          <w:szCs w:val="28"/>
        </w:rPr>
        <w:t>强化协同合作、</w:t>
      </w:r>
      <w:r w:rsidRPr="00980BC4">
        <w:rPr>
          <w:rStyle w:val="a4"/>
          <w:rFonts w:ascii="仿宋" w:eastAsia="仿宋" w:hAnsi="仿宋" w:hint="eastAsia"/>
          <w:color w:val="000000" w:themeColor="text1"/>
          <w:sz w:val="28"/>
          <w:szCs w:val="28"/>
        </w:rPr>
        <w:t>提升运作水平</w:t>
      </w:r>
    </w:p>
    <w:p w:rsidR="002A3304" w:rsidRPr="00980BC4" w:rsidRDefault="002A3304" w:rsidP="006D0579">
      <w:pPr>
        <w:pStyle w:val="a3"/>
        <w:spacing w:before="0" w:beforeAutospacing="0" w:after="0" w:afterAutospacing="0" w:line="560" w:lineRule="exact"/>
        <w:ind w:firstLine="570"/>
        <w:jc w:val="both"/>
        <w:divId w:val="147869068"/>
        <w:rPr>
          <w:color w:val="000000" w:themeColor="text1"/>
        </w:rPr>
      </w:pPr>
      <w:r w:rsidRPr="00980BC4">
        <w:rPr>
          <w:rFonts w:ascii="仿宋" w:eastAsia="仿宋" w:hAnsi="仿宋" w:hint="eastAsia"/>
          <w:color w:val="000000" w:themeColor="text1"/>
          <w:sz w:val="28"/>
          <w:szCs w:val="28"/>
        </w:rPr>
        <w:t>加强资源整合，科学合理划分母子公司权责，提高沟通效率与水平，促进内部多业务模块的融合，从人力资源、财务管理</w:t>
      </w:r>
      <w:r w:rsidR="00A35826" w:rsidRPr="00980BC4">
        <w:rPr>
          <w:rFonts w:ascii="仿宋" w:eastAsia="仿宋" w:hAnsi="仿宋" w:hint="eastAsia"/>
          <w:color w:val="000000" w:themeColor="text1"/>
          <w:sz w:val="28"/>
          <w:szCs w:val="28"/>
        </w:rPr>
        <w:t>、业务协同合作</w:t>
      </w:r>
      <w:r w:rsidRPr="00980BC4">
        <w:rPr>
          <w:rFonts w:ascii="仿宋" w:eastAsia="仿宋" w:hAnsi="仿宋" w:hint="eastAsia"/>
          <w:color w:val="000000" w:themeColor="text1"/>
          <w:sz w:val="28"/>
          <w:szCs w:val="28"/>
        </w:rPr>
        <w:t>及合规运作等方面对子公司进行有效支持；进一步优化管理体系，提升公司的规范运作及企业管理水平。</w:t>
      </w:r>
    </w:p>
    <w:p w:rsidR="002A3304" w:rsidRPr="00980BC4" w:rsidRDefault="002A3304" w:rsidP="006D0579">
      <w:pPr>
        <w:pStyle w:val="a3"/>
        <w:spacing w:before="0" w:beforeAutospacing="0" w:after="0" w:afterAutospacing="0" w:line="560" w:lineRule="exact"/>
        <w:ind w:firstLine="570"/>
        <w:jc w:val="both"/>
        <w:divId w:val="147869068"/>
        <w:rPr>
          <w:color w:val="000000" w:themeColor="text1"/>
        </w:rPr>
      </w:pPr>
      <w:r w:rsidRPr="00980BC4">
        <w:rPr>
          <w:rStyle w:val="a4"/>
          <w:rFonts w:ascii="仿宋" w:eastAsia="仿宋" w:hAnsi="仿宋" w:hint="eastAsia"/>
          <w:color w:val="000000" w:themeColor="text1"/>
          <w:sz w:val="28"/>
          <w:szCs w:val="28"/>
        </w:rPr>
        <w:t>6、人才建设——健全培育机制、完善人才结构</w:t>
      </w:r>
    </w:p>
    <w:p w:rsidR="006D0579" w:rsidRPr="00980BC4" w:rsidRDefault="002A3304" w:rsidP="006D0579">
      <w:pPr>
        <w:pStyle w:val="a3"/>
        <w:spacing w:before="0" w:beforeAutospacing="0" w:after="0" w:afterAutospacing="0" w:line="560" w:lineRule="exact"/>
        <w:ind w:firstLine="570"/>
        <w:jc w:val="both"/>
        <w:divId w:val="147869068"/>
        <w:rPr>
          <w:color w:val="000000" w:themeColor="text1"/>
        </w:rPr>
      </w:pPr>
      <w:r w:rsidRPr="00980BC4">
        <w:rPr>
          <w:rFonts w:ascii="仿宋" w:eastAsia="仿宋" w:hAnsi="仿宋" w:hint="eastAsia"/>
          <w:color w:val="000000" w:themeColor="text1"/>
          <w:sz w:val="28"/>
          <w:szCs w:val="28"/>
        </w:rPr>
        <w:t>健全人才发展规划，注重人才梯队的建设，内部培养与外部引进同步推进，着力优化公司“招留育用”机制；改善现有的员工队伍结构，加强头部资源的能力建设，加强成熟人才引进，为下级公司研发、技术人员的引进提供有力支持。</w:t>
      </w:r>
      <w:r w:rsidRPr="00980BC4">
        <w:rPr>
          <w:rFonts w:ascii="Calibri" w:hAnsi="Calibri" w:cs="Calibri"/>
          <w:color w:val="000000" w:themeColor="text1"/>
          <w:sz w:val="21"/>
          <w:szCs w:val="21"/>
        </w:rPr>
        <w:t> </w:t>
      </w:r>
    </w:p>
    <w:p w:rsidR="002A3304" w:rsidRPr="00980BC4" w:rsidRDefault="002A3304" w:rsidP="006D0579">
      <w:pPr>
        <w:pStyle w:val="a3"/>
        <w:spacing w:before="0" w:beforeAutospacing="0" w:after="0" w:afterAutospacing="0" w:line="560" w:lineRule="exact"/>
        <w:ind w:firstLine="570"/>
        <w:jc w:val="both"/>
        <w:divId w:val="147869068"/>
        <w:rPr>
          <w:color w:val="000000" w:themeColor="text1"/>
        </w:rPr>
      </w:pPr>
      <w:r w:rsidRPr="00980BC4">
        <w:rPr>
          <w:rFonts w:hint="eastAsia"/>
          <w:color w:val="000000" w:themeColor="text1"/>
          <w:sz w:val="30"/>
          <w:szCs w:val="30"/>
        </w:rPr>
        <w:lastRenderedPageBreak/>
        <w:t>（四）可能面对的风险</w:t>
      </w:r>
    </w:p>
    <w:p w:rsidR="002A3304" w:rsidRPr="00980BC4" w:rsidRDefault="002A3304" w:rsidP="00403E45">
      <w:pPr>
        <w:pStyle w:val="a3"/>
        <w:spacing w:before="0" w:beforeAutospacing="0" w:after="0" w:afterAutospacing="0" w:line="560" w:lineRule="exact"/>
        <w:ind w:firstLine="562"/>
        <w:jc w:val="both"/>
        <w:divId w:val="147869068"/>
        <w:rPr>
          <w:rStyle w:val="a4"/>
          <w:rFonts w:ascii="仿宋" w:eastAsia="仿宋" w:hAnsi="仿宋"/>
          <w:color w:val="000000" w:themeColor="text1"/>
          <w:sz w:val="28"/>
          <w:szCs w:val="28"/>
        </w:rPr>
      </w:pPr>
      <w:r w:rsidRPr="00980BC4">
        <w:rPr>
          <w:rStyle w:val="a4"/>
          <w:rFonts w:ascii="仿宋" w:eastAsia="仿宋" w:hAnsi="仿宋" w:hint="eastAsia"/>
          <w:color w:val="000000" w:themeColor="text1"/>
          <w:sz w:val="28"/>
          <w:szCs w:val="28"/>
        </w:rPr>
        <w:t>1、面临的主要风险</w:t>
      </w:r>
    </w:p>
    <w:p w:rsidR="002A3304" w:rsidRPr="00980BC4" w:rsidRDefault="002A3304" w:rsidP="006D0579">
      <w:pPr>
        <w:pStyle w:val="a3"/>
        <w:spacing w:before="0" w:beforeAutospacing="0" w:after="0" w:afterAutospacing="0" w:line="560" w:lineRule="exact"/>
        <w:ind w:firstLine="562"/>
        <w:jc w:val="both"/>
        <w:divId w:val="147869068"/>
        <w:rPr>
          <w:color w:val="000000" w:themeColor="text1"/>
        </w:rPr>
      </w:pPr>
      <w:r w:rsidRPr="00980BC4">
        <w:rPr>
          <w:rStyle w:val="a4"/>
          <w:rFonts w:ascii="仿宋" w:eastAsia="仿宋" w:hAnsi="仿宋" w:hint="eastAsia"/>
          <w:color w:val="000000" w:themeColor="text1"/>
          <w:sz w:val="28"/>
          <w:szCs w:val="28"/>
        </w:rPr>
        <w:t>（1）军品业务市场风险</w:t>
      </w:r>
    </w:p>
    <w:p w:rsidR="002A3304" w:rsidRPr="00980BC4" w:rsidRDefault="002A3304" w:rsidP="003334AF">
      <w:pPr>
        <w:pStyle w:val="a3"/>
        <w:spacing w:before="0" w:beforeAutospacing="0" w:after="0" w:afterAutospacing="0" w:line="560" w:lineRule="exact"/>
        <w:ind w:firstLine="570"/>
        <w:jc w:val="both"/>
        <w:divId w:val="147869068"/>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公司子公司升华电源、沈阳含能及沈阳非晶的产品应用于通信、航空、航天、武器装备等领域，且其产品下游客户的最终用户主要为军方，军方采购受国防支出预算、国际国内环境、军方政策影响较大，具有一定的不确定性；同时用户对产品有着严格的试验、检验要求，单个订单的执行周期可能较长，也可能存在突发订单增加、订单延迟甚至订单取消的情况，从而使子公司出现业绩同比大幅波动的风险。</w:t>
      </w:r>
    </w:p>
    <w:p w:rsidR="002A3304" w:rsidRPr="00980BC4" w:rsidRDefault="002A3304" w:rsidP="006D0579">
      <w:pPr>
        <w:pStyle w:val="a3"/>
        <w:spacing w:before="0" w:beforeAutospacing="0" w:after="0" w:afterAutospacing="0" w:line="560" w:lineRule="exact"/>
        <w:ind w:firstLine="562"/>
        <w:jc w:val="both"/>
        <w:divId w:val="147869068"/>
        <w:rPr>
          <w:color w:val="000000" w:themeColor="text1"/>
        </w:rPr>
      </w:pPr>
      <w:r w:rsidRPr="00980BC4">
        <w:rPr>
          <w:rStyle w:val="a4"/>
          <w:rFonts w:ascii="仿宋" w:eastAsia="仿宋" w:hAnsi="仿宋" w:hint="eastAsia"/>
          <w:color w:val="000000" w:themeColor="text1"/>
          <w:sz w:val="28"/>
          <w:szCs w:val="28"/>
        </w:rPr>
        <w:t>（2）核心技术人员流失的风险</w:t>
      </w:r>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ascii="仿宋" w:eastAsia="仿宋" w:hAnsi="仿宋" w:hint="eastAsia"/>
          <w:color w:val="000000" w:themeColor="text1"/>
          <w:sz w:val="28"/>
          <w:szCs w:val="28"/>
        </w:rPr>
        <w:t>公司涉及的军品业务为技术密集型行业，所拥有的技术成果及技术人才是其重要核心竞争力之一。目前公司拥有一支水平较高的技术研发团队，具备良好的研发实力和技术优势，是未来业务持续发展的重要资源。但随着行业竞争的加剧，不排除未来有核心技术人员流失的风险。</w:t>
      </w:r>
    </w:p>
    <w:p w:rsidR="002A3304" w:rsidRPr="00980BC4" w:rsidRDefault="002A3304" w:rsidP="006D0579">
      <w:pPr>
        <w:pStyle w:val="a3"/>
        <w:spacing w:before="0" w:beforeAutospacing="0" w:after="0" w:afterAutospacing="0" w:line="560" w:lineRule="exact"/>
        <w:ind w:firstLine="562"/>
        <w:jc w:val="both"/>
        <w:divId w:val="147869068"/>
        <w:rPr>
          <w:color w:val="000000" w:themeColor="text1"/>
        </w:rPr>
      </w:pPr>
      <w:r w:rsidRPr="00980BC4">
        <w:rPr>
          <w:rStyle w:val="a4"/>
          <w:rFonts w:ascii="仿宋" w:eastAsia="仿宋" w:hAnsi="仿宋" w:hint="eastAsia"/>
          <w:color w:val="000000" w:themeColor="text1"/>
          <w:sz w:val="28"/>
          <w:szCs w:val="28"/>
        </w:rPr>
        <w:t>（3）经营管理风险</w:t>
      </w:r>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ascii="仿宋" w:eastAsia="仿宋" w:hAnsi="仿宋" w:hint="eastAsia"/>
          <w:color w:val="000000" w:themeColor="text1"/>
          <w:sz w:val="28"/>
          <w:szCs w:val="28"/>
        </w:rPr>
        <w:t>内生性增长和外延式扩张并存的发展模式是公司做大做强的必经之路。随着经营规模的扩大，参控股企业的增加，对公司战略规划、管理融合、内部控制、资金统筹等都提出了更高的要求，公司运营管理难度不断提升。若不能相应提升应变能力和管理水平，实现科学、有效管控，未来的发展可能会受到限制。</w:t>
      </w:r>
    </w:p>
    <w:p w:rsidR="002A3304" w:rsidRPr="00980BC4" w:rsidRDefault="002A3304" w:rsidP="006D0579">
      <w:pPr>
        <w:pStyle w:val="a3"/>
        <w:spacing w:before="0" w:beforeAutospacing="0" w:after="0" w:afterAutospacing="0" w:line="560" w:lineRule="exact"/>
        <w:ind w:firstLine="562"/>
        <w:jc w:val="both"/>
        <w:divId w:val="147869068"/>
        <w:rPr>
          <w:color w:val="000000" w:themeColor="text1"/>
        </w:rPr>
      </w:pPr>
      <w:r w:rsidRPr="00980BC4">
        <w:rPr>
          <w:rStyle w:val="a4"/>
          <w:rFonts w:ascii="仿宋" w:eastAsia="仿宋" w:hAnsi="仿宋" w:hint="eastAsia"/>
          <w:color w:val="000000" w:themeColor="text1"/>
          <w:sz w:val="28"/>
          <w:szCs w:val="28"/>
        </w:rPr>
        <w:t>（4）原材料成本控制风险</w:t>
      </w:r>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ascii="仿宋" w:eastAsia="仿宋" w:hAnsi="仿宋" w:hint="eastAsia"/>
          <w:color w:val="000000" w:themeColor="text1"/>
          <w:sz w:val="28"/>
          <w:szCs w:val="28"/>
        </w:rPr>
        <w:t>公司子公司生产所需的原材料价格存在较大波动，同时根据国家政策导向及行业发展趋势，原材料将逐步国产化，短期内合格供应商相对较少，价</w:t>
      </w:r>
      <w:r w:rsidRPr="00980BC4">
        <w:rPr>
          <w:rFonts w:ascii="仿宋" w:eastAsia="仿宋" w:hAnsi="仿宋" w:hint="eastAsia"/>
          <w:color w:val="000000" w:themeColor="text1"/>
          <w:sz w:val="28"/>
          <w:szCs w:val="28"/>
        </w:rPr>
        <w:lastRenderedPageBreak/>
        <w:t>格偏高，成本控制难度加大，进而可能影响公司总体经营效益和盈利能力的稳定性。</w:t>
      </w:r>
    </w:p>
    <w:p w:rsidR="002A3304" w:rsidRPr="00980BC4" w:rsidRDefault="002A3304" w:rsidP="006D0579">
      <w:pPr>
        <w:pStyle w:val="a3"/>
        <w:spacing w:before="0" w:beforeAutospacing="0" w:after="0" w:afterAutospacing="0" w:line="560" w:lineRule="exact"/>
        <w:ind w:firstLine="562"/>
        <w:jc w:val="both"/>
        <w:divId w:val="147869068"/>
        <w:rPr>
          <w:color w:val="000000" w:themeColor="text1"/>
        </w:rPr>
      </w:pPr>
      <w:r w:rsidRPr="00980BC4">
        <w:rPr>
          <w:rStyle w:val="a4"/>
          <w:rFonts w:ascii="仿宋" w:eastAsia="仿宋" w:hAnsi="仿宋" w:hint="eastAsia"/>
          <w:color w:val="000000" w:themeColor="text1"/>
          <w:sz w:val="28"/>
          <w:szCs w:val="28"/>
        </w:rPr>
        <w:t>（5）商誉减值的风险</w:t>
      </w:r>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ascii="仿宋" w:eastAsia="仿宋" w:hAnsi="仿宋" w:hint="eastAsia"/>
          <w:color w:val="000000" w:themeColor="text1"/>
          <w:sz w:val="28"/>
          <w:szCs w:val="28"/>
        </w:rPr>
        <w:t>公司收购沈阳含能、升华电源及沈阳非晶的股权进行估值时，对收购对象未来业绩的持续增长作了预测，但由于经济规律的影响，同时若遇宏观经济波动、不可抗力、市场竞争形势变化、行业增速下降等冲击因素，存在经营业绩无法持续增长，从而带来商誉减值的风险。</w:t>
      </w:r>
    </w:p>
    <w:p w:rsidR="002A3304" w:rsidRPr="00980BC4" w:rsidRDefault="002A3304" w:rsidP="00403E45">
      <w:pPr>
        <w:pStyle w:val="a3"/>
        <w:spacing w:before="0" w:beforeAutospacing="0" w:after="0" w:afterAutospacing="0" w:line="560" w:lineRule="exact"/>
        <w:ind w:firstLine="562"/>
        <w:jc w:val="both"/>
        <w:divId w:val="147869068"/>
        <w:rPr>
          <w:rStyle w:val="a4"/>
          <w:rFonts w:ascii="仿宋" w:eastAsia="仿宋" w:hAnsi="仿宋"/>
          <w:color w:val="000000" w:themeColor="text1"/>
          <w:sz w:val="28"/>
          <w:szCs w:val="28"/>
        </w:rPr>
      </w:pPr>
      <w:r w:rsidRPr="00980BC4">
        <w:rPr>
          <w:rStyle w:val="a4"/>
          <w:rFonts w:ascii="仿宋" w:eastAsia="仿宋" w:hAnsi="仿宋" w:hint="eastAsia"/>
          <w:color w:val="000000" w:themeColor="text1"/>
          <w:sz w:val="28"/>
          <w:szCs w:val="28"/>
        </w:rPr>
        <w:t>2、拟采取的应对措施</w:t>
      </w:r>
    </w:p>
    <w:p w:rsidR="002A3304" w:rsidRPr="00980BC4" w:rsidRDefault="002A3304" w:rsidP="006D0579">
      <w:pPr>
        <w:pStyle w:val="a3"/>
        <w:spacing w:before="0" w:beforeAutospacing="0" w:after="0" w:afterAutospacing="0" w:line="560" w:lineRule="exact"/>
        <w:ind w:firstLine="560"/>
        <w:jc w:val="both"/>
        <w:divId w:val="147869068"/>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1）紧跟军委装备发展的政策变化及部署，紧随部队装备的更新换代和产品升级，继续稳定与主要客户的良好业务关系，依靠产品竞争优势，切入重要武器准备平台及重点型号产品；通过优质产品及服务，提高客户满意度，提升客户粘性；同时不断加强客户积累，积极拓展新的客户来降低对现有主要客户的依存度；并适时切入相应民品领域，提升整体抗风险能力。</w:t>
      </w:r>
    </w:p>
    <w:p w:rsidR="002A3304" w:rsidRPr="00980BC4" w:rsidRDefault="002A3304" w:rsidP="006D0579">
      <w:pPr>
        <w:pStyle w:val="a3"/>
        <w:spacing w:before="0" w:beforeAutospacing="0" w:after="0" w:afterAutospacing="0" w:line="560" w:lineRule="exact"/>
        <w:ind w:firstLine="560"/>
        <w:jc w:val="both"/>
        <w:divId w:val="147869068"/>
        <w:rPr>
          <w:rFonts w:ascii="仿宋" w:eastAsia="仿宋" w:hAnsi="仿宋"/>
          <w:color w:val="000000" w:themeColor="text1"/>
          <w:sz w:val="28"/>
          <w:szCs w:val="28"/>
        </w:rPr>
      </w:pPr>
      <w:r w:rsidRPr="00980BC4">
        <w:rPr>
          <w:rFonts w:ascii="仿宋" w:eastAsia="仿宋" w:hAnsi="仿宋" w:hint="eastAsia"/>
          <w:color w:val="000000" w:themeColor="text1"/>
          <w:sz w:val="28"/>
          <w:szCs w:val="28"/>
        </w:rPr>
        <w:t>（2）优化人才引进与培养策略，完善人才梯队的搭建，推动人才发展模式转型升级；通过实施股权激励等措施，不断丰富激励体系，提升员工的企业归属感与忠诚度；同时做好企业保密体系的建设，加强对核心技术、关键信息的管理和保护，降低核心人才流失的风险。</w:t>
      </w:r>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ascii="仿宋" w:eastAsia="仿宋" w:hAnsi="仿宋" w:hint="eastAsia"/>
          <w:color w:val="000000" w:themeColor="text1"/>
          <w:sz w:val="28"/>
          <w:szCs w:val="28"/>
        </w:rPr>
        <w:t>（3）公司将一方面利用自身资本市场平台的优势与资源，协助子公司获取信息、推进项目、拓展客户；另一方面要求子公司加强与高校、科研院所的交流与合作，不断完善技术研发体系，增强自主创新能力，紧跟市场技术趋势，及时掌握客户需求，通过高技术含量的优质产品与服务，来保持经营效益的稳定增长。</w:t>
      </w:r>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ascii="仿宋" w:eastAsia="仿宋" w:hAnsi="仿宋" w:hint="eastAsia"/>
          <w:color w:val="000000" w:themeColor="text1"/>
          <w:sz w:val="28"/>
          <w:szCs w:val="28"/>
        </w:rPr>
        <w:t>（4）加强对原材料供应渠道的管控，摸索原材料的价格波动规律，积极探索新的采购模式，丰富原材料采购来源，构建长期稳定的供应渠道；同时</w:t>
      </w:r>
      <w:r w:rsidRPr="00980BC4">
        <w:rPr>
          <w:rFonts w:ascii="仿宋" w:eastAsia="仿宋" w:hAnsi="仿宋" w:hint="eastAsia"/>
          <w:color w:val="000000" w:themeColor="text1"/>
          <w:sz w:val="28"/>
          <w:szCs w:val="28"/>
        </w:rPr>
        <w:lastRenderedPageBreak/>
        <w:t>加大技改革新力度，不断探索部分原材料的自产替代及工艺改良，努力控制原材料价格上涨的风险。</w:t>
      </w:r>
    </w:p>
    <w:p w:rsidR="002A3304" w:rsidRPr="00980BC4" w:rsidRDefault="002A3304" w:rsidP="006D0579">
      <w:pPr>
        <w:pStyle w:val="a3"/>
        <w:spacing w:before="0" w:beforeAutospacing="0" w:after="0" w:afterAutospacing="0" w:line="560" w:lineRule="exact"/>
        <w:ind w:firstLine="560"/>
        <w:jc w:val="both"/>
        <w:divId w:val="147869068"/>
        <w:rPr>
          <w:color w:val="000000" w:themeColor="text1"/>
        </w:rPr>
      </w:pPr>
      <w:r w:rsidRPr="00980BC4">
        <w:rPr>
          <w:rFonts w:ascii="仿宋" w:eastAsia="仿宋" w:hAnsi="仿宋" w:hint="eastAsia"/>
          <w:color w:val="000000" w:themeColor="text1"/>
          <w:sz w:val="28"/>
          <w:szCs w:val="28"/>
        </w:rPr>
        <w:t>（5）公司将一方面要求子公司加强与高校、科研院所的交流与合作，不断完善技术研发体系，增强自主创新能力，紧跟市场技术趋势，及时掌握客户需求，通过高技术含量的优质产品及服务，来保持经营效益的稳定增长；另一方面将充分发挥上市公司的资本平台及信息资源等优势，大力协助子公司做好市场拓展。</w:t>
      </w:r>
    </w:p>
    <w:p w:rsidR="002A3304" w:rsidRPr="00980BC4" w:rsidRDefault="00DF4EBF" w:rsidP="006D0579">
      <w:pPr>
        <w:pStyle w:val="Chapter"/>
        <w:spacing w:before="0" w:after="0" w:line="560" w:lineRule="exact"/>
        <w:ind w:firstLineChars="200" w:firstLine="562"/>
        <w:outlineLvl w:val="1"/>
        <w:rPr>
          <w:bCs w:val="0"/>
          <w:sz w:val="28"/>
          <w:szCs w:val="28"/>
        </w:rPr>
      </w:pPr>
      <w:bookmarkStart w:id="50" w:name="_Toc988939"/>
      <w:r w:rsidRPr="00980BC4">
        <w:rPr>
          <w:bCs w:val="0"/>
          <w:sz w:val="28"/>
          <w:szCs w:val="28"/>
        </w:rPr>
        <w:t>十二、报告期内接待调研、沟通、采访等活动</w:t>
      </w:r>
      <w:bookmarkEnd w:id="50"/>
    </w:p>
    <w:p w:rsidR="002A3304" w:rsidRPr="00980BC4" w:rsidRDefault="00DF4EBF" w:rsidP="006D0579">
      <w:pPr>
        <w:pStyle w:val="a3"/>
        <w:spacing w:before="0" w:beforeAutospacing="0" w:after="0" w:afterAutospacing="0" w:line="560" w:lineRule="exact"/>
        <w:ind w:firstLine="560"/>
        <w:jc w:val="both"/>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适用 </w:t>
      </w:r>
      <w:r w:rsidR="006D0579" w:rsidRPr="00980BC4">
        <w:rPr>
          <w:rFonts w:ascii="仿宋" w:eastAsia="仿宋" w:hAnsi="仿宋" w:hint="eastAsia"/>
          <w:sz w:val="28"/>
          <w:szCs w:val="28"/>
        </w:rPr>
        <w:t xml:space="preserve"> </w:t>
      </w:r>
      <w:r w:rsidRPr="00980BC4">
        <w:rPr>
          <w:rFonts w:ascii="仿宋" w:eastAsia="仿宋" w:hAnsi="仿宋"/>
          <w:sz w:val="28"/>
          <w:szCs w:val="28"/>
        </w:rPr>
        <w:t>□不适用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377"/>
        <w:gridCol w:w="1377"/>
        <w:gridCol w:w="1377"/>
        <w:gridCol w:w="1377"/>
        <w:gridCol w:w="1377"/>
      </w:tblGrid>
      <w:tr w:rsidR="002A3304" w:rsidRPr="00980BC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D057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接待时间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D057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接待地点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D057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接待方式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D057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接待对象类型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D057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接待对象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D057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谈论的主要内容及提供的资料</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D057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调研的基本情况索引</w:t>
            </w:r>
          </w:p>
        </w:tc>
      </w:tr>
      <w:tr w:rsidR="002A3304" w:rsidRPr="00980BC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D0579">
            <w:pPr>
              <w:spacing w:line="280" w:lineRule="exact"/>
              <w:rPr>
                <w:rFonts w:ascii="宋体" w:eastAsia="宋体" w:hAnsi="宋体" w:cs="宋体"/>
                <w:sz w:val="18"/>
                <w:szCs w:val="18"/>
              </w:rPr>
            </w:pPr>
            <w:r w:rsidRPr="00980BC4">
              <w:rPr>
                <w:rFonts w:ascii="宋体" w:eastAsia="宋体" w:hAnsi="宋体" w:cs="宋体"/>
                <w:sz w:val="18"/>
                <w:szCs w:val="18"/>
              </w:rPr>
              <w:t>2022年01月01日</w:t>
            </w:r>
            <w:r w:rsidR="006D0579" w:rsidRPr="00980BC4">
              <w:rPr>
                <w:rFonts w:ascii="宋体" w:eastAsia="宋体" w:hAnsi="宋体" w:cs="宋体" w:hint="eastAsia"/>
                <w:sz w:val="18"/>
                <w:szCs w:val="18"/>
              </w:rPr>
              <w:t>至2022年12月31日</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D0579">
            <w:pPr>
              <w:spacing w:line="280" w:lineRule="exact"/>
              <w:rPr>
                <w:rFonts w:ascii="宋体" w:eastAsia="宋体" w:hAnsi="宋体" w:cs="宋体"/>
                <w:sz w:val="18"/>
                <w:szCs w:val="18"/>
              </w:rPr>
            </w:pPr>
            <w:r w:rsidRPr="00980BC4">
              <w:rPr>
                <w:rFonts w:ascii="宋体" w:eastAsia="宋体" w:hAnsi="宋体" w:cs="宋体"/>
                <w:sz w:val="18"/>
                <w:szCs w:val="18"/>
              </w:rPr>
              <w:t>非现场接待</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D0579">
            <w:pPr>
              <w:spacing w:line="280" w:lineRule="exact"/>
              <w:rPr>
                <w:rFonts w:ascii="宋体" w:eastAsia="宋体" w:hAnsi="宋体" w:cs="宋体"/>
                <w:sz w:val="18"/>
                <w:szCs w:val="18"/>
              </w:rPr>
            </w:pPr>
            <w:r w:rsidRPr="00980BC4">
              <w:rPr>
                <w:rFonts w:ascii="宋体" w:eastAsia="宋体" w:hAnsi="宋体" w:cs="宋体"/>
                <w:sz w:val="18"/>
                <w:szCs w:val="18"/>
              </w:rPr>
              <w:t>电话沟通</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8867C4" w:rsidP="006D0579">
            <w:pPr>
              <w:spacing w:line="280" w:lineRule="exact"/>
              <w:rPr>
                <w:rFonts w:ascii="宋体" w:eastAsia="宋体" w:hAnsi="宋体" w:cs="宋体"/>
                <w:sz w:val="18"/>
                <w:szCs w:val="18"/>
              </w:rPr>
            </w:pPr>
            <w:r w:rsidRPr="00980BC4">
              <w:rPr>
                <w:rFonts w:ascii="宋体" w:eastAsia="宋体" w:hAnsi="宋体" w:cs="宋体" w:hint="eastAsia"/>
                <w:sz w:val="18"/>
                <w:szCs w:val="18"/>
              </w:rPr>
              <w:t>个人/机构</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867C4">
            <w:pPr>
              <w:spacing w:line="280" w:lineRule="exact"/>
              <w:rPr>
                <w:rFonts w:ascii="宋体" w:eastAsia="宋体" w:hAnsi="宋体" w:cs="宋体"/>
                <w:sz w:val="18"/>
                <w:szCs w:val="18"/>
              </w:rPr>
            </w:pPr>
            <w:r w:rsidRPr="00980BC4">
              <w:rPr>
                <w:rFonts w:ascii="宋体" w:eastAsia="宋体" w:hAnsi="宋体" w:cs="宋体"/>
                <w:sz w:val="18"/>
                <w:szCs w:val="18"/>
              </w:rPr>
              <w:t>投资者</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D0579">
            <w:pPr>
              <w:spacing w:line="280" w:lineRule="exact"/>
              <w:rPr>
                <w:rFonts w:ascii="宋体" w:eastAsia="宋体" w:hAnsi="宋体" w:cs="宋体"/>
                <w:sz w:val="18"/>
                <w:szCs w:val="18"/>
              </w:rPr>
            </w:pPr>
            <w:r w:rsidRPr="00980BC4">
              <w:rPr>
                <w:rFonts w:ascii="宋体" w:eastAsia="宋体" w:hAnsi="宋体" w:cs="宋体"/>
                <w:sz w:val="18"/>
                <w:szCs w:val="18"/>
              </w:rPr>
              <w:t>在避免选择性信息披露的前提下，对公司经营情况作出说明</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D0579">
            <w:pPr>
              <w:spacing w:line="280" w:lineRule="exact"/>
              <w:rPr>
                <w:rFonts w:ascii="宋体" w:eastAsia="宋体" w:hAnsi="宋体" w:cs="宋体"/>
                <w:sz w:val="18"/>
                <w:szCs w:val="18"/>
              </w:rPr>
            </w:pPr>
            <w:r w:rsidRPr="00980BC4">
              <w:rPr>
                <w:rFonts w:ascii="宋体" w:eastAsia="宋体" w:hAnsi="宋体" w:cs="宋体"/>
                <w:sz w:val="18"/>
                <w:szCs w:val="18"/>
              </w:rPr>
              <w:t>不适用</w:t>
            </w:r>
          </w:p>
        </w:tc>
      </w:tr>
      <w:tr w:rsidR="002A3304" w:rsidRPr="00980BC4" w:rsidTr="006D0579">
        <w:trPr>
          <w:trHeight w:val="1258"/>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D0579">
            <w:pPr>
              <w:spacing w:line="280" w:lineRule="exact"/>
              <w:rPr>
                <w:rFonts w:ascii="宋体" w:eastAsia="宋体" w:hAnsi="宋体" w:cs="宋体"/>
                <w:sz w:val="18"/>
                <w:szCs w:val="18"/>
              </w:rPr>
            </w:pPr>
            <w:r w:rsidRPr="00980BC4">
              <w:rPr>
                <w:rFonts w:ascii="宋体" w:eastAsia="宋体" w:hAnsi="宋体" w:cs="宋体"/>
                <w:sz w:val="18"/>
                <w:szCs w:val="18"/>
              </w:rPr>
              <w:t>2022年09月22日</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8867C4" w:rsidP="006D0579">
            <w:pPr>
              <w:spacing w:line="280" w:lineRule="exact"/>
              <w:rPr>
                <w:rFonts w:ascii="宋体" w:eastAsia="宋体" w:hAnsi="宋体" w:cs="宋体"/>
                <w:sz w:val="18"/>
                <w:szCs w:val="18"/>
              </w:rPr>
            </w:pPr>
            <w:r w:rsidRPr="00980BC4">
              <w:rPr>
                <w:rFonts w:ascii="宋体" w:eastAsia="宋体" w:hAnsi="宋体" w:cs="宋体" w:hint="eastAsia"/>
                <w:sz w:val="18"/>
                <w:szCs w:val="18"/>
              </w:rPr>
              <w:t>非现场接待</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8867C4" w:rsidP="006D0579">
            <w:pPr>
              <w:spacing w:line="280" w:lineRule="exact"/>
              <w:rPr>
                <w:rFonts w:ascii="宋体" w:eastAsia="宋体" w:hAnsi="宋体" w:cs="宋体"/>
                <w:sz w:val="18"/>
                <w:szCs w:val="18"/>
              </w:rPr>
            </w:pPr>
            <w:r w:rsidRPr="00980BC4">
              <w:rPr>
                <w:rFonts w:ascii="宋体" w:eastAsia="宋体" w:hAnsi="宋体" w:cs="宋体" w:hint="eastAsia"/>
                <w:sz w:val="18"/>
                <w:szCs w:val="18"/>
              </w:rPr>
              <w:t>网络</w:t>
            </w:r>
            <w:r w:rsidRPr="00980BC4">
              <w:rPr>
                <w:rFonts w:ascii="宋体" w:eastAsia="宋体" w:hAnsi="宋体" w:cs="宋体"/>
                <w:sz w:val="18"/>
                <w:szCs w:val="18"/>
              </w:rPr>
              <w:t>沟通</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8867C4" w:rsidP="006D0579">
            <w:pPr>
              <w:spacing w:line="280" w:lineRule="exact"/>
              <w:rPr>
                <w:rFonts w:ascii="宋体" w:eastAsia="宋体" w:hAnsi="宋体" w:cs="宋体"/>
                <w:sz w:val="18"/>
                <w:szCs w:val="18"/>
              </w:rPr>
            </w:pPr>
            <w:r w:rsidRPr="00980BC4">
              <w:rPr>
                <w:rFonts w:ascii="宋体" w:eastAsia="宋体" w:hAnsi="宋体" w:cs="宋体" w:hint="eastAsia"/>
                <w:sz w:val="18"/>
                <w:szCs w:val="18"/>
              </w:rPr>
              <w:t>个人/机构</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D0579">
            <w:pPr>
              <w:spacing w:line="280" w:lineRule="exact"/>
              <w:rPr>
                <w:rFonts w:ascii="宋体" w:eastAsia="宋体" w:hAnsi="宋体" w:cs="宋体"/>
                <w:sz w:val="18"/>
                <w:szCs w:val="18"/>
              </w:rPr>
            </w:pPr>
            <w:r w:rsidRPr="00980BC4">
              <w:rPr>
                <w:rFonts w:ascii="宋体" w:eastAsia="宋体" w:hAnsi="宋体" w:cs="宋体"/>
                <w:sz w:val="18"/>
                <w:szCs w:val="18"/>
              </w:rPr>
              <w:t>投资者</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D0579">
            <w:pPr>
              <w:spacing w:line="280" w:lineRule="exact"/>
              <w:rPr>
                <w:rFonts w:ascii="宋体" w:eastAsia="宋体" w:hAnsi="宋体" w:cs="宋体"/>
                <w:sz w:val="18"/>
                <w:szCs w:val="18"/>
              </w:rPr>
            </w:pPr>
            <w:r w:rsidRPr="00980BC4">
              <w:rPr>
                <w:rFonts w:ascii="宋体" w:eastAsia="宋体" w:hAnsi="宋体" w:cs="宋体"/>
                <w:sz w:val="18"/>
                <w:szCs w:val="18"/>
              </w:rPr>
              <w:t>在避免选择性信息披露的前提下，对公司经营情况作出说明</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D0579">
            <w:pPr>
              <w:spacing w:line="280" w:lineRule="exact"/>
              <w:rPr>
                <w:rFonts w:ascii="宋体" w:eastAsia="宋体" w:hAnsi="宋体" w:cs="宋体"/>
                <w:sz w:val="18"/>
                <w:szCs w:val="18"/>
              </w:rPr>
            </w:pPr>
            <w:r w:rsidRPr="00980BC4">
              <w:rPr>
                <w:rFonts w:ascii="宋体" w:eastAsia="宋体" w:hAnsi="宋体" w:cs="宋体"/>
                <w:sz w:val="18"/>
                <w:szCs w:val="18"/>
              </w:rPr>
              <w:t>2022年9月22日于巨潮资讯网披露的《投资者关系活动记录表》</w:t>
            </w:r>
          </w:p>
        </w:tc>
      </w:tr>
    </w:tbl>
    <w:p w:rsidR="002A3304" w:rsidRPr="00980BC4" w:rsidRDefault="00DF4EBF">
      <w:pPr>
        <w:pStyle w:val="headingh1"/>
        <w:spacing w:before="340" w:after="330" w:line="773" w:lineRule="exact"/>
        <w:jc w:val="center"/>
        <w:rPr>
          <w:rFonts w:ascii="宋体" w:eastAsia="宋体" w:hAnsi="宋体" w:cs="宋体"/>
          <w:b/>
          <w:bCs/>
          <w:sz w:val="32"/>
          <w:szCs w:val="32"/>
        </w:rPr>
      </w:pPr>
      <w:bookmarkStart w:id="51" w:name="_Toc988940"/>
      <w:r w:rsidRPr="00980BC4">
        <w:rPr>
          <w:rFonts w:ascii="宋体" w:eastAsia="宋体" w:hAnsi="宋体" w:cs="宋体"/>
          <w:b/>
          <w:bCs/>
          <w:sz w:val="32"/>
          <w:szCs w:val="32"/>
        </w:rPr>
        <w:lastRenderedPageBreak/>
        <w:t>第四节 公司治理</w:t>
      </w:r>
      <w:bookmarkEnd w:id="51"/>
    </w:p>
    <w:p w:rsidR="00AE4D6C" w:rsidRPr="00980BC4" w:rsidRDefault="00DF4EBF" w:rsidP="00AE4D6C">
      <w:pPr>
        <w:pStyle w:val="Chapter"/>
        <w:spacing w:before="0" w:after="0" w:line="560" w:lineRule="exact"/>
        <w:ind w:firstLineChars="200" w:firstLine="562"/>
        <w:outlineLvl w:val="1"/>
        <w:rPr>
          <w:bCs w:val="0"/>
          <w:sz w:val="28"/>
          <w:szCs w:val="28"/>
        </w:rPr>
      </w:pPr>
      <w:bookmarkStart w:id="52" w:name="_Toc988941"/>
      <w:r w:rsidRPr="00980BC4">
        <w:rPr>
          <w:bCs w:val="0"/>
          <w:sz w:val="28"/>
          <w:szCs w:val="28"/>
        </w:rPr>
        <w:t>一、公司治理的基本状况</w:t>
      </w:r>
      <w:bookmarkEnd w:id="52"/>
    </w:p>
    <w:p w:rsidR="002A3304" w:rsidRPr="00980BC4" w:rsidRDefault="002A3304" w:rsidP="00AE4D6C">
      <w:pPr>
        <w:pStyle w:val="Chapter"/>
        <w:spacing w:before="0" w:after="0" w:line="560" w:lineRule="exact"/>
        <w:ind w:firstLineChars="200" w:firstLine="560"/>
        <w:outlineLvl w:val="1"/>
        <w:rPr>
          <w:rFonts w:ascii="仿宋" w:eastAsia="仿宋" w:hAnsi="仿宋"/>
          <w:b w:val="0"/>
          <w:sz w:val="28"/>
          <w:szCs w:val="28"/>
        </w:rPr>
      </w:pPr>
      <w:r w:rsidRPr="00980BC4">
        <w:rPr>
          <w:rFonts w:ascii="仿宋" w:eastAsia="仿宋" w:hAnsi="仿宋" w:hint="eastAsia"/>
          <w:b w:val="0"/>
          <w:sz w:val="28"/>
          <w:szCs w:val="28"/>
        </w:rPr>
        <w:t>报告期内，公司严格按照《公司法》《证券法》《上市公司治理准则》《深圳证券交易所股票上市规则》</w:t>
      </w:r>
      <w:r w:rsidR="00585A51" w:rsidRPr="00980BC4">
        <w:rPr>
          <w:rFonts w:ascii="仿宋" w:eastAsia="仿宋" w:hAnsi="仿宋" w:hint="eastAsia"/>
          <w:b w:val="0"/>
          <w:sz w:val="28"/>
          <w:szCs w:val="28"/>
        </w:rPr>
        <w:t>《深圳证券交易所上市公司自律监管指引第1号—主板上市公司规范运作》</w:t>
      </w:r>
      <w:r w:rsidRPr="00980BC4">
        <w:rPr>
          <w:rFonts w:ascii="仿宋" w:eastAsia="仿宋" w:hAnsi="仿宋" w:hint="eastAsia"/>
          <w:b w:val="0"/>
          <w:sz w:val="28"/>
          <w:szCs w:val="28"/>
        </w:rPr>
        <w:t>等法律、法规、规范性文件的要求，结合公司实际情况，坚持规范运作，不断地完善公司治理结构，建立健全内部管理和控制制度，持续深入开展公司治理活动，提高公司治理水平。截至本报告期末，公司治理的实际状况符合中国证监会发布的有关上市公司治理的规范性文件要求。</w:t>
      </w:r>
    </w:p>
    <w:p w:rsidR="002A3304" w:rsidRPr="00980BC4" w:rsidRDefault="002A3304" w:rsidP="00AE4D6C">
      <w:pPr>
        <w:pStyle w:val="Chapter"/>
        <w:spacing w:before="0" w:after="0" w:line="560" w:lineRule="exact"/>
        <w:ind w:firstLineChars="200" w:firstLine="562"/>
        <w:outlineLvl w:val="1"/>
        <w:divId w:val="1881552001"/>
        <w:rPr>
          <w:rFonts w:ascii="仿宋" w:eastAsia="仿宋" w:hAnsi="仿宋"/>
          <w:sz w:val="28"/>
          <w:szCs w:val="28"/>
        </w:rPr>
      </w:pPr>
      <w:r w:rsidRPr="00980BC4">
        <w:rPr>
          <w:rFonts w:ascii="仿宋" w:eastAsia="仿宋" w:hAnsi="仿宋" w:hint="eastAsia"/>
          <w:sz w:val="28"/>
          <w:szCs w:val="28"/>
        </w:rPr>
        <w:t>1、关于股东与股东大会</w:t>
      </w:r>
    </w:p>
    <w:p w:rsidR="002A3304" w:rsidRPr="00980BC4" w:rsidRDefault="002A3304" w:rsidP="00AE4D6C">
      <w:pPr>
        <w:pStyle w:val="Chapter"/>
        <w:spacing w:before="0" w:after="0" w:line="560" w:lineRule="exact"/>
        <w:ind w:firstLineChars="200" w:firstLine="560"/>
        <w:outlineLvl w:val="1"/>
        <w:divId w:val="1881552001"/>
        <w:rPr>
          <w:rFonts w:ascii="仿宋" w:eastAsia="仿宋" w:hAnsi="仿宋"/>
          <w:b w:val="0"/>
          <w:sz w:val="28"/>
          <w:szCs w:val="28"/>
        </w:rPr>
      </w:pPr>
      <w:r w:rsidRPr="00980BC4">
        <w:rPr>
          <w:rFonts w:ascii="仿宋" w:eastAsia="仿宋" w:hAnsi="仿宋" w:hint="eastAsia"/>
          <w:b w:val="0"/>
          <w:sz w:val="28"/>
          <w:szCs w:val="28"/>
        </w:rPr>
        <w:t>公司严格按照《公司章程》《股东大会议事规则》等法律法规的规定和要求，规范股东大会的召集、召开和表决程序，平等对待全体股东特别是中小股东，确保各个股东充分行使自己的权利。报告期内召开的历次股东大会提供了现场投票和网络投票两种参会渠道为股东提供便利；涉及影响中小投资者利益的重大事项，公司对中小投资者表决单独计票并及时公开披露，确保所有股东享有平等地位，充分行使自身权利；通过聘请律师见证，保证会议召集、召开和表决程序的合法合规性，维护了公司和股东的合法权益。报告期内，公司召开的股东大会均由董事会召集，未发生单独或合并持有公司有表决权股份总数 10%以上的股东请求召开的临时股东大会或应监事会提议召开股东大会的情况；不存在重大事项绕过股东大会或先实施后审议的情况；不存在发出股东大会通知后，股东大会延迟或者取消的情况；召开股东大会不存在违反《上市公司股东大会规则》的其他情形。</w:t>
      </w:r>
    </w:p>
    <w:p w:rsidR="00DA3A19" w:rsidRPr="00980BC4" w:rsidRDefault="002A3304" w:rsidP="00DA3A19">
      <w:pPr>
        <w:pStyle w:val="Chapter"/>
        <w:keepLines w:val="0"/>
        <w:spacing w:before="0" w:after="0" w:line="560" w:lineRule="exact"/>
        <w:ind w:firstLineChars="200" w:firstLine="562"/>
        <w:outlineLvl w:val="1"/>
        <w:divId w:val="1881552001"/>
        <w:rPr>
          <w:rFonts w:ascii="仿宋" w:eastAsia="仿宋" w:hAnsi="仿宋"/>
          <w:sz w:val="28"/>
          <w:szCs w:val="28"/>
        </w:rPr>
      </w:pPr>
      <w:r w:rsidRPr="00980BC4">
        <w:rPr>
          <w:rFonts w:ascii="仿宋" w:eastAsia="仿宋" w:hAnsi="仿宋" w:hint="eastAsia"/>
          <w:sz w:val="28"/>
          <w:szCs w:val="28"/>
        </w:rPr>
        <w:t>2、关于公司与控股股</w:t>
      </w:r>
      <w:r w:rsidR="0086366A" w:rsidRPr="00980BC4">
        <w:rPr>
          <w:rFonts w:ascii="仿宋" w:eastAsia="仿宋" w:hAnsi="仿宋" w:hint="eastAsia"/>
          <w:sz w:val="28"/>
          <w:szCs w:val="28"/>
        </w:rPr>
        <w:t>东</w:t>
      </w:r>
    </w:p>
    <w:p w:rsidR="002A3304" w:rsidRPr="00980BC4" w:rsidRDefault="002A3304" w:rsidP="00DA3A19">
      <w:pPr>
        <w:pStyle w:val="Chapter"/>
        <w:keepLines w:val="0"/>
        <w:spacing w:before="0" w:after="0" w:line="560" w:lineRule="exact"/>
        <w:ind w:firstLineChars="200" w:firstLine="560"/>
        <w:outlineLvl w:val="1"/>
        <w:divId w:val="1881552001"/>
        <w:rPr>
          <w:rFonts w:ascii="仿宋" w:eastAsia="仿宋" w:hAnsi="仿宋"/>
          <w:sz w:val="28"/>
          <w:szCs w:val="28"/>
        </w:rPr>
      </w:pPr>
      <w:r w:rsidRPr="00980BC4">
        <w:rPr>
          <w:rFonts w:ascii="仿宋" w:eastAsia="仿宋" w:hAnsi="仿宋" w:hint="eastAsia"/>
          <w:b w:val="0"/>
          <w:sz w:val="28"/>
          <w:szCs w:val="28"/>
        </w:rPr>
        <w:lastRenderedPageBreak/>
        <w:t>公司控股股东严格按照《上市公司治理准则》及《公司章程》等规章制度要求规范股东行为，依法通过股东大会行使股东权利，没有超越公司股东大会直接或间接干预公司的决策和经营活动的行为。公司具有独立的业务、经营能力和完备的运营体系，在业务、人员、资产、机构、财务上完全独立于控股股东，不存在控股股东及其下属企业或通过其他方式占用公司资金，以及公司违规为控股股东及其下属企业提供担保等情况发生，公司董事会、监事会和内部管理机构依照《公司法》《公司章程》的规定独立运作。</w:t>
      </w:r>
    </w:p>
    <w:p w:rsidR="002A3304" w:rsidRPr="00980BC4" w:rsidRDefault="002A3304" w:rsidP="00CD694F">
      <w:pPr>
        <w:pStyle w:val="Chapter"/>
        <w:keepLines w:val="0"/>
        <w:spacing w:before="0" w:after="0" w:line="560" w:lineRule="exact"/>
        <w:ind w:firstLineChars="200" w:firstLine="562"/>
        <w:outlineLvl w:val="1"/>
        <w:divId w:val="1881552001"/>
        <w:rPr>
          <w:rFonts w:ascii="仿宋" w:eastAsia="仿宋" w:hAnsi="仿宋"/>
          <w:sz w:val="28"/>
          <w:szCs w:val="28"/>
        </w:rPr>
      </w:pPr>
      <w:r w:rsidRPr="00980BC4">
        <w:rPr>
          <w:rFonts w:ascii="仿宋" w:eastAsia="仿宋" w:hAnsi="仿宋" w:hint="eastAsia"/>
          <w:sz w:val="28"/>
          <w:szCs w:val="28"/>
        </w:rPr>
        <w:t>3、关于董事与董事会</w:t>
      </w:r>
    </w:p>
    <w:p w:rsidR="002A3304" w:rsidRPr="00980BC4" w:rsidRDefault="002A3304" w:rsidP="00CD694F">
      <w:pPr>
        <w:pStyle w:val="Chapter"/>
        <w:keepLines w:val="0"/>
        <w:spacing w:before="0" w:after="0" w:line="560" w:lineRule="exact"/>
        <w:ind w:firstLineChars="200" w:firstLine="560"/>
        <w:outlineLvl w:val="1"/>
        <w:divId w:val="1881552001"/>
        <w:rPr>
          <w:rFonts w:ascii="仿宋" w:eastAsia="仿宋" w:hAnsi="仿宋"/>
          <w:b w:val="0"/>
          <w:sz w:val="28"/>
          <w:szCs w:val="28"/>
        </w:rPr>
      </w:pPr>
      <w:r w:rsidRPr="00980BC4">
        <w:rPr>
          <w:rFonts w:ascii="仿宋" w:eastAsia="仿宋" w:hAnsi="仿宋" w:hint="eastAsia"/>
          <w:b w:val="0"/>
          <w:sz w:val="28"/>
          <w:szCs w:val="28"/>
        </w:rPr>
        <w:t>公司董事会由7名董事组成，其中独立董事3名, 公司董事会的人数和人员构成符合有关法律法规的要求，具备合理的专业结构。报告期内，公司董事会职责清晰，各位董事严格按照《公司章程》《董事会议事规则》《公司独立董事工作制度》等相关制度行使职权，认真出席董事会和股东大会，积极参加相关知识的培训，熟悉有关法律法规。全体董事能够切实履行职责，勤勉尽责。董事会的召集、召开、表决及信息披露程序符合相关规定。公司董事会下设四个专门委员会，各专门委员会各尽其责，各施其能，按照各专门委员会工作细则开展工作，为董事会科学决策、提高决策效益和质量发挥了重要作用。</w:t>
      </w:r>
    </w:p>
    <w:p w:rsidR="00CD694F" w:rsidRPr="00980BC4" w:rsidRDefault="002A3304" w:rsidP="00CD694F">
      <w:pPr>
        <w:pStyle w:val="Chapter"/>
        <w:keepLines w:val="0"/>
        <w:spacing w:before="0" w:after="0" w:line="560" w:lineRule="exact"/>
        <w:ind w:firstLineChars="200" w:firstLine="562"/>
        <w:outlineLvl w:val="1"/>
        <w:divId w:val="1881552001"/>
        <w:rPr>
          <w:rFonts w:ascii="仿宋" w:eastAsia="仿宋" w:hAnsi="仿宋"/>
          <w:sz w:val="28"/>
          <w:szCs w:val="28"/>
        </w:rPr>
      </w:pPr>
      <w:r w:rsidRPr="00980BC4">
        <w:rPr>
          <w:rFonts w:ascii="仿宋" w:eastAsia="仿宋" w:hAnsi="仿宋" w:hint="eastAsia"/>
          <w:sz w:val="28"/>
          <w:szCs w:val="28"/>
        </w:rPr>
        <w:t>4、关于监事与监事会</w:t>
      </w:r>
    </w:p>
    <w:p w:rsidR="002A3304" w:rsidRPr="00980BC4" w:rsidRDefault="002A3304" w:rsidP="00CD694F">
      <w:pPr>
        <w:pStyle w:val="Chapter"/>
        <w:keepLines w:val="0"/>
        <w:spacing w:before="0" w:after="0" w:line="560" w:lineRule="exact"/>
        <w:ind w:firstLineChars="200" w:firstLine="560"/>
        <w:outlineLvl w:val="1"/>
        <w:divId w:val="1881552001"/>
        <w:rPr>
          <w:rFonts w:ascii="仿宋" w:eastAsia="仿宋" w:hAnsi="仿宋"/>
          <w:b w:val="0"/>
          <w:sz w:val="28"/>
          <w:szCs w:val="28"/>
        </w:rPr>
      </w:pPr>
      <w:r w:rsidRPr="00980BC4">
        <w:rPr>
          <w:rFonts w:ascii="仿宋" w:eastAsia="仿宋" w:hAnsi="仿宋" w:hint="eastAsia"/>
          <w:b w:val="0"/>
          <w:sz w:val="28"/>
          <w:szCs w:val="28"/>
        </w:rPr>
        <w:t>公司监事会由监事 3 名组成，其中职工监事 1 名。公司监事会在《公司法》《公司章程》《监事会议事规则》和股东大会赋予的职权范围内依法并积极行使监督权，对董事会决策程序、决议事项及公司依法运作情况实施监督，对公司董事、总经理和其他高级管理人员履行职责的合法、合规性等进行有效监督。对公司定期报告、财务报告、关联交易等重大事项发表意见。全体监事能够切实履行职责，诚信、 勤勉、尽责，监事会的召集、召开、表</w:t>
      </w:r>
      <w:r w:rsidRPr="00980BC4">
        <w:rPr>
          <w:rFonts w:ascii="仿宋" w:eastAsia="仿宋" w:hAnsi="仿宋" w:hint="eastAsia"/>
          <w:b w:val="0"/>
          <w:sz w:val="28"/>
          <w:szCs w:val="28"/>
        </w:rPr>
        <w:lastRenderedPageBreak/>
        <w:t>决及信息披露程序符合相关规定。</w:t>
      </w:r>
    </w:p>
    <w:p w:rsidR="00DA3A19" w:rsidRPr="00980BC4" w:rsidRDefault="002A3304" w:rsidP="00DA3A19">
      <w:pPr>
        <w:pStyle w:val="Chapter"/>
        <w:keepLines w:val="0"/>
        <w:spacing w:before="0" w:after="0" w:line="560" w:lineRule="exact"/>
        <w:ind w:firstLineChars="200" w:firstLine="562"/>
        <w:outlineLvl w:val="1"/>
        <w:divId w:val="1881552001"/>
        <w:rPr>
          <w:rFonts w:ascii="仿宋" w:eastAsia="仿宋" w:hAnsi="仿宋"/>
          <w:sz w:val="28"/>
          <w:szCs w:val="28"/>
        </w:rPr>
      </w:pPr>
      <w:r w:rsidRPr="00980BC4">
        <w:rPr>
          <w:rFonts w:ascii="仿宋" w:eastAsia="仿宋" w:hAnsi="仿宋" w:hint="eastAsia"/>
          <w:sz w:val="28"/>
          <w:szCs w:val="28"/>
        </w:rPr>
        <w:t>5、关于公司经营层</w:t>
      </w:r>
    </w:p>
    <w:p w:rsidR="002A3304" w:rsidRPr="00980BC4" w:rsidRDefault="002A3304" w:rsidP="00DA3A19">
      <w:pPr>
        <w:pStyle w:val="a3"/>
        <w:spacing w:before="0" w:beforeAutospacing="0" w:after="0" w:afterAutospacing="0" w:line="560" w:lineRule="exact"/>
        <w:ind w:firstLineChars="200" w:firstLine="560"/>
        <w:divId w:val="1881552001"/>
        <w:rPr>
          <w:rFonts w:ascii="仿宋" w:eastAsia="仿宋" w:hAnsi="仿宋"/>
          <w:sz w:val="28"/>
          <w:szCs w:val="28"/>
        </w:rPr>
      </w:pPr>
      <w:r w:rsidRPr="00980BC4">
        <w:rPr>
          <w:rFonts w:ascii="仿宋" w:eastAsia="仿宋" w:hAnsi="仿宋" w:hint="eastAsia"/>
          <w:sz w:val="28"/>
          <w:szCs w:val="28"/>
        </w:rPr>
        <w:t>公司经营层全面负责公司的生产经营管理工作，没有越权行使职权的行为。经营层勤勉尽责，能够有效执行董事会的各项决策，并得到有效的监督和制约。</w:t>
      </w:r>
    </w:p>
    <w:p w:rsidR="00DA3A19" w:rsidRPr="00980BC4" w:rsidRDefault="002A3304" w:rsidP="00DA3A19">
      <w:pPr>
        <w:pStyle w:val="Chapter"/>
        <w:keepLines w:val="0"/>
        <w:spacing w:before="0" w:after="0" w:line="560" w:lineRule="exact"/>
        <w:ind w:firstLineChars="200" w:firstLine="562"/>
        <w:outlineLvl w:val="1"/>
        <w:divId w:val="1881552001"/>
        <w:rPr>
          <w:rFonts w:ascii="仿宋" w:eastAsia="仿宋" w:hAnsi="仿宋"/>
          <w:sz w:val="28"/>
          <w:szCs w:val="28"/>
        </w:rPr>
      </w:pPr>
      <w:r w:rsidRPr="00980BC4">
        <w:rPr>
          <w:rFonts w:ascii="仿宋" w:eastAsia="仿宋" w:hAnsi="仿宋" w:hint="eastAsia"/>
          <w:sz w:val="28"/>
          <w:szCs w:val="28"/>
        </w:rPr>
        <w:t>6、关于相关利益者</w:t>
      </w:r>
    </w:p>
    <w:p w:rsidR="002A3304" w:rsidRPr="00980BC4" w:rsidRDefault="002A3304" w:rsidP="00DA3A19">
      <w:pPr>
        <w:pStyle w:val="a3"/>
        <w:spacing w:before="0" w:beforeAutospacing="0" w:after="0" w:afterAutospacing="0" w:line="560" w:lineRule="exact"/>
        <w:ind w:firstLineChars="200" w:firstLine="560"/>
        <w:divId w:val="1881552001"/>
        <w:rPr>
          <w:rFonts w:ascii="仿宋" w:eastAsia="仿宋" w:hAnsi="仿宋"/>
          <w:sz w:val="28"/>
          <w:szCs w:val="28"/>
        </w:rPr>
      </w:pPr>
      <w:r w:rsidRPr="00980BC4">
        <w:rPr>
          <w:rFonts w:ascii="仿宋" w:eastAsia="仿宋" w:hAnsi="仿宋" w:hint="eastAsia"/>
          <w:sz w:val="28"/>
          <w:szCs w:val="28"/>
        </w:rPr>
        <w:t>公司充分尊重和维护相关利益者的合法权益，加强与各方的沟通和交流，在合法合规的前提下实现社会、股东、公司、供应商、客户、员工等各方利益的协调平衡，积极履行环境保护、节能减排、依法纳税等社会责任，实现各方可持续发展。</w:t>
      </w:r>
    </w:p>
    <w:p w:rsidR="00EC5ED4" w:rsidRPr="00980BC4" w:rsidRDefault="002A3304" w:rsidP="00EC5ED4">
      <w:pPr>
        <w:pStyle w:val="Chapter"/>
        <w:keepLines w:val="0"/>
        <w:spacing w:before="0" w:after="0" w:line="560" w:lineRule="exact"/>
        <w:ind w:firstLineChars="200" w:firstLine="562"/>
        <w:outlineLvl w:val="1"/>
        <w:divId w:val="1881552001"/>
        <w:rPr>
          <w:rFonts w:ascii="仿宋" w:eastAsia="仿宋" w:hAnsi="仿宋"/>
          <w:sz w:val="28"/>
          <w:szCs w:val="28"/>
        </w:rPr>
      </w:pPr>
      <w:r w:rsidRPr="00980BC4">
        <w:rPr>
          <w:rFonts w:ascii="仿宋" w:eastAsia="仿宋" w:hAnsi="仿宋" w:hint="eastAsia"/>
          <w:sz w:val="28"/>
          <w:szCs w:val="28"/>
        </w:rPr>
        <w:t>7、关于信息披露</w:t>
      </w:r>
      <w:r w:rsidRPr="00980BC4">
        <w:rPr>
          <w:rFonts w:ascii="宋体" w:hAnsi="宋体" w:cs="宋体" w:hint="eastAsia"/>
          <w:sz w:val="28"/>
          <w:szCs w:val="28"/>
        </w:rPr>
        <w:t>  </w:t>
      </w:r>
      <w:r w:rsidRPr="00980BC4">
        <w:rPr>
          <w:rFonts w:ascii="仿宋" w:eastAsia="仿宋" w:hAnsi="仿宋" w:hint="eastAsia"/>
          <w:sz w:val="28"/>
          <w:szCs w:val="28"/>
        </w:rPr>
        <w:t xml:space="preserve"> </w:t>
      </w:r>
    </w:p>
    <w:p w:rsidR="00DA3A19" w:rsidRPr="00980BC4" w:rsidRDefault="002A3304" w:rsidP="00DA3A19">
      <w:pPr>
        <w:pStyle w:val="a3"/>
        <w:spacing w:before="0" w:beforeAutospacing="0" w:after="0" w:afterAutospacing="0" w:line="560" w:lineRule="exact"/>
        <w:ind w:firstLineChars="200" w:firstLine="560"/>
        <w:divId w:val="1881552001"/>
        <w:rPr>
          <w:rFonts w:ascii="仿宋" w:eastAsia="仿宋" w:hAnsi="仿宋"/>
          <w:sz w:val="28"/>
          <w:szCs w:val="28"/>
        </w:rPr>
      </w:pPr>
      <w:r w:rsidRPr="00980BC4">
        <w:rPr>
          <w:rFonts w:ascii="仿宋" w:eastAsia="仿宋" w:hAnsi="仿宋" w:hint="eastAsia"/>
          <w:sz w:val="28"/>
          <w:szCs w:val="28"/>
        </w:rPr>
        <w:t>公司严格按照《上市公司信息披露管理办法》《深圳证券交易所股票上市规则》等法规要求，加强信息披露事务和投资关系管理，真实、准确、 及时、完整地披露信息，确保所有投资者公平获取公司信息，对重大未公开内幕信息执行严格的保密程序，控制知情人员范围。同时，公司通过深交所互动易平台、投资者专线电话、电子邮件及现场交流等方式与投资者进行充分的沟通交流。另外公司还及时与监管部门保持联系与沟通，从而准确地把握信息披露的规范要求，进一步提高公司透明度和信息披露质量。</w:t>
      </w:r>
    </w:p>
    <w:p w:rsidR="002A3304" w:rsidRPr="00980BC4" w:rsidRDefault="002A3304" w:rsidP="00DA3A19">
      <w:pPr>
        <w:pStyle w:val="a3"/>
        <w:spacing w:before="0" w:beforeAutospacing="0" w:after="0" w:afterAutospacing="0" w:line="560" w:lineRule="exact"/>
        <w:ind w:firstLineChars="200" w:firstLine="560"/>
        <w:divId w:val="1881552001"/>
        <w:rPr>
          <w:rFonts w:ascii="仿宋" w:eastAsia="仿宋" w:hAnsi="仿宋"/>
          <w:sz w:val="28"/>
          <w:szCs w:val="28"/>
        </w:rPr>
      </w:pPr>
      <w:r w:rsidRPr="00980BC4">
        <w:rPr>
          <w:rFonts w:ascii="仿宋" w:eastAsia="仿宋" w:hAnsi="仿宋" w:hint="eastAsia"/>
          <w:sz w:val="28"/>
          <w:szCs w:val="28"/>
        </w:rPr>
        <w:t>报告期内，公司根据最新政策、监管要求及发展现状，对《公司章程》《股东大会议事规则》《监事会议事规则》《独立董事工作制度》《信息披露制度》《内幕信息知情人登记管理制度》《董事会秘书工作制度》《关联交易管理制度》《证券投资管理制度》《投资管理制度》及《战略管理制度》等十九份公司规章制度进行了修订，促进公司规范运作和健康发展。公司将继续按照中国证监会、深交所等部门的监管要求，继续加强内部控制体系建</w:t>
      </w:r>
      <w:r w:rsidRPr="00980BC4">
        <w:rPr>
          <w:rFonts w:ascii="仿宋" w:eastAsia="仿宋" w:hAnsi="仿宋" w:hint="eastAsia"/>
          <w:sz w:val="28"/>
          <w:szCs w:val="28"/>
        </w:rPr>
        <w:lastRenderedPageBreak/>
        <w:t>设，强化内控管理，持续完善公司治理结构，增强公司规范运作水平，切实维护广大投资者的利益。</w:t>
      </w:r>
    </w:p>
    <w:p w:rsidR="002A3304" w:rsidRPr="00980BC4" w:rsidRDefault="00DF4EBF" w:rsidP="007E58F7">
      <w:pPr>
        <w:pStyle w:val="a3"/>
        <w:spacing w:before="0" w:beforeAutospacing="0" w:after="0" w:afterAutospacing="0" w:line="560" w:lineRule="exact"/>
        <w:ind w:firstLineChars="200" w:firstLine="562"/>
        <w:rPr>
          <w:rFonts w:ascii="仿宋" w:eastAsia="仿宋" w:hAnsi="仿宋"/>
          <w:b/>
          <w:sz w:val="28"/>
          <w:szCs w:val="28"/>
        </w:rPr>
      </w:pPr>
      <w:r w:rsidRPr="00980BC4">
        <w:rPr>
          <w:rFonts w:ascii="仿宋" w:eastAsia="仿宋" w:hAnsi="仿宋"/>
          <w:b/>
          <w:sz w:val="28"/>
          <w:szCs w:val="28"/>
        </w:rPr>
        <w:t>公司治理的实际状况与法律、行政法规和中国证监会发布的关于上市公司治理的规定是否存在重大差异</w:t>
      </w:r>
    </w:p>
    <w:p w:rsidR="002A3304" w:rsidRPr="00980BC4" w:rsidRDefault="00DF4EBF" w:rsidP="007E58F7">
      <w:pPr>
        <w:pStyle w:val="a3"/>
        <w:spacing w:before="0" w:beforeAutospacing="0" w:after="0" w:afterAutospacing="0" w:line="560" w:lineRule="exact"/>
        <w:ind w:firstLineChars="200" w:firstLine="560"/>
        <w:rPr>
          <w:rFonts w:ascii="仿宋" w:eastAsia="仿宋" w:hAnsi="仿宋"/>
          <w:sz w:val="28"/>
          <w:szCs w:val="28"/>
        </w:rPr>
      </w:pPr>
      <w:r w:rsidRPr="00980BC4">
        <w:rPr>
          <w:rFonts w:ascii="仿宋" w:eastAsia="仿宋" w:hAnsi="仿宋"/>
          <w:sz w:val="28"/>
          <w:szCs w:val="28"/>
        </w:rPr>
        <w:t>□是</w:t>
      </w:r>
      <w:r w:rsidR="007E58F7"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否</w:t>
      </w:r>
    </w:p>
    <w:p w:rsidR="002A3304" w:rsidRPr="00980BC4" w:rsidRDefault="00DF4EBF" w:rsidP="007E58F7">
      <w:pPr>
        <w:pStyle w:val="a3"/>
        <w:spacing w:before="0" w:beforeAutospacing="0" w:after="0" w:afterAutospacing="0" w:line="560" w:lineRule="exact"/>
        <w:ind w:firstLineChars="200" w:firstLine="560"/>
        <w:rPr>
          <w:rFonts w:ascii="仿宋" w:eastAsia="仿宋" w:hAnsi="仿宋"/>
          <w:sz w:val="28"/>
          <w:szCs w:val="28"/>
        </w:rPr>
      </w:pPr>
      <w:r w:rsidRPr="00980BC4">
        <w:rPr>
          <w:rFonts w:ascii="仿宋" w:eastAsia="仿宋" w:hAnsi="仿宋"/>
          <w:sz w:val="28"/>
          <w:szCs w:val="28"/>
        </w:rPr>
        <w:t>公司治理的实际状况与法律、行政法规和中国证监会发布的关于上市公司治理的规定不存在重大差异。</w:t>
      </w:r>
    </w:p>
    <w:p w:rsidR="002A3304" w:rsidRPr="00980BC4" w:rsidRDefault="00DF4EBF" w:rsidP="009420B7">
      <w:pPr>
        <w:pStyle w:val="Chapter"/>
        <w:spacing w:before="0" w:after="0" w:line="560" w:lineRule="exact"/>
        <w:ind w:firstLineChars="200" w:firstLine="562"/>
        <w:outlineLvl w:val="1"/>
        <w:rPr>
          <w:bCs w:val="0"/>
          <w:sz w:val="28"/>
          <w:szCs w:val="28"/>
        </w:rPr>
      </w:pPr>
      <w:bookmarkStart w:id="53" w:name="_Toc988942"/>
      <w:r w:rsidRPr="00980BC4">
        <w:rPr>
          <w:bCs w:val="0"/>
          <w:sz w:val="28"/>
          <w:szCs w:val="28"/>
        </w:rPr>
        <w:t>二、公司相对于控股股东、实际控制人在保证公司资产、人员、财务、机构、业务等方面的独立情况</w:t>
      </w:r>
      <w:bookmarkEnd w:id="53"/>
    </w:p>
    <w:p w:rsidR="002A3304" w:rsidRPr="00980BC4" w:rsidRDefault="002A3304" w:rsidP="009420B7">
      <w:pPr>
        <w:pStyle w:val="a3"/>
        <w:spacing w:before="0" w:beforeAutospacing="0" w:after="0" w:afterAutospacing="0" w:line="560" w:lineRule="exact"/>
        <w:ind w:firstLine="560"/>
        <w:divId w:val="180900446"/>
      </w:pPr>
      <w:r w:rsidRPr="00980BC4">
        <w:rPr>
          <w:rFonts w:ascii="仿宋" w:eastAsia="仿宋" w:hAnsi="仿宋" w:hint="eastAsia"/>
          <w:sz w:val="28"/>
          <w:szCs w:val="28"/>
        </w:rPr>
        <w:t>公司按照相关规范运作的要求，在业务、人员、资产、机构及财务等方面与控股股东分开，享有独立法人地位，具有独立完整的业务体系和自主经营能力。</w:t>
      </w:r>
    </w:p>
    <w:p w:rsidR="002A3304" w:rsidRPr="00980BC4" w:rsidRDefault="002A3304" w:rsidP="009420B7">
      <w:pPr>
        <w:pStyle w:val="a3"/>
        <w:spacing w:before="0" w:beforeAutospacing="0" w:after="0" w:afterAutospacing="0" w:line="560" w:lineRule="exact"/>
        <w:ind w:firstLine="560"/>
        <w:divId w:val="180900446"/>
      </w:pPr>
      <w:r w:rsidRPr="00980BC4">
        <w:rPr>
          <w:rFonts w:ascii="仿宋" w:eastAsia="仿宋" w:hAnsi="仿宋" w:hint="eastAsia"/>
          <w:sz w:val="28"/>
          <w:szCs w:val="28"/>
        </w:rPr>
        <w:t>1、业务：公司具有独立完整的业务及自主经营能力，对控股股东和其他关联企业不存在依赖关系，公司拥有独立的原材料采购和产品的生产、销售系统，主要的原材料采购和产品的生产、销售不依赖于控股股东和其他关联企业。</w:t>
      </w:r>
    </w:p>
    <w:p w:rsidR="002A3304" w:rsidRPr="00980BC4" w:rsidRDefault="002A3304" w:rsidP="009420B7">
      <w:pPr>
        <w:pStyle w:val="a3"/>
        <w:spacing w:before="0" w:beforeAutospacing="0" w:after="0" w:afterAutospacing="0" w:line="560" w:lineRule="exact"/>
        <w:ind w:firstLine="560"/>
        <w:divId w:val="180900446"/>
      </w:pPr>
      <w:r w:rsidRPr="00980BC4">
        <w:rPr>
          <w:rFonts w:ascii="仿宋" w:eastAsia="仿宋" w:hAnsi="仿宋" w:hint="eastAsia"/>
          <w:sz w:val="28"/>
          <w:szCs w:val="28"/>
        </w:rPr>
        <w:t>2、人员：公司设有独立的人力资源管理部门，有独立完善的人事制度和劳资管理体系。公司董事、监事、高级管理人员均严格按照《公司法》《公司章程》的有关规定经选举产生和聘任。公司总经理、副总经理、财务负责人及董事会秘书等高级管理人员任期内均在公司专职工作及领取报酬，未在控股股东及其它下属企业领取薪酬并担任除董监事之外的任何职务。</w:t>
      </w:r>
    </w:p>
    <w:p w:rsidR="002A3304" w:rsidRPr="00980BC4" w:rsidRDefault="002A3304" w:rsidP="009420B7">
      <w:pPr>
        <w:pStyle w:val="a3"/>
        <w:spacing w:before="0" w:beforeAutospacing="0" w:after="0" w:afterAutospacing="0" w:line="560" w:lineRule="exact"/>
        <w:ind w:firstLine="560"/>
        <w:divId w:val="180900446"/>
      </w:pPr>
      <w:r w:rsidRPr="00980BC4">
        <w:rPr>
          <w:rFonts w:ascii="仿宋" w:eastAsia="仿宋" w:hAnsi="仿宋" w:hint="eastAsia"/>
          <w:sz w:val="28"/>
          <w:szCs w:val="28"/>
        </w:rPr>
        <w:t>3、资产：公司拥有独立完整的资产结构，资产完整，产权明晰。公司对所有资产有完全的控制支配权，不存在资产、资金被控股股东占用而损害公司利益的情况。</w:t>
      </w:r>
    </w:p>
    <w:p w:rsidR="002A3304" w:rsidRPr="00980BC4" w:rsidRDefault="002A3304" w:rsidP="009420B7">
      <w:pPr>
        <w:pStyle w:val="a3"/>
        <w:spacing w:before="0" w:beforeAutospacing="0" w:after="0" w:afterAutospacing="0" w:line="560" w:lineRule="exact"/>
        <w:ind w:firstLine="560"/>
        <w:divId w:val="180900446"/>
      </w:pPr>
      <w:r w:rsidRPr="00980BC4">
        <w:rPr>
          <w:rFonts w:ascii="仿宋" w:eastAsia="仿宋" w:hAnsi="仿宋" w:hint="eastAsia"/>
          <w:sz w:val="28"/>
          <w:szCs w:val="28"/>
        </w:rPr>
        <w:lastRenderedPageBreak/>
        <w:t xml:space="preserve">4、机构：公司设立了健全的组织机构体系，董事会、监事会及其他内部机构独立运作。控股股东及其职能部门与公司及职能部门之间不存在从属关系。 </w:t>
      </w:r>
    </w:p>
    <w:p w:rsidR="002A3304" w:rsidRPr="00980BC4" w:rsidRDefault="002A3304" w:rsidP="009420B7">
      <w:pPr>
        <w:pStyle w:val="a3"/>
        <w:spacing w:before="0" w:beforeAutospacing="0" w:after="0" w:afterAutospacing="0" w:line="560" w:lineRule="exact"/>
        <w:ind w:firstLine="560"/>
        <w:divId w:val="180900446"/>
      </w:pPr>
      <w:r w:rsidRPr="00980BC4">
        <w:rPr>
          <w:rFonts w:ascii="仿宋" w:eastAsia="仿宋" w:hAnsi="仿宋" w:hint="eastAsia"/>
          <w:sz w:val="28"/>
          <w:szCs w:val="28"/>
        </w:rPr>
        <w:t>5、财务：公司设有独立的的财会、审计部门，建立了独立的会计核算体系和财务管理制度，独立进行财务决策。公司开设有独立的银行账户，依法独立纳税，严格遵循各项财务制度，独立运作、规范管理。</w:t>
      </w:r>
    </w:p>
    <w:p w:rsidR="002A3304" w:rsidRPr="00980BC4" w:rsidRDefault="00DF4EBF" w:rsidP="009420B7">
      <w:pPr>
        <w:pStyle w:val="Chapter"/>
        <w:spacing w:before="0" w:after="0" w:line="560" w:lineRule="exact"/>
        <w:ind w:firstLineChars="200" w:firstLine="562"/>
        <w:outlineLvl w:val="1"/>
        <w:rPr>
          <w:bCs w:val="0"/>
          <w:sz w:val="28"/>
          <w:szCs w:val="28"/>
        </w:rPr>
      </w:pPr>
      <w:bookmarkStart w:id="54" w:name="_Toc988943"/>
      <w:r w:rsidRPr="00980BC4">
        <w:rPr>
          <w:bCs w:val="0"/>
          <w:sz w:val="28"/>
          <w:szCs w:val="28"/>
        </w:rPr>
        <w:t>三、同业竞争情况</w:t>
      </w:r>
      <w:bookmarkEnd w:id="54"/>
    </w:p>
    <w:p w:rsidR="002A3304" w:rsidRPr="00980BC4" w:rsidRDefault="00DF4EBF" w:rsidP="009420B7">
      <w:pPr>
        <w:pStyle w:val="a3"/>
        <w:spacing w:before="0" w:beforeAutospacing="0" w:after="0" w:afterAutospacing="0" w:line="560" w:lineRule="exact"/>
        <w:ind w:firstLine="560"/>
        <w:rPr>
          <w:rFonts w:ascii="仿宋" w:eastAsia="仿宋" w:hAnsi="仿宋"/>
          <w:sz w:val="28"/>
          <w:szCs w:val="28"/>
        </w:rPr>
      </w:pPr>
      <w:r w:rsidRPr="00980BC4">
        <w:rPr>
          <w:rFonts w:ascii="仿宋" w:eastAsia="仿宋" w:hAnsi="仿宋"/>
          <w:sz w:val="28"/>
          <w:szCs w:val="28"/>
        </w:rPr>
        <w:t xml:space="preserve">□适用 </w:t>
      </w:r>
      <w:r w:rsidR="009420B7"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9420B7">
      <w:pPr>
        <w:pStyle w:val="Chapter"/>
        <w:spacing w:before="0" w:after="0" w:line="560" w:lineRule="exact"/>
        <w:ind w:firstLineChars="200" w:firstLine="562"/>
        <w:outlineLvl w:val="1"/>
        <w:rPr>
          <w:bCs w:val="0"/>
          <w:sz w:val="28"/>
          <w:szCs w:val="28"/>
        </w:rPr>
      </w:pPr>
      <w:bookmarkStart w:id="55" w:name="_Toc988944"/>
      <w:r w:rsidRPr="00980BC4">
        <w:rPr>
          <w:bCs w:val="0"/>
          <w:sz w:val="28"/>
          <w:szCs w:val="28"/>
        </w:rPr>
        <w:t>四、报告期内召开的年度股东大会和临时股东大会的有关情况</w:t>
      </w:r>
      <w:bookmarkEnd w:id="55"/>
    </w:p>
    <w:p w:rsidR="002A3304" w:rsidRPr="00980BC4" w:rsidRDefault="00DF4EBF" w:rsidP="009420B7">
      <w:pPr>
        <w:pStyle w:val="a3"/>
        <w:spacing w:before="0" w:beforeAutospacing="0" w:after="0" w:afterAutospacing="0" w:line="560" w:lineRule="exact"/>
        <w:ind w:firstLine="560"/>
        <w:rPr>
          <w:rFonts w:ascii="仿宋" w:eastAsia="仿宋" w:hAnsi="仿宋"/>
          <w:b/>
          <w:sz w:val="28"/>
          <w:szCs w:val="28"/>
        </w:rPr>
      </w:pPr>
      <w:bookmarkStart w:id="56" w:name="_Toc988945"/>
      <w:r w:rsidRPr="00980BC4">
        <w:rPr>
          <w:rFonts w:ascii="仿宋" w:eastAsia="仿宋" w:hAnsi="仿宋"/>
          <w:b/>
          <w:sz w:val="28"/>
          <w:szCs w:val="28"/>
        </w:rPr>
        <w:t>1、本报告期股东大会情况</w:t>
      </w:r>
      <w:bookmarkEnd w:id="5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526"/>
        <w:gridCol w:w="1417"/>
        <w:gridCol w:w="1134"/>
        <w:gridCol w:w="1418"/>
        <w:gridCol w:w="1276"/>
        <w:gridCol w:w="2868"/>
      </w:tblGrid>
      <w:tr w:rsidR="002A3304" w:rsidRPr="00980BC4" w:rsidTr="009420B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会议届次</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会议类型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投资者参与比例</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召开日期</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披露日期</w:t>
            </w: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会议决议</w:t>
            </w:r>
          </w:p>
        </w:tc>
      </w:tr>
      <w:tr w:rsidR="002A3304" w:rsidRPr="00980BC4" w:rsidTr="009420B7">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2021年度股东大会</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年度股东大会</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jc w:val="right"/>
              <w:rPr>
                <w:rFonts w:ascii="宋体" w:eastAsia="宋体" w:hAnsi="宋体" w:cs="宋体"/>
                <w:sz w:val="18"/>
                <w:szCs w:val="18"/>
              </w:rPr>
            </w:pPr>
            <w:r w:rsidRPr="00980BC4">
              <w:rPr>
                <w:rFonts w:ascii="宋体" w:eastAsia="宋体" w:hAnsi="宋体" w:cs="宋体"/>
                <w:sz w:val="18"/>
                <w:szCs w:val="18"/>
              </w:rPr>
              <w:t>35.88%</w:t>
            </w:r>
          </w:p>
        </w:tc>
        <w:tc>
          <w:tcPr>
            <w:tcW w:w="14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2022年06月23日</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2022年06月24日</w:t>
            </w:r>
          </w:p>
        </w:tc>
        <w:tc>
          <w:tcPr>
            <w:tcW w:w="286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以现场记名投票和网络投票相结合的表决方式审议并通过了如下议案：1、2021年度董事会工作报告；2、2021年度监事会工作报告；3、2021年度报告及年度报告摘要；4、2021年度财务报告；5、2021年度利润分配预案；6、关于回购注销公司2021年限制性股票激励计划部分首次授予限制性股票的议案；7、关于修改《公司章程》的议案；8、关于修订《股东大会议事规则》的议案；9、关于修订《独立董事工作制度》的议案；10、关于修订《监事会议事规则》的议案</w:t>
            </w:r>
          </w:p>
        </w:tc>
      </w:tr>
      <w:tr w:rsidR="002A3304" w:rsidRPr="00980BC4" w:rsidTr="009420B7">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2022年第一次临时股东大会</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临时股东大会</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jc w:val="right"/>
              <w:rPr>
                <w:rFonts w:ascii="宋体" w:eastAsia="宋体" w:hAnsi="宋体" w:cs="宋体"/>
                <w:sz w:val="18"/>
                <w:szCs w:val="18"/>
              </w:rPr>
            </w:pPr>
            <w:r w:rsidRPr="00980BC4">
              <w:rPr>
                <w:rFonts w:ascii="宋体" w:eastAsia="宋体" w:hAnsi="宋体" w:cs="宋体"/>
                <w:sz w:val="18"/>
                <w:szCs w:val="18"/>
              </w:rPr>
              <w:t>35.79%</w:t>
            </w:r>
          </w:p>
        </w:tc>
        <w:tc>
          <w:tcPr>
            <w:tcW w:w="14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2022年08月18日</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2022年08月19日</w:t>
            </w:r>
          </w:p>
        </w:tc>
        <w:tc>
          <w:tcPr>
            <w:tcW w:w="286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以现场记名投票和网络投票相结合的表决方式审议并通过了如下议案：1、关于补选公司独立董事的议案；2、关于修订公司《募集资金管理制度》的议案</w:t>
            </w:r>
          </w:p>
        </w:tc>
      </w:tr>
    </w:tbl>
    <w:p w:rsidR="002A3304" w:rsidRPr="00980BC4" w:rsidRDefault="00DF4EBF" w:rsidP="009420B7">
      <w:pPr>
        <w:pStyle w:val="a3"/>
        <w:spacing w:before="0" w:beforeAutospacing="0" w:after="0" w:afterAutospacing="0" w:line="560" w:lineRule="exact"/>
        <w:ind w:firstLine="560"/>
        <w:rPr>
          <w:rFonts w:ascii="仿宋" w:eastAsia="仿宋" w:hAnsi="仿宋"/>
          <w:b/>
          <w:sz w:val="28"/>
          <w:szCs w:val="28"/>
        </w:rPr>
      </w:pPr>
      <w:bookmarkStart w:id="57" w:name="_Toc988946"/>
      <w:r w:rsidRPr="00980BC4">
        <w:rPr>
          <w:rFonts w:ascii="仿宋" w:eastAsia="仿宋" w:hAnsi="仿宋"/>
          <w:b/>
          <w:sz w:val="28"/>
          <w:szCs w:val="28"/>
        </w:rPr>
        <w:t>2、表决权恢复的优先股股东请求召开临时股东大会</w:t>
      </w:r>
      <w:bookmarkEnd w:id="57"/>
    </w:p>
    <w:p w:rsidR="002A3304" w:rsidRPr="00980BC4" w:rsidRDefault="00DF4EBF" w:rsidP="009420B7">
      <w:pPr>
        <w:pStyle w:val="a3"/>
        <w:spacing w:before="0" w:beforeAutospacing="0" w:after="0" w:afterAutospacing="0" w:line="560" w:lineRule="exact"/>
        <w:ind w:firstLine="560"/>
        <w:rPr>
          <w:rFonts w:ascii="仿宋" w:eastAsia="仿宋" w:hAnsi="仿宋"/>
          <w:sz w:val="28"/>
          <w:szCs w:val="28"/>
        </w:rPr>
      </w:pPr>
      <w:r w:rsidRPr="00980BC4">
        <w:rPr>
          <w:rFonts w:ascii="仿宋" w:eastAsia="仿宋" w:hAnsi="仿宋"/>
          <w:sz w:val="28"/>
          <w:szCs w:val="28"/>
        </w:rPr>
        <w:t xml:space="preserve">□适用 </w:t>
      </w:r>
      <w:r w:rsidR="009420B7"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9420B7">
      <w:pPr>
        <w:pStyle w:val="Chapter"/>
        <w:spacing w:before="0" w:after="0" w:line="560" w:lineRule="exact"/>
        <w:ind w:firstLineChars="200" w:firstLine="562"/>
        <w:outlineLvl w:val="1"/>
        <w:rPr>
          <w:bCs w:val="0"/>
          <w:sz w:val="28"/>
          <w:szCs w:val="28"/>
        </w:rPr>
      </w:pPr>
      <w:bookmarkStart w:id="58" w:name="_Toc988947"/>
      <w:r w:rsidRPr="00980BC4">
        <w:rPr>
          <w:bCs w:val="0"/>
          <w:sz w:val="28"/>
          <w:szCs w:val="28"/>
        </w:rPr>
        <w:lastRenderedPageBreak/>
        <w:t>五、董事、监事和高级管理人员情况</w:t>
      </w:r>
      <w:bookmarkEnd w:id="58"/>
    </w:p>
    <w:p w:rsidR="002A3304" w:rsidRPr="00980BC4" w:rsidRDefault="00DF4EBF" w:rsidP="009420B7">
      <w:pPr>
        <w:pStyle w:val="a3"/>
        <w:spacing w:before="0" w:beforeAutospacing="0" w:after="0" w:afterAutospacing="0" w:line="560" w:lineRule="exact"/>
        <w:ind w:firstLine="560"/>
        <w:rPr>
          <w:rFonts w:ascii="仿宋" w:eastAsia="仿宋" w:hAnsi="仿宋"/>
          <w:b/>
          <w:sz w:val="28"/>
          <w:szCs w:val="28"/>
        </w:rPr>
      </w:pPr>
      <w:bookmarkStart w:id="59" w:name="_Toc988948"/>
      <w:r w:rsidRPr="00980BC4">
        <w:rPr>
          <w:rFonts w:ascii="仿宋" w:eastAsia="仿宋" w:hAnsi="仿宋"/>
          <w:b/>
          <w:sz w:val="28"/>
          <w:szCs w:val="28"/>
        </w:rPr>
        <w:t>1、基本情况</w:t>
      </w:r>
      <w:bookmarkEnd w:id="59"/>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742"/>
        <w:gridCol w:w="742"/>
        <w:gridCol w:w="742"/>
        <w:gridCol w:w="742"/>
        <w:gridCol w:w="742"/>
        <w:gridCol w:w="742"/>
        <w:gridCol w:w="741"/>
        <w:gridCol w:w="741"/>
        <w:gridCol w:w="741"/>
        <w:gridCol w:w="741"/>
        <w:gridCol w:w="741"/>
        <w:gridCol w:w="741"/>
        <w:gridCol w:w="741"/>
      </w:tblGrid>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姓名</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职务</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任职状态</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性别</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年龄</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任期起始日期</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任期终止日期</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期初持股数（股）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本期增持股份数量（股）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本期减持股份数量（股）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其他增减变动（股）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期末持股数（股）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股份增减变动的原因</w:t>
            </w: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胡煜鐄</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董事长</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39</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2021年06月17日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黄克</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董事、副董事长、总经理</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39</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2018年10月26日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212,160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212,160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冯骏</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董事、副总经理</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50</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2019年04月16日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10,348,119</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10,348,119</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吕凌</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董事</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46</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2021年02月05日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李爱文</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独立董事</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50</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2018年10月26日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廖义刚</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独立董事</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46</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2021年02月05日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钟刚</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独立董事</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45</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2022年08月18日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邵林芳</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监事会主席</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52</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2021年02月05日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包秀成</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监事</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51</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2014年12月29日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沈峰</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监事</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42</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2015年08月06日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李忠</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副总经理</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55</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2018年10月26</w:t>
            </w:r>
            <w:r w:rsidRPr="00980BC4">
              <w:rPr>
                <w:rFonts w:ascii="宋体" w:eastAsia="宋体" w:hAnsi="宋体" w:cs="宋体"/>
                <w:sz w:val="18"/>
                <w:szCs w:val="18"/>
              </w:rPr>
              <w:lastRenderedPageBreak/>
              <w:t>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lastRenderedPageBreak/>
              <w:t>2024年02月05</w:t>
            </w:r>
            <w:r w:rsidRPr="00980BC4">
              <w:rPr>
                <w:rFonts w:ascii="宋体" w:eastAsia="宋体" w:hAnsi="宋体" w:cs="宋体"/>
                <w:sz w:val="18"/>
                <w:szCs w:val="18"/>
              </w:rPr>
              <w:lastRenderedPageBreak/>
              <w:t>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lastRenderedPageBreak/>
              <w:t>185,640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30,000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155,640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集中竞价减持</w:t>
            </w: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lastRenderedPageBreak/>
              <w:t>郝宏伟</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副总经理</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53</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2022年08月29日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陈波</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财务总监</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33</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2020年06月05日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2024年02月05日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185,640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30,000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155,640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集中竞价减持</w:t>
            </w: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司景喆</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董事会秘书</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33</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2020年06月05日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40" w:lineRule="exact"/>
              <w:rPr>
                <w:rFonts w:ascii="宋体" w:eastAsia="宋体" w:hAnsi="宋体" w:cs="宋体"/>
                <w:sz w:val="18"/>
                <w:szCs w:val="18"/>
              </w:rPr>
            </w:pPr>
            <w:r w:rsidRPr="00980BC4">
              <w:rPr>
                <w:rFonts w:ascii="宋体" w:eastAsia="宋体" w:hAnsi="宋体" w:cs="宋体"/>
                <w:sz w:val="18"/>
                <w:szCs w:val="18"/>
              </w:rPr>
              <w:t>202</w:t>
            </w:r>
            <w:r w:rsidR="003B6A7A" w:rsidRPr="00980BC4">
              <w:rPr>
                <w:rFonts w:ascii="宋体" w:eastAsia="宋体" w:hAnsi="宋体" w:cs="宋体" w:hint="eastAsia"/>
                <w:sz w:val="18"/>
                <w:szCs w:val="18"/>
              </w:rPr>
              <w:t>3</w:t>
            </w:r>
            <w:r w:rsidRPr="00980BC4">
              <w:rPr>
                <w:rFonts w:ascii="宋体" w:eastAsia="宋体" w:hAnsi="宋体" w:cs="宋体"/>
                <w:sz w:val="18"/>
                <w:szCs w:val="18"/>
              </w:rPr>
              <w:t>年0</w:t>
            </w:r>
            <w:r w:rsidR="003B6A7A" w:rsidRPr="00980BC4">
              <w:rPr>
                <w:rFonts w:ascii="宋体" w:eastAsia="宋体" w:hAnsi="宋体" w:cs="宋体" w:hint="eastAsia"/>
                <w:sz w:val="18"/>
                <w:szCs w:val="18"/>
              </w:rPr>
              <w:t>3</w:t>
            </w:r>
            <w:r w:rsidRPr="00980BC4">
              <w:rPr>
                <w:rFonts w:ascii="宋体" w:eastAsia="宋体" w:hAnsi="宋体" w:cs="宋体"/>
                <w:sz w:val="18"/>
                <w:szCs w:val="18"/>
              </w:rPr>
              <w:t>月0</w:t>
            </w:r>
            <w:r w:rsidR="003B6A7A" w:rsidRPr="00980BC4">
              <w:rPr>
                <w:rFonts w:ascii="宋体" w:eastAsia="宋体" w:hAnsi="宋体" w:cs="宋体" w:hint="eastAsia"/>
                <w:sz w:val="18"/>
                <w:szCs w:val="18"/>
              </w:rPr>
              <w:t>3</w:t>
            </w:r>
            <w:r w:rsidRPr="00980BC4">
              <w:rPr>
                <w:rFonts w:ascii="宋体" w:eastAsia="宋体" w:hAnsi="宋体" w:cs="宋体"/>
                <w:sz w:val="18"/>
                <w:szCs w:val="18"/>
              </w:rPr>
              <w:t>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185,640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1,000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184,640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集中竞价减持</w:t>
            </w: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陈绍玲</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独立董事</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离任</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40</w:t>
            </w:r>
          </w:p>
        </w:tc>
        <w:tc>
          <w:tcPr>
            <w:tcW w:w="7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2021年02月05日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2022年07月28日</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rPr>
                <w:rFonts w:ascii="宋体" w:eastAsia="宋体" w:hAnsi="宋体" w:cs="宋体"/>
                <w:sz w:val="18"/>
                <w:szCs w:val="18"/>
              </w:rPr>
            </w:pPr>
          </w:p>
        </w:tc>
      </w:tr>
      <w:tr w:rsidR="002A3304" w:rsidRPr="00980BC4" w:rsidTr="009420B7">
        <w:trPr>
          <w:trHeight w:val="240"/>
        </w:trPr>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合计</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11,117,199</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61,000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11,056,199</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w:t>
            </w:r>
          </w:p>
        </w:tc>
      </w:tr>
    </w:tbl>
    <w:p w:rsidR="002A3304" w:rsidRPr="00980BC4" w:rsidRDefault="00DF4EBF" w:rsidP="003B6A7A">
      <w:pPr>
        <w:pStyle w:val="a3"/>
        <w:spacing w:before="0" w:beforeAutospacing="0" w:after="0" w:afterAutospacing="0" w:line="560" w:lineRule="exact"/>
        <w:ind w:firstLine="561"/>
        <w:rPr>
          <w:rFonts w:ascii="仿宋" w:eastAsia="仿宋" w:hAnsi="仿宋"/>
          <w:b/>
          <w:sz w:val="28"/>
          <w:szCs w:val="28"/>
        </w:rPr>
      </w:pPr>
      <w:r w:rsidRPr="00980BC4">
        <w:rPr>
          <w:rFonts w:ascii="仿宋" w:eastAsia="仿宋" w:hAnsi="仿宋"/>
          <w:b/>
          <w:sz w:val="28"/>
          <w:szCs w:val="28"/>
        </w:rPr>
        <w:t>报告期是否存在任期内董事、监事离任和高级管理人员解聘的情况</w:t>
      </w:r>
    </w:p>
    <w:p w:rsidR="002A3304" w:rsidRPr="00980BC4" w:rsidRDefault="00DF4EBF" w:rsidP="003B6A7A">
      <w:pPr>
        <w:pStyle w:val="a3"/>
        <w:spacing w:before="0" w:beforeAutospacing="0" w:after="0" w:afterAutospacing="0" w:line="560" w:lineRule="exact"/>
        <w:ind w:firstLine="561"/>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是 </w:t>
      </w:r>
      <w:r w:rsidR="009420B7" w:rsidRPr="00980BC4">
        <w:rPr>
          <w:rFonts w:ascii="仿宋" w:eastAsia="仿宋" w:hAnsi="仿宋" w:hint="eastAsia"/>
          <w:sz w:val="28"/>
          <w:szCs w:val="28"/>
        </w:rPr>
        <w:t xml:space="preserve"> </w:t>
      </w:r>
      <w:r w:rsidRPr="00980BC4">
        <w:rPr>
          <w:rFonts w:ascii="仿宋" w:eastAsia="仿宋" w:hAnsi="仿宋"/>
          <w:sz w:val="28"/>
          <w:szCs w:val="28"/>
        </w:rPr>
        <w:t>□否</w:t>
      </w:r>
    </w:p>
    <w:p w:rsidR="002A3304" w:rsidRPr="00980BC4" w:rsidRDefault="002A3304" w:rsidP="003B6A7A">
      <w:pPr>
        <w:pStyle w:val="a3"/>
        <w:spacing w:before="0" w:beforeAutospacing="0" w:after="0" w:afterAutospacing="0" w:line="560" w:lineRule="exact"/>
        <w:ind w:firstLine="561"/>
        <w:divId w:val="995458378"/>
        <w:rPr>
          <w:rFonts w:ascii="Times New Roman" w:hAnsi="Times New Roman" w:cs="Times New Roman"/>
          <w:sz w:val="18"/>
          <w:szCs w:val="18"/>
        </w:rPr>
      </w:pPr>
      <w:r w:rsidRPr="00980BC4">
        <w:rPr>
          <w:rFonts w:ascii="仿宋" w:eastAsia="仿宋" w:hAnsi="仿宋" w:cs="Times New Roman" w:hint="eastAsia"/>
          <w:sz w:val="28"/>
          <w:szCs w:val="28"/>
        </w:rPr>
        <w:t>报告期内，公司独立董事陈绍玲先生因个人原因向董事会提出辞去独立董事及董事会下设战略委员会委员、审计委员会委员及提名委员会主任委员职务，辞职后不再担任公司任何职务。</w:t>
      </w:r>
    </w:p>
    <w:p w:rsidR="002A3304" w:rsidRPr="00980BC4" w:rsidRDefault="00DF4EBF" w:rsidP="003B6A7A">
      <w:pPr>
        <w:pStyle w:val="a3"/>
        <w:spacing w:before="0" w:beforeAutospacing="0" w:after="0" w:afterAutospacing="0" w:line="560" w:lineRule="exact"/>
        <w:ind w:firstLine="561"/>
        <w:rPr>
          <w:rFonts w:ascii="仿宋" w:eastAsia="仿宋" w:hAnsi="仿宋"/>
          <w:b/>
          <w:sz w:val="28"/>
          <w:szCs w:val="28"/>
        </w:rPr>
      </w:pPr>
      <w:r w:rsidRPr="00980BC4">
        <w:rPr>
          <w:rFonts w:ascii="仿宋" w:eastAsia="仿宋" w:hAnsi="仿宋"/>
          <w:b/>
          <w:sz w:val="28"/>
          <w:szCs w:val="28"/>
        </w:rPr>
        <w:t>公司董事、监事、高级管理人员变动情况</w:t>
      </w:r>
    </w:p>
    <w:p w:rsidR="002A3304" w:rsidRPr="00980BC4" w:rsidRDefault="00DF4EBF" w:rsidP="003B6A7A">
      <w:pPr>
        <w:pStyle w:val="a3"/>
        <w:spacing w:before="0" w:beforeAutospacing="0" w:after="0" w:afterAutospacing="0" w:line="560" w:lineRule="exact"/>
        <w:ind w:firstLine="561"/>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适用 </w:t>
      </w:r>
      <w:r w:rsidR="009420B7" w:rsidRPr="00980BC4">
        <w:rPr>
          <w:rFonts w:ascii="仿宋" w:eastAsia="仿宋" w:hAnsi="仿宋" w:hint="eastAsia"/>
          <w:sz w:val="28"/>
          <w:szCs w:val="28"/>
        </w:rPr>
        <w:t xml:space="preserve"> </w:t>
      </w:r>
      <w:r w:rsidRPr="00980BC4">
        <w:rPr>
          <w:rFonts w:ascii="仿宋" w:eastAsia="仿宋" w:hAnsi="仿宋"/>
          <w:sz w:val="28"/>
          <w:szCs w:val="28"/>
        </w:rPr>
        <w:t>□不适用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2A3304" w:rsidRPr="00980BC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420B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原因</w:t>
            </w:r>
          </w:p>
        </w:tc>
      </w:tr>
      <w:tr w:rsidR="002A3304" w:rsidRPr="00980BC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2022年08月18日</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股东大会选举</w:t>
            </w:r>
          </w:p>
        </w:tc>
      </w:tr>
      <w:tr w:rsidR="002A3304" w:rsidRPr="00980BC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郝宏伟</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副总经理</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聘任</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2022年08月29日</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董事会聘任</w:t>
            </w:r>
          </w:p>
        </w:tc>
      </w:tr>
      <w:tr w:rsidR="002A3304" w:rsidRPr="00980BC4">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陈绍玲</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2022年07月28日</w:t>
            </w:r>
          </w:p>
        </w:tc>
        <w:tc>
          <w:tcPr>
            <w:tcW w:w="19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420B7">
            <w:pPr>
              <w:spacing w:line="280" w:lineRule="exact"/>
              <w:rPr>
                <w:rFonts w:ascii="宋体" w:eastAsia="宋体" w:hAnsi="宋体" w:cs="宋体"/>
                <w:sz w:val="18"/>
                <w:szCs w:val="18"/>
              </w:rPr>
            </w:pPr>
            <w:r w:rsidRPr="00980BC4">
              <w:rPr>
                <w:rFonts w:ascii="宋体" w:eastAsia="宋体" w:hAnsi="宋体" w:cs="宋体"/>
                <w:sz w:val="18"/>
                <w:szCs w:val="18"/>
              </w:rPr>
              <w:t>因个人原因辞职</w:t>
            </w:r>
          </w:p>
        </w:tc>
      </w:tr>
    </w:tbl>
    <w:p w:rsidR="002A3304" w:rsidRPr="00980BC4" w:rsidRDefault="00DF4EBF" w:rsidP="003B6A7A">
      <w:pPr>
        <w:pStyle w:val="a3"/>
        <w:spacing w:before="0" w:beforeAutospacing="0" w:after="0" w:afterAutospacing="0" w:line="560" w:lineRule="exact"/>
        <w:ind w:firstLine="561"/>
        <w:rPr>
          <w:rFonts w:ascii="仿宋" w:eastAsia="仿宋" w:hAnsi="仿宋"/>
          <w:b/>
          <w:sz w:val="28"/>
          <w:szCs w:val="28"/>
        </w:rPr>
      </w:pPr>
      <w:bookmarkStart w:id="60" w:name="_Toc988949"/>
      <w:r w:rsidRPr="00980BC4">
        <w:rPr>
          <w:rFonts w:ascii="仿宋" w:eastAsia="仿宋" w:hAnsi="仿宋"/>
          <w:b/>
          <w:sz w:val="28"/>
          <w:szCs w:val="28"/>
        </w:rPr>
        <w:t>2、任职情况</w:t>
      </w:r>
      <w:bookmarkEnd w:id="60"/>
    </w:p>
    <w:p w:rsidR="002A3304" w:rsidRPr="00980BC4" w:rsidRDefault="00DF4EBF" w:rsidP="003B6A7A">
      <w:pPr>
        <w:pStyle w:val="a3"/>
        <w:spacing w:before="0" w:beforeAutospacing="0" w:after="0" w:afterAutospacing="0" w:line="560" w:lineRule="exact"/>
        <w:ind w:firstLine="561"/>
        <w:rPr>
          <w:rFonts w:ascii="仿宋" w:eastAsia="仿宋" w:hAnsi="仿宋"/>
          <w:b/>
          <w:sz w:val="28"/>
          <w:szCs w:val="28"/>
        </w:rPr>
      </w:pPr>
      <w:r w:rsidRPr="00980BC4">
        <w:rPr>
          <w:rFonts w:ascii="仿宋" w:eastAsia="仿宋" w:hAnsi="仿宋"/>
          <w:b/>
          <w:sz w:val="28"/>
          <w:szCs w:val="28"/>
        </w:rPr>
        <w:t>公司现任董事、监事、高级管理人员专业背景、主要工作经历以及目前在公司的主要职责</w:t>
      </w:r>
    </w:p>
    <w:p w:rsidR="002A3304" w:rsidRPr="00980BC4" w:rsidRDefault="002A3304" w:rsidP="003B6A7A">
      <w:pPr>
        <w:pStyle w:val="a3"/>
        <w:spacing w:before="0" w:beforeAutospacing="0" w:after="0" w:afterAutospacing="0" w:line="560" w:lineRule="exact"/>
        <w:ind w:firstLine="561"/>
        <w:divId w:val="60492038"/>
        <w:rPr>
          <w:rFonts w:ascii="Times New Roman" w:hAnsi="Times New Roman" w:cs="Times New Roman"/>
          <w:sz w:val="18"/>
          <w:szCs w:val="18"/>
        </w:rPr>
      </w:pPr>
      <w:r w:rsidRPr="00980BC4">
        <w:rPr>
          <w:rFonts w:ascii="仿宋" w:eastAsia="仿宋" w:hAnsi="仿宋" w:cs="Times New Roman" w:hint="eastAsia"/>
          <w:sz w:val="28"/>
          <w:szCs w:val="28"/>
        </w:rPr>
        <w:t>胡煜鐄，男，大学本科学历。曾任杭州德力西集团有限公司总裁，德力西集团有限公司战略管理中心总监、投资管理中心副总监，德力西集团有限公司执行副总裁，德力西集团有限公司首席运营官等职。现任德力西集团有</w:t>
      </w:r>
      <w:r w:rsidRPr="00980BC4">
        <w:rPr>
          <w:rFonts w:ascii="仿宋" w:eastAsia="仿宋" w:hAnsi="仿宋" w:cs="Times New Roman" w:hint="eastAsia"/>
          <w:sz w:val="28"/>
          <w:szCs w:val="28"/>
        </w:rPr>
        <w:lastRenderedPageBreak/>
        <w:t>限公司总裁，德力西集团有限公司运营管理中心总经理，广东甘化科工股份有限公司董事长，</w:t>
      </w:r>
      <w:r w:rsidR="00432E28" w:rsidRPr="00980BC4">
        <w:rPr>
          <w:rFonts w:ascii="仿宋" w:eastAsia="仿宋" w:hAnsi="仿宋" w:cs="Times New Roman"/>
          <w:sz w:val="28"/>
          <w:szCs w:val="28"/>
        </w:rPr>
        <w:t>德力西新能源科技股份有限公司</w:t>
      </w:r>
      <w:r w:rsidRPr="00980BC4">
        <w:rPr>
          <w:rFonts w:ascii="仿宋" w:eastAsia="仿宋" w:hAnsi="仿宋" w:cs="Times New Roman" w:hint="eastAsia"/>
          <w:sz w:val="28"/>
          <w:szCs w:val="28"/>
        </w:rPr>
        <w:t xml:space="preserve">董事。 </w:t>
      </w:r>
    </w:p>
    <w:p w:rsidR="002A3304" w:rsidRPr="00980BC4" w:rsidRDefault="002A3304" w:rsidP="003B6A7A">
      <w:pPr>
        <w:pStyle w:val="a3"/>
        <w:spacing w:before="0" w:beforeAutospacing="0" w:after="0" w:afterAutospacing="0" w:line="560" w:lineRule="exact"/>
        <w:ind w:firstLine="561"/>
        <w:divId w:val="60492038"/>
        <w:rPr>
          <w:rFonts w:ascii="Times New Roman" w:hAnsi="Times New Roman" w:cs="Times New Roman"/>
          <w:sz w:val="18"/>
          <w:szCs w:val="18"/>
        </w:rPr>
      </w:pPr>
      <w:r w:rsidRPr="00980BC4">
        <w:rPr>
          <w:rFonts w:ascii="仿宋" w:eastAsia="仿宋" w:hAnsi="仿宋" w:cs="Times New Roman" w:hint="eastAsia"/>
          <w:sz w:val="28"/>
          <w:szCs w:val="28"/>
        </w:rPr>
        <w:t>黄克，男，硕士研究生学历。曾任华欧国际证券有限责任公司高级经理，财通证券股份有限公司投资银行总部董事总经理，德力西集团有限公司董事局秘书、投资管理中心总经理，广东甘化科工股份有限公司董事长。现任广东甘化科工股份有限公司副董事长兼总经理。</w:t>
      </w:r>
    </w:p>
    <w:p w:rsidR="002A3304" w:rsidRPr="00980BC4" w:rsidRDefault="002A3304" w:rsidP="003B6A7A">
      <w:pPr>
        <w:pStyle w:val="a3"/>
        <w:spacing w:before="0" w:beforeAutospacing="0" w:after="0" w:afterAutospacing="0" w:line="560" w:lineRule="exact"/>
        <w:ind w:firstLine="561"/>
        <w:divId w:val="60492038"/>
        <w:rPr>
          <w:rFonts w:ascii="Times New Roman" w:hAnsi="Times New Roman" w:cs="Times New Roman"/>
          <w:sz w:val="18"/>
          <w:szCs w:val="18"/>
        </w:rPr>
      </w:pPr>
      <w:r w:rsidRPr="00980BC4">
        <w:rPr>
          <w:rFonts w:ascii="仿宋" w:eastAsia="仿宋" w:hAnsi="仿宋" w:cs="Times New Roman" w:hint="eastAsia"/>
          <w:sz w:val="28"/>
          <w:szCs w:val="28"/>
        </w:rPr>
        <w:t>冯骏，男，大学本科学历。曾任四川托普集团副总裁，四川省广电网络有限公司市场总监。现任广东甘化科工股份有限公司董事、副总经理，四川升华电源科技有限公司总经理。</w:t>
      </w:r>
    </w:p>
    <w:p w:rsidR="002A3304" w:rsidRPr="00980BC4" w:rsidRDefault="002A3304" w:rsidP="003B6A7A">
      <w:pPr>
        <w:pStyle w:val="a3"/>
        <w:spacing w:before="0" w:beforeAutospacing="0" w:after="0" w:afterAutospacing="0" w:line="560" w:lineRule="exact"/>
        <w:ind w:firstLine="561"/>
        <w:divId w:val="60492038"/>
        <w:rPr>
          <w:rFonts w:ascii="Times New Roman" w:hAnsi="Times New Roman" w:cs="Times New Roman"/>
          <w:sz w:val="18"/>
          <w:szCs w:val="18"/>
        </w:rPr>
      </w:pPr>
      <w:r w:rsidRPr="00980BC4">
        <w:rPr>
          <w:rFonts w:ascii="仿宋" w:eastAsia="仿宋" w:hAnsi="仿宋" w:cs="Times New Roman" w:hint="eastAsia"/>
          <w:sz w:val="28"/>
          <w:szCs w:val="28"/>
        </w:rPr>
        <w:t>吕凌，男，硕士研究生学历。曾任上海阳光七星文化发展有限公司法务总监，浙江日发控股集团有限公司总法律顾问。现任广东甘化科工股份有限公司董事，德力西集团有限公司法务中心总经理。</w:t>
      </w:r>
    </w:p>
    <w:p w:rsidR="001E6107" w:rsidRDefault="002A3304" w:rsidP="003B6A7A">
      <w:pPr>
        <w:pStyle w:val="a3"/>
        <w:spacing w:before="0" w:beforeAutospacing="0" w:after="0" w:afterAutospacing="0" w:line="560" w:lineRule="exact"/>
        <w:ind w:firstLine="561"/>
        <w:divId w:val="60492038"/>
        <w:rPr>
          <w:rFonts w:ascii="仿宋" w:eastAsia="仿宋" w:hAnsi="仿宋" w:cs="Times New Roman"/>
          <w:sz w:val="28"/>
          <w:szCs w:val="28"/>
        </w:rPr>
      </w:pPr>
      <w:r w:rsidRPr="00980BC4">
        <w:rPr>
          <w:rFonts w:ascii="仿宋" w:eastAsia="仿宋" w:hAnsi="仿宋" w:cs="Times New Roman" w:hint="eastAsia"/>
          <w:sz w:val="28"/>
          <w:szCs w:val="28"/>
        </w:rPr>
        <w:t>李爱文，男，硕士研究生学历，研究员。曾任中国航天科技集团公司六院计量测试研究所副所长，国家国防科工局军工项目审核中心经理。</w:t>
      </w:r>
      <w:r w:rsidR="001E6107" w:rsidRPr="001E6107">
        <w:rPr>
          <w:rFonts w:ascii="仿宋" w:eastAsia="仿宋" w:hAnsi="仿宋" w:cs="Times New Roman" w:hint="eastAsia"/>
          <w:sz w:val="28"/>
          <w:szCs w:val="28"/>
        </w:rPr>
        <w:t>现任新时代（西安）设计研究院有限公司军工项目咨询设计中心主任</w:t>
      </w:r>
      <w:r w:rsidR="001E6107">
        <w:rPr>
          <w:rFonts w:ascii="仿宋" w:eastAsia="仿宋" w:hAnsi="仿宋" w:cs="Times New Roman" w:hint="eastAsia"/>
          <w:sz w:val="28"/>
          <w:szCs w:val="28"/>
        </w:rPr>
        <w:t>，</w:t>
      </w:r>
      <w:r w:rsidR="001E6107" w:rsidRPr="001E6107">
        <w:rPr>
          <w:rFonts w:ascii="仿宋" w:eastAsia="仿宋" w:hAnsi="仿宋" w:cs="Times New Roman" w:hint="eastAsia"/>
          <w:sz w:val="28"/>
          <w:szCs w:val="28"/>
        </w:rPr>
        <w:t>北京文峰睿信科技有限公司总经理</w:t>
      </w:r>
      <w:r w:rsidR="001E6107">
        <w:rPr>
          <w:rFonts w:ascii="仿宋" w:eastAsia="仿宋" w:hAnsi="仿宋" w:cs="Times New Roman" w:hint="eastAsia"/>
          <w:sz w:val="28"/>
          <w:szCs w:val="28"/>
        </w:rPr>
        <w:t>，</w:t>
      </w:r>
      <w:r w:rsidR="001E6107" w:rsidRPr="001E6107">
        <w:rPr>
          <w:rFonts w:ascii="仿宋" w:eastAsia="仿宋" w:hAnsi="仿宋" w:cs="Times New Roman" w:hint="eastAsia"/>
          <w:sz w:val="28"/>
          <w:szCs w:val="28"/>
        </w:rPr>
        <w:t>广东甘化科工股份有限公司独立董事</w:t>
      </w:r>
      <w:r w:rsidR="001E6107">
        <w:rPr>
          <w:rFonts w:ascii="仿宋" w:eastAsia="仿宋" w:hAnsi="仿宋" w:cs="Times New Roman" w:hint="eastAsia"/>
          <w:sz w:val="28"/>
          <w:szCs w:val="28"/>
        </w:rPr>
        <w:t>。</w:t>
      </w:r>
    </w:p>
    <w:p w:rsidR="002A3304" w:rsidRPr="00980BC4" w:rsidRDefault="002A3304" w:rsidP="003B6A7A">
      <w:pPr>
        <w:pStyle w:val="a3"/>
        <w:spacing w:before="0" w:beforeAutospacing="0" w:after="0" w:afterAutospacing="0" w:line="560" w:lineRule="exact"/>
        <w:ind w:firstLine="561"/>
        <w:divId w:val="60492038"/>
        <w:rPr>
          <w:rFonts w:ascii="Times New Roman" w:hAnsi="Times New Roman" w:cs="Times New Roman"/>
          <w:sz w:val="18"/>
          <w:szCs w:val="18"/>
        </w:rPr>
      </w:pPr>
      <w:r w:rsidRPr="00980BC4">
        <w:rPr>
          <w:rFonts w:ascii="仿宋" w:eastAsia="仿宋" w:hAnsi="仿宋" w:cs="Times New Roman" w:hint="eastAsia"/>
          <w:sz w:val="28"/>
          <w:szCs w:val="28"/>
        </w:rPr>
        <w:t>廖义刚，男，博士研究生学历，会计学教授。现任江西财经大学会计学院教授，广东甘化科工股份有限公司、江西赣粤高速公路股份有限公司、江西新余国科科技股份有限公司、江西省盐业集团股份有限公司独立董事。</w:t>
      </w:r>
    </w:p>
    <w:p w:rsidR="002A3304" w:rsidRPr="00980BC4" w:rsidRDefault="002A3304" w:rsidP="003B6A7A">
      <w:pPr>
        <w:pStyle w:val="a3"/>
        <w:spacing w:before="0" w:beforeAutospacing="0" w:after="0" w:afterAutospacing="0" w:line="560" w:lineRule="exact"/>
        <w:ind w:firstLine="561"/>
        <w:jc w:val="both"/>
        <w:divId w:val="60492038"/>
        <w:rPr>
          <w:rFonts w:ascii="Times New Roman" w:hAnsi="Times New Roman" w:cs="Times New Roman"/>
          <w:sz w:val="18"/>
          <w:szCs w:val="18"/>
        </w:rPr>
      </w:pPr>
      <w:r w:rsidRPr="00980BC4">
        <w:rPr>
          <w:rFonts w:ascii="仿宋" w:eastAsia="仿宋" w:hAnsi="仿宋" w:cs="Times New Roman" w:hint="eastAsia"/>
          <w:sz w:val="28"/>
          <w:szCs w:val="28"/>
        </w:rPr>
        <w:t>钟刚，男，博士研究生学历。现任华东政法大学副教授，广东甘化科工股份有限公司、凤形股份有限公司、江苏天南电力股份有限公司独立董事，达坦企业管理咨询（上海）有限公司执行董事，华经</w:t>
      </w:r>
      <w:r w:rsidR="00974AB5">
        <w:rPr>
          <w:rFonts w:ascii="仿宋" w:eastAsia="仿宋" w:hAnsi="仿宋" w:cs="Times New Roman" w:hint="eastAsia"/>
          <w:sz w:val="28"/>
          <w:szCs w:val="28"/>
        </w:rPr>
        <w:t>智能信息（江苏</w:t>
      </w:r>
      <w:r w:rsidRPr="00980BC4">
        <w:rPr>
          <w:rFonts w:ascii="仿宋" w:eastAsia="仿宋" w:hAnsi="仿宋" w:cs="Times New Roman" w:hint="eastAsia"/>
          <w:sz w:val="28"/>
          <w:szCs w:val="28"/>
        </w:rPr>
        <w:t>）有限公司</w:t>
      </w:r>
      <w:r w:rsidR="00063F6C">
        <w:rPr>
          <w:rFonts w:ascii="仿宋" w:eastAsia="仿宋" w:hAnsi="仿宋" w:cs="Times New Roman" w:hint="eastAsia"/>
          <w:sz w:val="28"/>
          <w:szCs w:val="28"/>
        </w:rPr>
        <w:t>董事，</w:t>
      </w:r>
      <w:r w:rsidRPr="00980BC4">
        <w:rPr>
          <w:rFonts w:ascii="仿宋" w:eastAsia="仿宋" w:hAnsi="仿宋" w:cs="Times New Roman" w:hint="eastAsia"/>
          <w:sz w:val="28"/>
          <w:szCs w:val="28"/>
        </w:rPr>
        <w:t>上海颐怡健康管理有限公司、江西颐怡大健康发展有限公司监事，上海博和汉商律师事务所兼职律师。</w:t>
      </w:r>
    </w:p>
    <w:p w:rsidR="003B6A7A" w:rsidRPr="00980BC4" w:rsidRDefault="002A3304" w:rsidP="003B6A7A">
      <w:pPr>
        <w:pStyle w:val="a3"/>
        <w:spacing w:before="0" w:beforeAutospacing="0" w:after="0" w:afterAutospacing="0" w:line="560" w:lineRule="exact"/>
        <w:ind w:firstLine="561"/>
        <w:divId w:val="60492038"/>
        <w:rPr>
          <w:rFonts w:ascii="Times New Roman" w:hAnsi="Times New Roman" w:cs="Times New Roman"/>
          <w:sz w:val="18"/>
          <w:szCs w:val="18"/>
        </w:rPr>
      </w:pPr>
      <w:r w:rsidRPr="00980BC4">
        <w:rPr>
          <w:rFonts w:ascii="仿宋" w:eastAsia="仿宋" w:hAnsi="仿宋" w:cs="Times New Roman" w:hint="eastAsia"/>
          <w:sz w:val="28"/>
          <w:szCs w:val="28"/>
        </w:rPr>
        <w:lastRenderedPageBreak/>
        <w:t xml:space="preserve">邵林芳，男，大学本科学历，注册会计师、国际注册内部审计师、高级会计师。曾任浙江丰登化工股份有限公司主办会计，横店集团有限公司财务经理，德力西新疆交通运输集团股份有限公司监事会主席。现任德力西集团有限公司审计中心总经理，广东甘化科工股份有限公司监事会主席。 </w:t>
      </w:r>
    </w:p>
    <w:p w:rsidR="002A3304" w:rsidRPr="00980BC4" w:rsidRDefault="002A3304" w:rsidP="003B6A7A">
      <w:pPr>
        <w:pStyle w:val="a3"/>
        <w:spacing w:before="0" w:beforeAutospacing="0" w:after="0" w:afterAutospacing="0" w:line="560" w:lineRule="exact"/>
        <w:ind w:firstLine="561"/>
        <w:divId w:val="60492038"/>
        <w:rPr>
          <w:rFonts w:ascii="Times New Roman" w:hAnsi="Times New Roman" w:cs="Times New Roman"/>
          <w:sz w:val="18"/>
          <w:szCs w:val="18"/>
        </w:rPr>
      </w:pPr>
      <w:r w:rsidRPr="00980BC4">
        <w:rPr>
          <w:rFonts w:ascii="仿宋" w:eastAsia="仿宋" w:hAnsi="仿宋" w:cs="Times New Roman" w:hint="eastAsia"/>
          <w:sz w:val="28"/>
          <w:szCs w:val="28"/>
        </w:rPr>
        <w:t>包秀成，男，中专学历，经济师。曾任德力西集团母线桥架有限公司董事长，广东德力光电有限公司副总经理兼采购中心总监，广东甘化科工股份有限公司采购总监，广东江门生物技术开发中心有限公司总经理。现任广东德力光电有限公司执行董事兼总经理，广东甘化科工股份有限公司监事会监事。</w:t>
      </w:r>
    </w:p>
    <w:p w:rsidR="002A3304" w:rsidRPr="00980BC4" w:rsidRDefault="002A3304" w:rsidP="003B6A7A">
      <w:pPr>
        <w:pStyle w:val="a3"/>
        <w:spacing w:before="0" w:beforeAutospacing="0" w:after="0" w:afterAutospacing="0" w:line="560" w:lineRule="exact"/>
        <w:ind w:firstLine="561"/>
        <w:divId w:val="60492038"/>
        <w:rPr>
          <w:rFonts w:ascii="Times New Roman" w:hAnsi="Times New Roman" w:cs="Times New Roman"/>
          <w:sz w:val="18"/>
          <w:szCs w:val="18"/>
        </w:rPr>
      </w:pPr>
      <w:r w:rsidRPr="00980BC4">
        <w:rPr>
          <w:rFonts w:ascii="仿宋" w:eastAsia="仿宋" w:hAnsi="仿宋" w:cs="Times New Roman" w:hint="eastAsia"/>
          <w:sz w:val="28"/>
          <w:szCs w:val="28"/>
        </w:rPr>
        <w:t>沈峰，男，大学本科学历，经济师。曾任江门甘蔗化工厂（集团）股份有限公司企管部、总裁办职员，现任广东甘化科工股份有限公司监事、证券事务部主管。</w:t>
      </w:r>
    </w:p>
    <w:p w:rsidR="002A3304" w:rsidRPr="00980BC4" w:rsidRDefault="002A3304" w:rsidP="003B6A7A">
      <w:pPr>
        <w:pStyle w:val="a3"/>
        <w:spacing w:before="0" w:beforeAutospacing="0" w:after="0" w:afterAutospacing="0" w:line="560" w:lineRule="exact"/>
        <w:ind w:firstLine="561"/>
        <w:divId w:val="60492038"/>
        <w:rPr>
          <w:rFonts w:ascii="Times New Roman" w:hAnsi="Times New Roman" w:cs="Times New Roman"/>
          <w:sz w:val="18"/>
          <w:szCs w:val="18"/>
        </w:rPr>
      </w:pPr>
      <w:r w:rsidRPr="00980BC4">
        <w:rPr>
          <w:rFonts w:ascii="仿宋" w:eastAsia="仿宋" w:hAnsi="仿宋" w:cs="Times New Roman" w:hint="eastAsia"/>
          <w:sz w:val="28"/>
          <w:szCs w:val="28"/>
        </w:rPr>
        <w:t>李忠，男，硕士研究生学历，工程师、注册会计师。曾任佛山市集成金融集团有限公司资产管理总监，广东新容金投资管理有限公司执行董事，上海普丽盛包装股份有限公司独立董事，江门甘蔗化工厂（集团）股份有限公司投资总监。现任广东甘化科工股份有限公司副总经理。</w:t>
      </w:r>
    </w:p>
    <w:p w:rsidR="002A3304" w:rsidRPr="00980BC4" w:rsidRDefault="002A3304" w:rsidP="003B6A7A">
      <w:pPr>
        <w:pStyle w:val="a3"/>
        <w:spacing w:before="0" w:beforeAutospacing="0" w:after="0" w:afterAutospacing="0" w:line="560" w:lineRule="exact"/>
        <w:ind w:firstLine="561"/>
        <w:divId w:val="60492038"/>
        <w:rPr>
          <w:rFonts w:ascii="Times New Roman" w:hAnsi="Times New Roman" w:cs="Times New Roman"/>
          <w:sz w:val="18"/>
          <w:szCs w:val="18"/>
        </w:rPr>
      </w:pPr>
      <w:r w:rsidRPr="00980BC4">
        <w:rPr>
          <w:rFonts w:ascii="仿宋" w:eastAsia="仿宋" w:hAnsi="仿宋" w:cs="Times New Roman" w:hint="eastAsia"/>
          <w:sz w:val="28"/>
          <w:szCs w:val="28"/>
        </w:rPr>
        <w:t>郝宏伟，男，高中学历。曾任沈阳含能金属材料制造有限公司总经理，沈阳非晶金属材料制造有限公司总经理。现任广东甘化科工股份有限公司副总经理，沈阳含能金属材料制造有限公司、沈阳非晶金属材料制造有限公司副董事长，三明超越科技有限公司、福建将乐卓越金属材料有限公司执行董事兼总经理，辽宁君合高新科技合伙企业（有限合伙）执行事务合伙人。</w:t>
      </w:r>
    </w:p>
    <w:p w:rsidR="002A3304" w:rsidRPr="00980BC4" w:rsidRDefault="002A3304" w:rsidP="003B6A7A">
      <w:pPr>
        <w:pStyle w:val="a3"/>
        <w:spacing w:before="0" w:beforeAutospacing="0" w:after="0" w:afterAutospacing="0" w:line="560" w:lineRule="exact"/>
        <w:ind w:firstLine="561"/>
        <w:divId w:val="60492038"/>
        <w:rPr>
          <w:rFonts w:ascii="仿宋" w:eastAsia="仿宋" w:hAnsi="仿宋" w:cs="Times New Roman"/>
          <w:sz w:val="28"/>
          <w:szCs w:val="28"/>
        </w:rPr>
      </w:pPr>
      <w:r w:rsidRPr="00980BC4">
        <w:rPr>
          <w:rFonts w:ascii="仿宋" w:eastAsia="仿宋" w:hAnsi="仿宋" w:cs="Times New Roman" w:hint="eastAsia"/>
          <w:sz w:val="28"/>
          <w:szCs w:val="28"/>
        </w:rPr>
        <w:t>司景喆，男，硕士研究生学历。曾任国金证券研究所军工组研究员、机械军工组组长，江门甘蔗化工厂（集团）股份有限公司总裁助理</w:t>
      </w:r>
      <w:r w:rsidR="003B6A7A" w:rsidRPr="00980BC4">
        <w:rPr>
          <w:rFonts w:ascii="仿宋" w:eastAsia="仿宋" w:hAnsi="仿宋" w:cs="Times New Roman" w:hint="eastAsia"/>
          <w:sz w:val="28"/>
          <w:szCs w:val="28"/>
        </w:rPr>
        <w:t>，</w:t>
      </w:r>
      <w:r w:rsidRPr="00980BC4">
        <w:rPr>
          <w:rFonts w:ascii="仿宋" w:eastAsia="仿宋" w:hAnsi="仿宋" w:cs="Times New Roman" w:hint="eastAsia"/>
          <w:sz w:val="28"/>
          <w:szCs w:val="28"/>
        </w:rPr>
        <w:t>广东甘化科工股份有限公司投资总监、董事会秘书。</w:t>
      </w:r>
      <w:r w:rsidR="003B6A7A" w:rsidRPr="00980BC4">
        <w:rPr>
          <w:rFonts w:ascii="仿宋" w:eastAsia="仿宋" w:hAnsi="仿宋" w:cs="Times New Roman" w:hint="eastAsia"/>
          <w:sz w:val="28"/>
          <w:szCs w:val="28"/>
        </w:rPr>
        <w:t>2023年3月，因个人原因辞职。</w:t>
      </w:r>
    </w:p>
    <w:p w:rsidR="002A3304" w:rsidRPr="00980BC4" w:rsidRDefault="002A3304" w:rsidP="003B6A7A">
      <w:pPr>
        <w:pStyle w:val="a3"/>
        <w:spacing w:before="0" w:beforeAutospacing="0" w:after="0" w:afterAutospacing="0" w:line="560" w:lineRule="exact"/>
        <w:ind w:firstLine="561"/>
        <w:divId w:val="60492038"/>
        <w:rPr>
          <w:rFonts w:ascii="仿宋" w:eastAsia="仿宋" w:hAnsi="仿宋" w:cs="Times New Roman"/>
          <w:sz w:val="28"/>
          <w:szCs w:val="28"/>
        </w:rPr>
      </w:pPr>
      <w:r w:rsidRPr="00980BC4">
        <w:rPr>
          <w:rFonts w:ascii="仿宋" w:eastAsia="仿宋" w:hAnsi="仿宋" w:cs="Times New Roman" w:hint="eastAsia"/>
          <w:sz w:val="28"/>
          <w:szCs w:val="28"/>
        </w:rPr>
        <w:lastRenderedPageBreak/>
        <w:t>陈波，男，大学本科学历，注册会计师。曾任立信会计师事务所（特殊普通合伙）有限公司浙江分所项目经理，毕马威华振会计师事务所上海分所助理经理，财通证券股份有限公司投资银行部副总监，江门甘蔗化工厂（集团）股份有限公司财务副总监。现任广东甘化科工股份有限公司</w:t>
      </w:r>
      <w:r w:rsidR="003B6A7A" w:rsidRPr="00980BC4">
        <w:rPr>
          <w:rFonts w:ascii="仿宋" w:eastAsia="仿宋" w:hAnsi="仿宋" w:cs="Times New Roman" w:hint="eastAsia"/>
          <w:sz w:val="28"/>
          <w:szCs w:val="28"/>
        </w:rPr>
        <w:t>财务总监兼董事会秘书</w:t>
      </w:r>
      <w:r w:rsidR="00F06879" w:rsidRPr="00980BC4">
        <w:rPr>
          <w:rFonts w:ascii="仿宋" w:eastAsia="仿宋" w:hAnsi="仿宋" w:cs="Times New Roman" w:hint="eastAsia"/>
          <w:sz w:val="28"/>
          <w:szCs w:val="28"/>
        </w:rPr>
        <w:t>，</w:t>
      </w:r>
      <w:r w:rsidRPr="00980BC4">
        <w:rPr>
          <w:rFonts w:ascii="仿宋" w:eastAsia="仿宋" w:hAnsi="仿宋" w:cs="Times New Roman" w:hint="eastAsia"/>
          <w:sz w:val="28"/>
          <w:szCs w:val="28"/>
        </w:rPr>
        <w:t>四川升华电源科技有限公司财务总监。</w:t>
      </w:r>
    </w:p>
    <w:p w:rsidR="002A3304" w:rsidRPr="00980BC4" w:rsidRDefault="00DF4EBF" w:rsidP="003B6A7A">
      <w:pPr>
        <w:pStyle w:val="a3"/>
        <w:spacing w:before="0" w:beforeAutospacing="0" w:after="0" w:afterAutospacing="0" w:line="560" w:lineRule="exact"/>
        <w:ind w:firstLine="561"/>
        <w:rPr>
          <w:rFonts w:ascii="仿宋" w:eastAsia="仿宋" w:hAnsi="仿宋"/>
          <w:b/>
          <w:sz w:val="28"/>
          <w:szCs w:val="28"/>
        </w:rPr>
      </w:pPr>
      <w:r w:rsidRPr="00980BC4">
        <w:rPr>
          <w:rFonts w:ascii="仿宋" w:eastAsia="仿宋" w:hAnsi="仿宋"/>
          <w:b/>
          <w:sz w:val="28"/>
          <w:szCs w:val="28"/>
        </w:rPr>
        <w:t>在股东单位任职情况</w:t>
      </w:r>
    </w:p>
    <w:p w:rsidR="002A3304" w:rsidRPr="00980BC4" w:rsidRDefault="00DF4EBF" w:rsidP="003B6A7A">
      <w:pPr>
        <w:pStyle w:val="a3"/>
        <w:spacing w:before="0" w:beforeAutospacing="0" w:after="0" w:afterAutospacing="0" w:line="560" w:lineRule="exact"/>
        <w:ind w:firstLine="561"/>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适用 </w:t>
      </w:r>
      <w:r w:rsidR="003B6A7A" w:rsidRPr="00980BC4">
        <w:rPr>
          <w:rFonts w:ascii="仿宋" w:eastAsia="仿宋" w:hAnsi="仿宋" w:hint="eastAsia"/>
          <w:sz w:val="28"/>
          <w:szCs w:val="28"/>
        </w:rPr>
        <w:t xml:space="preserve"> </w:t>
      </w:r>
      <w:r w:rsidRPr="00980BC4">
        <w:rPr>
          <w:rFonts w:ascii="仿宋" w:eastAsia="仿宋" w:hAnsi="仿宋"/>
          <w:sz w:val="28"/>
          <w:szCs w:val="28"/>
        </w:rPr>
        <w:t>□不适用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242"/>
        <w:gridCol w:w="1970"/>
        <w:gridCol w:w="1606"/>
        <w:gridCol w:w="1607"/>
        <w:gridCol w:w="1607"/>
        <w:gridCol w:w="1607"/>
      </w:tblGrid>
      <w:tr w:rsidR="002A3304" w:rsidRPr="00980BC4" w:rsidTr="003B6A7A">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3B6A7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任职人员姓名</w:t>
            </w:r>
          </w:p>
        </w:tc>
        <w:tc>
          <w:tcPr>
            <w:tcW w:w="197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3B6A7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股东单位名称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3B6A7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在股东单位担任的职务</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3B6A7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任期起始日期</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3B6A7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任期终止日期</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3B6A7A">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在股东单位是否领取报酬津贴</w:t>
            </w:r>
          </w:p>
        </w:tc>
      </w:tr>
      <w:tr w:rsidR="002A3304" w:rsidRPr="00980BC4" w:rsidTr="003B6A7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胡煜鐄</w:t>
            </w:r>
          </w:p>
        </w:tc>
        <w:tc>
          <w:tcPr>
            <w:tcW w:w="197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运营管理中心总经理、总裁</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3B6A7A">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3B6A7A">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rsidTr="003B6A7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吕凌</w:t>
            </w:r>
          </w:p>
        </w:tc>
        <w:tc>
          <w:tcPr>
            <w:tcW w:w="197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法务中心总经理</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3B6A7A">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3B6A7A">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rsidTr="003B6A7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邵林芳</w:t>
            </w:r>
          </w:p>
        </w:tc>
        <w:tc>
          <w:tcPr>
            <w:tcW w:w="197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审计中心总经理</w:t>
            </w: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3B6A7A">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3B6A7A">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3B6A7A">
            <w:pPr>
              <w:spacing w:line="280" w:lineRule="exact"/>
              <w:rPr>
                <w:rFonts w:ascii="宋体" w:eastAsia="宋体" w:hAnsi="宋体" w:cs="宋体"/>
                <w:sz w:val="18"/>
                <w:szCs w:val="18"/>
              </w:rPr>
            </w:pPr>
            <w:r w:rsidRPr="00980BC4">
              <w:rPr>
                <w:rFonts w:ascii="宋体" w:eastAsia="宋体" w:hAnsi="宋体" w:cs="宋体"/>
                <w:sz w:val="18"/>
                <w:szCs w:val="18"/>
              </w:rPr>
              <w:t>是</w:t>
            </w:r>
          </w:p>
        </w:tc>
      </w:tr>
    </w:tbl>
    <w:p w:rsidR="002A3304" w:rsidRPr="00980BC4" w:rsidRDefault="00DF4EBF" w:rsidP="003B6A7A">
      <w:pPr>
        <w:pStyle w:val="a3"/>
        <w:spacing w:before="0" w:beforeAutospacing="0" w:after="0" w:afterAutospacing="0" w:line="560" w:lineRule="exact"/>
        <w:ind w:firstLine="561"/>
        <w:rPr>
          <w:rFonts w:ascii="仿宋" w:eastAsia="仿宋" w:hAnsi="仿宋"/>
          <w:b/>
          <w:sz w:val="28"/>
          <w:szCs w:val="28"/>
        </w:rPr>
      </w:pPr>
      <w:r w:rsidRPr="00980BC4">
        <w:rPr>
          <w:rFonts w:ascii="仿宋" w:eastAsia="仿宋" w:hAnsi="仿宋"/>
          <w:b/>
          <w:sz w:val="28"/>
          <w:szCs w:val="28"/>
        </w:rPr>
        <w:t>在其他单位任职情况</w:t>
      </w:r>
    </w:p>
    <w:p w:rsidR="002A3304" w:rsidRPr="00980BC4" w:rsidRDefault="00DF4EBF" w:rsidP="003B6A7A">
      <w:pPr>
        <w:pStyle w:val="a3"/>
        <w:spacing w:before="0" w:beforeAutospacing="0" w:after="0" w:afterAutospacing="0" w:line="560" w:lineRule="exact"/>
        <w:ind w:firstLine="561"/>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适用 </w:t>
      </w:r>
      <w:r w:rsidR="003B6A7A" w:rsidRPr="00980BC4">
        <w:rPr>
          <w:rFonts w:ascii="仿宋" w:eastAsia="仿宋" w:hAnsi="仿宋" w:hint="eastAsia"/>
          <w:sz w:val="28"/>
          <w:szCs w:val="28"/>
        </w:rPr>
        <w:t xml:space="preserve"> </w:t>
      </w:r>
      <w:r w:rsidRPr="00980BC4">
        <w:rPr>
          <w:rFonts w:ascii="仿宋" w:eastAsia="仿宋" w:hAnsi="仿宋"/>
          <w:sz w:val="28"/>
          <w:szCs w:val="28"/>
        </w:rPr>
        <w:t>□不适用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959"/>
        <w:gridCol w:w="2835"/>
        <w:gridCol w:w="1417"/>
        <w:gridCol w:w="1418"/>
        <w:gridCol w:w="1403"/>
        <w:gridCol w:w="1607"/>
      </w:tblGrid>
      <w:tr w:rsidR="002A3304"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任职人员姓名</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其他单位名称</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在其他单位担任的职务</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任期起始日期</w:t>
            </w:r>
          </w:p>
        </w:tc>
        <w:tc>
          <w:tcPr>
            <w:tcW w:w="140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任期终止日期</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在其他单位是否领取报酬津贴</w:t>
            </w:r>
          </w:p>
        </w:tc>
      </w:tr>
      <w:tr w:rsidR="002A3304"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2A3304"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胡煜鐄</w:t>
            </w:r>
          </w:p>
        </w:tc>
        <w:tc>
          <w:tcPr>
            <w:tcW w:w="2835" w:type="dxa"/>
            <w:tcBorders>
              <w:top w:val="single" w:sz="2" w:space="0" w:color="auto"/>
              <w:left w:val="single" w:sz="2" w:space="0" w:color="auto"/>
              <w:bottom w:val="single" w:sz="2" w:space="0" w:color="auto"/>
              <w:right w:val="single" w:sz="2" w:space="0" w:color="auto"/>
            </w:tcBorders>
            <w:vAlign w:val="center"/>
          </w:tcPr>
          <w:p w:rsidR="002A3304"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德力西新能源科技股份有限公司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A6377" w:rsidP="00983FE3">
            <w:pPr>
              <w:spacing w:line="280" w:lineRule="exact"/>
              <w:rPr>
                <w:rFonts w:ascii="宋体" w:eastAsia="宋体" w:hAnsi="宋体" w:cs="宋体"/>
                <w:sz w:val="18"/>
                <w:szCs w:val="18"/>
              </w:rPr>
            </w:pPr>
            <w:r w:rsidRPr="00980BC4">
              <w:rPr>
                <w:rFonts w:ascii="宋体" w:eastAsia="宋体" w:hAnsi="宋体" w:cs="宋体" w:hint="eastAsia"/>
                <w:sz w:val="18"/>
                <w:szCs w:val="18"/>
              </w:rPr>
              <w:t>董事</w:t>
            </w:r>
          </w:p>
        </w:tc>
        <w:tc>
          <w:tcPr>
            <w:tcW w:w="141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2A3304" w:rsidRPr="00980BC4" w:rsidRDefault="00DA6377" w:rsidP="00983FE3">
            <w:pPr>
              <w:spacing w:line="280" w:lineRule="exact"/>
              <w:rPr>
                <w:rFonts w:ascii="宋体" w:eastAsia="宋体" w:hAnsi="宋体" w:cs="宋体"/>
                <w:sz w:val="18"/>
                <w:szCs w:val="18"/>
              </w:rPr>
            </w:pPr>
            <w:r w:rsidRPr="00980BC4">
              <w:rPr>
                <w:rFonts w:ascii="宋体" w:eastAsia="宋体" w:hAnsi="宋体" w:cs="宋体" w:hint="eastAsia"/>
                <w:sz w:val="18"/>
                <w:szCs w:val="18"/>
              </w:rPr>
              <w:t>否</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DA6377">
            <w:pPr>
              <w:spacing w:line="280" w:lineRule="exact"/>
              <w:rPr>
                <w:rFonts w:ascii="宋体" w:eastAsia="宋体" w:hAnsi="宋体" w:cs="宋体"/>
                <w:sz w:val="18"/>
                <w:szCs w:val="18"/>
              </w:rPr>
            </w:pPr>
            <w:r w:rsidRPr="00980BC4">
              <w:rPr>
                <w:rFonts w:ascii="宋体" w:eastAsia="宋体" w:hAnsi="宋体" w:cs="宋体"/>
                <w:sz w:val="18"/>
                <w:szCs w:val="18"/>
              </w:rPr>
              <w:t>李爱文</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DA6377">
            <w:pPr>
              <w:spacing w:line="280" w:lineRule="exact"/>
              <w:rPr>
                <w:rFonts w:ascii="宋体" w:eastAsia="宋体" w:hAnsi="宋体" w:cs="宋体"/>
                <w:sz w:val="18"/>
                <w:szCs w:val="18"/>
              </w:rPr>
            </w:pPr>
            <w:r w:rsidRPr="00980BC4">
              <w:rPr>
                <w:rFonts w:ascii="宋体" w:eastAsia="宋体" w:hAnsi="宋体" w:cs="宋体"/>
                <w:sz w:val="18"/>
                <w:szCs w:val="18"/>
              </w:rPr>
              <w:t>新时代（西安）设计研究院有限公司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1E6107" w:rsidP="00DA6377">
            <w:pPr>
              <w:spacing w:line="280" w:lineRule="exact"/>
              <w:rPr>
                <w:rFonts w:ascii="宋体" w:eastAsia="宋体" w:hAnsi="宋体" w:cs="宋体"/>
                <w:sz w:val="18"/>
                <w:szCs w:val="18"/>
              </w:rPr>
            </w:pPr>
            <w:r w:rsidRPr="001E6107">
              <w:rPr>
                <w:rFonts w:ascii="宋体" w:eastAsia="宋体" w:hAnsi="宋体" w:cs="宋体" w:hint="eastAsia"/>
                <w:sz w:val="18"/>
                <w:szCs w:val="18"/>
              </w:rPr>
              <w:t>军工项目咨询设计中心主任</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DA6377">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DA6377">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DA6377">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李爱文</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北京文峰睿信科技有限公司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总经理</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廖义刚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江西财经大学</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会计学院教授</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廖义刚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江西赣粤高速公路股份有限公司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廖义刚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江西省盐业集团股份有限公司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廖义刚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江西新余国科科技股份有限公司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华东政法大学</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副教授</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凤形股份有限公司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江苏天南电力股份有限公司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达坦企业管理咨询（上海）有限公司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执行董事</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974AB5" w:rsidP="00983FE3">
            <w:pPr>
              <w:spacing w:line="280" w:lineRule="exact"/>
              <w:rPr>
                <w:rFonts w:ascii="宋体" w:eastAsia="宋体" w:hAnsi="宋体" w:cs="宋体"/>
                <w:sz w:val="18"/>
                <w:szCs w:val="18"/>
              </w:rPr>
            </w:pPr>
            <w:r w:rsidRPr="00974AB5">
              <w:rPr>
                <w:rFonts w:ascii="宋体" w:eastAsia="宋体" w:hAnsi="宋体" w:cs="宋体" w:hint="eastAsia"/>
                <w:sz w:val="18"/>
                <w:szCs w:val="18"/>
              </w:rPr>
              <w:t>华经智能信息（江苏）有限公司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063F6C" w:rsidP="00983FE3">
            <w:pPr>
              <w:spacing w:line="280" w:lineRule="exact"/>
              <w:rPr>
                <w:rFonts w:ascii="宋体" w:eastAsia="宋体" w:hAnsi="宋体" w:cs="宋体"/>
                <w:sz w:val="18"/>
                <w:szCs w:val="18"/>
              </w:rPr>
            </w:pPr>
            <w:r>
              <w:rPr>
                <w:rFonts w:ascii="宋体" w:eastAsia="宋体" w:hAnsi="宋体" w:cs="宋体" w:hint="eastAsia"/>
                <w:sz w:val="18"/>
                <w:szCs w:val="18"/>
              </w:rPr>
              <w:t>董事</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上海颐怡健康管理有限公司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监事</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江西颐怡大健康发展有限公司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监事</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上海博和汉商律师事务所</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兼职律师</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包秀成</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广东德力光电有限公司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执行董事兼总经理</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郝宏伟</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三明超越科技有限公司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董事兼总经理</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郝宏伟</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福建将乐卓越金属材料有限公司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董事兼总经理</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DA6377" w:rsidRPr="00980BC4" w:rsidTr="00974AB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郝宏伟</w:t>
            </w:r>
          </w:p>
        </w:tc>
        <w:tc>
          <w:tcPr>
            <w:tcW w:w="2835"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辽宁君合高新科技合伙企业（有</w:t>
            </w:r>
            <w:r w:rsidRPr="00980BC4">
              <w:rPr>
                <w:rFonts w:ascii="宋体" w:eastAsia="宋体" w:hAnsi="宋体" w:cs="宋体"/>
                <w:sz w:val="18"/>
                <w:szCs w:val="18"/>
              </w:rPr>
              <w:lastRenderedPageBreak/>
              <w:t>限合伙）</w:t>
            </w:r>
          </w:p>
        </w:tc>
        <w:tc>
          <w:tcPr>
            <w:tcW w:w="141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lastRenderedPageBreak/>
              <w:t>执行事务合伙</w:t>
            </w:r>
            <w:r w:rsidRPr="00980BC4">
              <w:rPr>
                <w:rFonts w:ascii="宋体" w:eastAsia="宋体" w:hAnsi="宋体" w:cs="宋体"/>
                <w:sz w:val="18"/>
                <w:szCs w:val="18"/>
              </w:rPr>
              <w:lastRenderedPageBreak/>
              <w:t>人</w:t>
            </w:r>
          </w:p>
        </w:tc>
        <w:tc>
          <w:tcPr>
            <w:tcW w:w="1418"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DA6377" w:rsidRPr="00980BC4" w:rsidRDefault="00DA6377"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bl>
    <w:p w:rsidR="002A3304" w:rsidRPr="00980BC4" w:rsidRDefault="00DF4EBF" w:rsidP="00983FE3">
      <w:pPr>
        <w:pStyle w:val="a3"/>
        <w:spacing w:before="0" w:beforeAutospacing="0" w:after="0" w:afterAutospacing="0" w:line="560" w:lineRule="exact"/>
        <w:ind w:firstLine="561"/>
        <w:rPr>
          <w:rFonts w:ascii="仿宋" w:eastAsia="仿宋" w:hAnsi="仿宋"/>
          <w:b/>
          <w:sz w:val="28"/>
          <w:szCs w:val="28"/>
        </w:rPr>
      </w:pPr>
      <w:r w:rsidRPr="00980BC4">
        <w:rPr>
          <w:rFonts w:ascii="仿宋" w:eastAsia="仿宋" w:hAnsi="仿宋"/>
          <w:b/>
          <w:sz w:val="28"/>
          <w:szCs w:val="28"/>
        </w:rPr>
        <w:lastRenderedPageBreak/>
        <w:t>公司现任及报告期内离任董事、监事和高级管理人员近三年证券监管机构处罚的情况</w:t>
      </w:r>
    </w:p>
    <w:p w:rsidR="002A3304" w:rsidRPr="00980BC4" w:rsidRDefault="00DF4EBF" w:rsidP="00983FE3">
      <w:pPr>
        <w:pStyle w:val="a3"/>
        <w:spacing w:before="0" w:beforeAutospacing="0" w:after="0" w:afterAutospacing="0" w:line="560" w:lineRule="exact"/>
        <w:ind w:firstLine="561"/>
        <w:rPr>
          <w:rFonts w:ascii="仿宋" w:eastAsia="仿宋" w:hAnsi="仿宋"/>
          <w:sz w:val="28"/>
          <w:szCs w:val="28"/>
        </w:rPr>
      </w:pPr>
      <w:r w:rsidRPr="00980BC4">
        <w:rPr>
          <w:rFonts w:ascii="仿宋" w:eastAsia="仿宋" w:hAnsi="仿宋"/>
          <w:sz w:val="28"/>
          <w:szCs w:val="28"/>
        </w:rPr>
        <w:t>□适用</w:t>
      </w:r>
      <w:r w:rsidR="00983FE3"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983FE3">
      <w:pPr>
        <w:pStyle w:val="a3"/>
        <w:spacing w:before="0" w:beforeAutospacing="0" w:after="0" w:afterAutospacing="0" w:line="560" w:lineRule="exact"/>
        <w:ind w:firstLine="561"/>
        <w:rPr>
          <w:rFonts w:ascii="仿宋" w:eastAsia="仿宋" w:hAnsi="仿宋"/>
          <w:b/>
          <w:sz w:val="28"/>
          <w:szCs w:val="28"/>
        </w:rPr>
      </w:pPr>
      <w:bookmarkStart w:id="61" w:name="_Toc988950"/>
      <w:r w:rsidRPr="00980BC4">
        <w:rPr>
          <w:rFonts w:ascii="仿宋" w:eastAsia="仿宋" w:hAnsi="仿宋"/>
          <w:b/>
          <w:sz w:val="28"/>
          <w:szCs w:val="28"/>
        </w:rPr>
        <w:t>3、董事、监事、高级管理人员报酬情况</w:t>
      </w:r>
      <w:bookmarkEnd w:id="61"/>
    </w:p>
    <w:p w:rsidR="002A3304" w:rsidRPr="00980BC4" w:rsidRDefault="00DF4EBF" w:rsidP="00983FE3">
      <w:pPr>
        <w:pStyle w:val="a3"/>
        <w:spacing w:before="0" w:beforeAutospacing="0" w:after="0" w:afterAutospacing="0" w:line="560" w:lineRule="exact"/>
        <w:ind w:firstLine="561"/>
        <w:rPr>
          <w:rFonts w:ascii="仿宋" w:eastAsia="仿宋" w:hAnsi="仿宋"/>
          <w:b/>
          <w:sz w:val="28"/>
          <w:szCs w:val="28"/>
        </w:rPr>
      </w:pPr>
      <w:r w:rsidRPr="00980BC4">
        <w:rPr>
          <w:rFonts w:ascii="仿宋" w:eastAsia="仿宋" w:hAnsi="仿宋"/>
          <w:b/>
          <w:sz w:val="28"/>
          <w:szCs w:val="28"/>
        </w:rPr>
        <w:t>董事、监事、高级管理人员报酬的决策程序、确定依据、实际支付情况</w:t>
      </w:r>
    </w:p>
    <w:p w:rsidR="002A3304" w:rsidRPr="00980BC4" w:rsidRDefault="002A3304" w:rsidP="00983FE3">
      <w:pPr>
        <w:pStyle w:val="a3"/>
        <w:spacing w:before="0" w:beforeAutospacing="0" w:after="0" w:afterAutospacing="0" w:line="560" w:lineRule="exact"/>
        <w:ind w:firstLine="560"/>
        <w:divId w:val="1155218742"/>
      </w:pPr>
      <w:r w:rsidRPr="00980BC4">
        <w:rPr>
          <w:rFonts w:ascii="仿宋" w:eastAsia="仿宋" w:hAnsi="仿宋" w:hint="eastAsia"/>
          <w:sz w:val="28"/>
          <w:szCs w:val="28"/>
        </w:rPr>
        <w:t>公司独立董事津贴由股东大会审议确定。</w:t>
      </w:r>
    </w:p>
    <w:p w:rsidR="002A3304" w:rsidRPr="00980BC4" w:rsidRDefault="002A3304" w:rsidP="00983FE3">
      <w:pPr>
        <w:pStyle w:val="a3"/>
        <w:spacing w:before="0" w:beforeAutospacing="0" w:after="0" w:afterAutospacing="0" w:line="560" w:lineRule="exact"/>
        <w:ind w:firstLine="561"/>
        <w:jc w:val="both"/>
        <w:divId w:val="1155218742"/>
      </w:pPr>
      <w:r w:rsidRPr="00980BC4">
        <w:rPr>
          <w:rFonts w:ascii="仿宋" w:eastAsia="仿宋" w:hAnsi="仿宋" w:hint="eastAsia"/>
          <w:sz w:val="28"/>
          <w:szCs w:val="28"/>
        </w:rPr>
        <w:t>公司根据高级管理人员所在岗位的主要职责及重要性，参照同行业标准及本地区薪酬状况，结合自身实际情况，由公司董事会薪酬与考核委员会负责制定、审查公司薪酬计划与方案，并依照公司高级管理人员绩效考评体系进行年度绩效考核，经董事会审议批准等程序后，确定其报酬。</w:t>
      </w:r>
    </w:p>
    <w:p w:rsidR="002A3304" w:rsidRPr="00980BC4" w:rsidRDefault="00DF4EBF" w:rsidP="00983FE3">
      <w:pPr>
        <w:pStyle w:val="a3"/>
        <w:spacing w:before="0" w:beforeAutospacing="0" w:after="0" w:afterAutospacing="0" w:line="560" w:lineRule="exact"/>
        <w:ind w:firstLine="561"/>
        <w:rPr>
          <w:rFonts w:ascii="仿宋" w:eastAsia="仿宋" w:hAnsi="仿宋"/>
          <w:b/>
          <w:color w:val="000000" w:themeColor="text1"/>
          <w:sz w:val="28"/>
          <w:szCs w:val="28"/>
        </w:rPr>
      </w:pPr>
      <w:r w:rsidRPr="00980BC4">
        <w:rPr>
          <w:rFonts w:ascii="仿宋" w:eastAsia="仿宋" w:hAnsi="仿宋"/>
          <w:b/>
          <w:color w:val="000000" w:themeColor="text1"/>
          <w:sz w:val="28"/>
          <w:szCs w:val="28"/>
        </w:rPr>
        <w:t>公司报告期内董事、监事和高级管理人员报酬情况</w:t>
      </w:r>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2275"/>
        <w:gridCol w:w="992"/>
        <w:gridCol w:w="864"/>
        <w:gridCol w:w="1377"/>
        <w:gridCol w:w="1377"/>
        <w:gridCol w:w="1377"/>
      </w:tblGrid>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姓名</w:t>
            </w:r>
          </w:p>
        </w:tc>
        <w:tc>
          <w:tcPr>
            <w:tcW w:w="227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职务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性别</w:t>
            </w:r>
          </w:p>
        </w:tc>
        <w:tc>
          <w:tcPr>
            <w:tcW w:w="86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年龄</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任职状态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从公司获得的税前报酬总额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是否在公司关联方获取报酬</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胡煜鐄</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董事长</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39</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黄克</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副董事长、总经理</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39</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120</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冯骏</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董事、副总经理</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50</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53.8</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吕凌</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董事</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46</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李爱文</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50</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8</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廖义刚</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46</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8</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45</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3</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邵林芳</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监事会主席</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52</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包秀成</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监事</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51</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沈峰</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监事</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42</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11.7</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李忠</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副总经理</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55</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60</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郝宏伟</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副总经理</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53</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56</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陈波</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财务总监</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33</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55</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司景喆</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董事会秘书</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33</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55.25</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陈绍玲</w:t>
            </w:r>
          </w:p>
        </w:tc>
        <w:tc>
          <w:tcPr>
            <w:tcW w:w="227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独立董事</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男</w:t>
            </w:r>
          </w:p>
        </w:tc>
        <w:tc>
          <w:tcPr>
            <w:tcW w:w="86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40</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rsidTr="00983FE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27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86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983FE3">
            <w:pPr>
              <w:spacing w:line="280" w:lineRule="exact"/>
              <w:jc w:val="right"/>
              <w:rPr>
                <w:rFonts w:ascii="宋体" w:eastAsia="宋体" w:hAnsi="宋体" w:cs="宋体"/>
                <w:sz w:val="18"/>
                <w:szCs w:val="18"/>
              </w:rPr>
            </w:pPr>
            <w:r w:rsidRPr="00980BC4">
              <w:rPr>
                <w:rFonts w:ascii="宋体" w:eastAsia="宋体" w:hAnsi="宋体" w:cs="宋体"/>
                <w:sz w:val="18"/>
                <w:szCs w:val="18"/>
              </w:rPr>
              <w:t>430.75</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983FE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r>
    </w:tbl>
    <w:p w:rsidR="002A3304" w:rsidRPr="00980BC4" w:rsidRDefault="00DF4EBF" w:rsidP="00824343">
      <w:pPr>
        <w:pStyle w:val="Chapter"/>
        <w:spacing w:before="0" w:after="0" w:line="560" w:lineRule="exact"/>
        <w:ind w:firstLineChars="200" w:firstLine="562"/>
        <w:outlineLvl w:val="1"/>
        <w:rPr>
          <w:bCs w:val="0"/>
          <w:sz w:val="28"/>
          <w:szCs w:val="28"/>
        </w:rPr>
      </w:pPr>
      <w:bookmarkStart w:id="62" w:name="_Toc988951"/>
      <w:r w:rsidRPr="00980BC4">
        <w:rPr>
          <w:bCs w:val="0"/>
          <w:sz w:val="28"/>
          <w:szCs w:val="28"/>
        </w:rPr>
        <w:t>六、报告期内董事履行职责的情况</w:t>
      </w:r>
      <w:bookmarkEnd w:id="62"/>
    </w:p>
    <w:p w:rsidR="002A3304" w:rsidRPr="00980BC4" w:rsidRDefault="00DF4EBF" w:rsidP="00824343">
      <w:pPr>
        <w:pStyle w:val="a3"/>
        <w:spacing w:before="0" w:beforeAutospacing="0" w:after="0" w:afterAutospacing="0" w:line="560" w:lineRule="exact"/>
        <w:ind w:firstLine="561"/>
        <w:rPr>
          <w:rFonts w:ascii="仿宋" w:eastAsia="仿宋" w:hAnsi="仿宋"/>
          <w:b/>
          <w:sz w:val="28"/>
          <w:szCs w:val="28"/>
        </w:rPr>
      </w:pPr>
      <w:bookmarkStart w:id="63" w:name="_Toc988952"/>
      <w:r w:rsidRPr="00980BC4">
        <w:rPr>
          <w:rFonts w:ascii="仿宋" w:eastAsia="仿宋" w:hAnsi="仿宋"/>
          <w:b/>
          <w:sz w:val="28"/>
          <w:szCs w:val="28"/>
        </w:rPr>
        <w:t>1、本报告期董事会情况</w:t>
      </w:r>
      <w:bookmarkEnd w:id="6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1385"/>
        <w:gridCol w:w="1417"/>
        <w:gridCol w:w="4428"/>
      </w:tblGrid>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会议届次</w:t>
            </w:r>
          </w:p>
        </w:tc>
        <w:tc>
          <w:tcPr>
            <w:tcW w:w="138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召开日期</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披露日期</w:t>
            </w:r>
          </w:p>
        </w:tc>
        <w:tc>
          <w:tcPr>
            <w:tcW w:w="442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会议决议</w:t>
            </w:r>
          </w:p>
        </w:tc>
      </w:tr>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lastRenderedPageBreak/>
              <w:t>第十届董事会第十一次会议</w:t>
            </w:r>
          </w:p>
        </w:tc>
        <w:tc>
          <w:tcPr>
            <w:tcW w:w="13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2022年01月28日</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2022年01月29日</w:t>
            </w:r>
          </w:p>
        </w:tc>
        <w:tc>
          <w:tcPr>
            <w:tcW w:w="44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会议认真审议并通过了关于向激励对象授予预留限制性股票的议案</w:t>
            </w:r>
          </w:p>
        </w:tc>
      </w:tr>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第十届董事会第十二次会议</w:t>
            </w:r>
          </w:p>
        </w:tc>
        <w:tc>
          <w:tcPr>
            <w:tcW w:w="13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2022年04月07日</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2022年04月09日</w:t>
            </w:r>
          </w:p>
        </w:tc>
        <w:tc>
          <w:tcPr>
            <w:tcW w:w="44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会议认真审议并通过了如下议案：1、2021年度董事会工作报告；2、2021年度报告及年度报告摘要；3、2021年度财务报告；4、2021年度利润分配预案；5、2021年度内部控制评价报告；6、关于考核发放公司高管人员2021年度薪酬的议案；7、2022年度经营计划；8、关于计提商誉减值准备的议案；9、关于2021年度证券投资情况专项说明的议案；10、关于修改《公司章程》的议案；11、关于修订公司部分管理制度的议案</w:t>
            </w:r>
          </w:p>
        </w:tc>
      </w:tr>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第十届董事会第十三次会议</w:t>
            </w:r>
          </w:p>
        </w:tc>
        <w:tc>
          <w:tcPr>
            <w:tcW w:w="13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2022年04月28日</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2022年04月30日</w:t>
            </w:r>
          </w:p>
        </w:tc>
        <w:tc>
          <w:tcPr>
            <w:tcW w:w="44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会议认真审议并通过了公司2022年第一季度报告</w:t>
            </w:r>
          </w:p>
        </w:tc>
      </w:tr>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第十届董事会第十四次会议</w:t>
            </w:r>
          </w:p>
        </w:tc>
        <w:tc>
          <w:tcPr>
            <w:tcW w:w="13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2022年05月11日</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2022年05月12日</w:t>
            </w:r>
          </w:p>
        </w:tc>
        <w:tc>
          <w:tcPr>
            <w:tcW w:w="44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会议认真审议并通过了关于停止开展食糖类业务的议案</w:t>
            </w:r>
          </w:p>
        </w:tc>
      </w:tr>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第十届董事会第十五次会议</w:t>
            </w:r>
          </w:p>
        </w:tc>
        <w:tc>
          <w:tcPr>
            <w:tcW w:w="13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2022年05月20日</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2022年05月21日</w:t>
            </w:r>
          </w:p>
        </w:tc>
        <w:tc>
          <w:tcPr>
            <w:tcW w:w="44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会议认真审议并通过了如下议案：1、关于公司2021年限制性股票激励计划首次授予第一个解除限售期解除限售条件成就的议案；2、关于回购注销公司2021年限制性股票激励计划部分首次授予限制性股票的议案</w:t>
            </w:r>
          </w:p>
        </w:tc>
      </w:tr>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第十届董事会第十六次会议</w:t>
            </w:r>
          </w:p>
        </w:tc>
        <w:tc>
          <w:tcPr>
            <w:tcW w:w="13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2022年06月01日</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2022年06月02日</w:t>
            </w:r>
          </w:p>
        </w:tc>
        <w:tc>
          <w:tcPr>
            <w:tcW w:w="44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会议认真审议并通过了关于召开公司2021年度股东大会的议案</w:t>
            </w:r>
          </w:p>
        </w:tc>
      </w:tr>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第十届董事会第十七次会议</w:t>
            </w:r>
          </w:p>
        </w:tc>
        <w:tc>
          <w:tcPr>
            <w:tcW w:w="13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2022年07月28日</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2022年07月30日</w:t>
            </w:r>
          </w:p>
        </w:tc>
        <w:tc>
          <w:tcPr>
            <w:tcW w:w="44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会议认真审议并通过了如下议案：1、关于补选公司独立董事的议案；2、关于对全资子公司增资的议案；3、关于修订公司部分管理制度的议案；4、关于召开公司2022年第一次临时股东大会的议案</w:t>
            </w:r>
          </w:p>
        </w:tc>
      </w:tr>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第十届董事会第十八次会议</w:t>
            </w:r>
          </w:p>
        </w:tc>
        <w:tc>
          <w:tcPr>
            <w:tcW w:w="13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2022年08月29日</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2022年08月31日</w:t>
            </w:r>
          </w:p>
        </w:tc>
        <w:tc>
          <w:tcPr>
            <w:tcW w:w="44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会议认真审议并通过了如下议案：1、公司2022年半年度报告及2022年半年度报告摘要；2、关于调整公司第十届董事会下设专门委员会成员的议案；3、关于聘任公司副总经理的议案</w:t>
            </w:r>
          </w:p>
        </w:tc>
      </w:tr>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第十届董事会第十九次会议</w:t>
            </w:r>
          </w:p>
        </w:tc>
        <w:tc>
          <w:tcPr>
            <w:tcW w:w="13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2022年10月27日</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2022年10月31日</w:t>
            </w:r>
          </w:p>
        </w:tc>
        <w:tc>
          <w:tcPr>
            <w:tcW w:w="44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会议认真审议并通过了公司2022年第三季度报告</w:t>
            </w:r>
          </w:p>
        </w:tc>
      </w:tr>
      <w:tr w:rsidR="002A3304" w:rsidRPr="00980BC4" w:rsidTr="0082434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第十届董事会第二十次会议</w:t>
            </w:r>
          </w:p>
        </w:tc>
        <w:tc>
          <w:tcPr>
            <w:tcW w:w="138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2022年12月30日</w:t>
            </w:r>
          </w:p>
        </w:tc>
        <w:tc>
          <w:tcPr>
            <w:tcW w:w="141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2022年12月31日</w:t>
            </w:r>
          </w:p>
        </w:tc>
        <w:tc>
          <w:tcPr>
            <w:tcW w:w="442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会议认真审议并通过了如下议案：1、关于拟变更会计师事务所的议案；2、关于回购注销公司2021年限制性股票激励计划部分授予限制性股票的议案；3、关于召开公司2023年第一次临时股东大会的议案</w:t>
            </w:r>
          </w:p>
        </w:tc>
      </w:tr>
    </w:tbl>
    <w:p w:rsidR="002A3304" w:rsidRPr="00980BC4" w:rsidRDefault="00DF4EBF" w:rsidP="00824343">
      <w:pPr>
        <w:pStyle w:val="a3"/>
        <w:spacing w:before="0" w:beforeAutospacing="0" w:after="0" w:afterAutospacing="0" w:line="560" w:lineRule="exact"/>
        <w:ind w:firstLine="561"/>
        <w:rPr>
          <w:rFonts w:ascii="仿宋" w:eastAsia="仿宋" w:hAnsi="仿宋"/>
          <w:b/>
          <w:sz w:val="28"/>
          <w:szCs w:val="28"/>
        </w:rPr>
      </w:pPr>
      <w:bookmarkStart w:id="64" w:name="_Toc988953"/>
      <w:r w:rsidRPr="00980BC4">
        <w:rPr>
          <w:rFonts w:ascii="仿宋" w:eastAsia="仿宋" w:hAnsi="仿宋"/>
          <w:b/>
          <w:sz w:val="28"/>
          <w:szCs w:val="28"/>
        </w:rPr>
        <w:t>2、董事出席董事会及股东大会的情况</w:t>
      </w:r>
      <w:bookmarkEnd w:id="6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84"/>
        <w:gridCol w:w="1025"/>
        <w:gridCol w:w="1205"/>
        <w:gridCol w:w="1205"/>
        <w:gridCol w:w="1205"/>
        <w:gridCol w:w="1205"/>
        <w:gridCol w:w="1205"/>
        <w:gridCol w:w="1205"/>
      </w:tblGrid>
      <w:tr w:rsidR="002A3304" w:rsidRPr="00980BC4">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董事出席董事会及股东大会的情况</w:t>
            </w:r>
          </w:p>
        </w:tc>
      </w:tr>
      <w:tr w:rsidR="002A3304" w:rsidRPr="00980BC4" w:rsidTr="0091521B">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董事姓名</w:t>
            </w:r>
          </w:p>
        </w:tc>
        <w:tc>
          <w:tcPr>
            <w:tcW w:w="102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本报告期应参加董事会次数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现场出席董事会次数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以通讯方式参加董事会次数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委托出席董事会次数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是否连续两次未亲自参加董事会会议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82434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出席股东大会次数</w:t>
            </w:r>
          </w:p>
        </w:tc>
      </w:tr>
      <w:tr w:rsidR="002A3304" w:rsidRPr="00980BC4" w:rsidTr="0091521B">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胡煜鐄</w:t>
            </w:r>
          </w:p>
        </w:tc>
        <w:tc>
          <w:tcPr>
            <w:tcW w:w="10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r>
      <w:tr w:rsidR="002A3304" w:rsidRPr="00980BC4" w:rsidTr="0091521B">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黄克</w:t>
            </w:r>
          </w:p>
        </w:tc>
        <w:tc>
          <w:tcPr>
            <w:tcW w:w="10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r>
      <w:tr w:rsidR="002A3304" w:rsidRPr="00980BC4" w:rsidTr="0091521B">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冯骏</w:t>
            </w:r>
          </w:p>
        </w:tc>
        <w:tc>
          <w:tcPr>
            <w:tcW w:w="10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r>
      <w:tr w:rsidR="002A3304" w:rsidRPr="00980BC4" w:rsidTr="0091521B">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吕凌</w:t>
            </w:r>
          </w:p>
        </w:tc>
        <w:tc>
          <w:tcPr>
            <w:tcW w:w="10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3</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7</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r>
      <w:tr w:rsidR="002A3304" w:rsidRPr="00980BC4" w:rsidTr="0091521B">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李爱文</w:t>
            </w:r>
          </w:p>
        </w:tc>
        <w:tc>
          <w:tcPr>
            <w:tcW w:w="10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r>
      <w:tr w:rsidR="002A3304" w:rsidRPr="00980BC4" w:rsidTr="0091521B">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lastRenderedPageBreak/>
              <w:t>廖义刚</w:t>
            </w:r>
          </w:p>
        </w:tc>
        <w:tc>
          <w:tcPr>
            <w:tcW w:w="10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r>
      <w:tr w:rsidR="002A3304" w:rsidRPr="00980BC4" w:rsidTr="0091521B">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钟刚</w:t>
            </w:r>
          </w:p>
        </w:tc>
        <w:tc>
          <w:tcPr>
            <w:tcW w:w="10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3</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3</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w:t>
            </w:r>
          </w:p>
        </w:tc>
      </w:tr>
      <w:tr w:rsidR="002A3304" w:rsidRPr="00980BC4" w:rsidTr="0091521B">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陈绍玲（离任独立董事）</w:t>
            </w:r>
          </w:p>
        </w:tc>
        <w:tc>
          <w:tcPr>
            <w:tcW w:w="102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24343">
            <w:pPr>
              <w:spacing w:line="280" w:lineRule="exact"/>
              <w:jc w:val="right"/>
              <w:rPr>
                <w:rFonts w:ascii="宋体" w:eastAsia="宋体" w:hAnsi="宋体" w:cs="宋体"/>
                <w:sz w:val="18"/>
                <w:szCs w:val="18"/>
              </w:rPr>
            </w:pPr>
            <w:r w:rsidRPr="00980BC4">
              <w:rPr>
                <w:rFonts w:ascii="宋体" w:eastAsia="宋体" w:hAnsi="宋体" w:cs="宋体"/>
                <w:sz w:val="18"/>
                <w:szCs w:val="18"/>
              </w:rPr>
              <w:t>1</w:t>
            </w:r>
          </w:p>
        </w:tc>
      </w:tr>
    </w:tbl>
    <w:p w:rsidR="002A3304" w:rsidRPr="00980BC4" w:rsidRDefault="00DF4EBF" w:rsidP="00824343">
      <w:pPr>
        <w:pStyle w:val="a3"/>
        <w:spacing w:before="0" w:beforeAutospacing="0" w:after="0" w:afterAutospacing="0" w:line="560" w:lineRule="exact"/>
        <w:ind w:firstLine="561"/>
        <w:rPr>
          <w:rFonts w:ascii="仿宋" w:eastAsia="仿宋" w:hAnsi="仿宋"/>
          <w:b/>
          <w:sz w:val="28"/>
          <w:szCs w:val="28"/>
        </w:rPr>
      </w:pPr>
      <w:bookmarkStart w:id="65" w:name="_Toc988954"/>
      <w:r w:rsidRPr="00980BC4">
        <w:rPr>
          <w:rFonts w:ascii="仿宋" w:eastAsia="仿宋" w:hAnsi="仿宋"/>
          <w:b/>
          <w:sz w:val="28"/>
          <w:szCs w:val="28"/>
        </w:rPr>
        <w:t>3、董事对公司有关事项提出异议的情况</w:t>
      </w:r>
      <w:bookmarkEnd w:id="65"/>
    </w:p>
    <w:p w:rsidR="002A3304" w:rsidRPr="00980BC4" w:rsidRDefault="00DF4EBF" w:rsidP="00824343">
      <w:pPr>
        <w:pStyle w:val="a3"/>
        <w:spacing w:before="0" w:beforeAutospacing="0" w:after="0" w:afterAutospacing="0" w:line="560" w:lineRule="exact"/>
        <w:ind w:firstLine="561"/>
        <w:rPr>
          <w:rFonts w:ascii="仿宋" w:eastAsia="仿宋" w:hAnsi="仿宋"/>
          <w:b/>
          <w:sz w:val="28"/>
          <w:szCs w:val="28"/>
        </w:rPr>
      </w:pPr>
      <w:r w:rsidRPr="00980BC4">
        <w:rPr>
          <w:rFonts w:ascii="仿宋" w:eastAsia="仿宋" w:hAnsi="仿宋"/>
          <w:b/>
          <w:sz w:val="28"/>
          <w:szCs w:val="28"/>
        </w:rPr>
        <w:t>董事对公司有关事项是否提出异议</w:t>
      </w:r>
    </w:p>
    <w:p w:rsidR="002A3304" w:rsidRPr="00980BC4" w:rsidRDefault="00DF4EBF" w:rsidP="00824343">
      <w:pPr>
        <w:pStyle w:val="a3"/>
        <w:spacing w:before="0" w:beforeAutospacing="0" w:after="0" w:afterAutospacing="0" w:line="560" w:lineRule="exact"/>
        <w:ind w:firstLine="561"/>
        <w:rPr>
          <w:rFonts w:ascii="仿宋" w:eastAsia="仿宋" w:hAnsi="仿宋"/>
          <w:sz w:val="28"/>
          <w:szCs w:val="28"/>
        </w:rPr>
      </w:pPr>
      <w:r w:rsidRPr="00980BC4">
        <w:rPr>
          <w:rFonts w:ascii="仿宋" w:eastAsia="仿宋" w:hAnsi="仿宋"/>
          <w:sz w:val="28"/>
          <w:szCs w:val="28"/>
        </w:rPr>
        <w:t xml:space="preserve">□是 </w:t>
      </w:r>
      <w:r w:rsidR="00824343"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否</w:t>
      </w:r>
    </w:p>
    <w:p w:rsidR="002A3304" w:rsidRPr="00980BC4" w:rsidRDefault="00DF4EBF" w:rsidP="00824343">
      <w:pPr>
        <w:pStyle w:val="a3"/>
        <w:spacing w:before="0" w:beforeAutospacing="0" w:after="0" w:afterAutospacing="0" w:line="560" w:lineRule="exact"/>
        <w:ind w:firstLine="561"/>
        <w:rPr>
          <w:rFonts w:ascii="仿宋" w:eastAsia="仿宋" w:hAnsi="仿宋"/>
          <w:sz w:val="28"/>
          <w:szCs w:val="28"/>
        </w:rPr>
      </w:pPr>
      <w:r w:rsidRPr="00980BC4">
        <w:rPr>
          <w:rFonts w:ascii="仿宋" w:eastAsia="仿宋" w:hAnsi="仿宋"/>
          <w:sz w:val="28"/>
          <w:szCs w:val="28"/>
        </w:rPr>
        <w:t>报告期内董事对公司有关事项未提出异议。</w:t>
      </w:r>
    </w:p>
    <w:p w:rsidR="002A3304" w:rsidRPr="00980BC4" w:rsidRDefault="00DF4EBF" w:rsidP="00824343">
      <w:pPr>
        <w:pStyle w:val="a3"/>
        <w:spacing w:before="0" w:beforeAutospacing="0" w:after="0" w:afterAutospacing="0" w:line="560" w:lineRule="exact"/>
        <w:ind w:firstLine="561"/>
        <w:rPr>
          <w:rFonts w:ascii="仿宋" w:eastAsia="仿宋" w:hAnsi="仿宋"/>
          <w:b/>
          <w:sz w:val="28"/>
          <w:szCs w:val="28"/>
        </w:rPr>
      </w:pPr>
      <w:bookmarkStart w:id="66" w:name="_Toc988955"/>
      <w:r w:rsidRPr="00980BC4">
        <w:rPr>
          <w:rFonts w:ascii="仿宋" w:eastAsia="仿宋" w:hAnsi="仿宋"/>
          <w:b/>
          <w:sz w:val="28"/>
          <w:szCs w:val="28"/>
        </w:rPr>
        <w:t>4、董事履行职责的其他说明</w:t>
      </w:r>
      <w:bookmarkEnd w:id="66"/>
    </w:p>
    <w:p w:rsidR="002A3304" w:rsidRPr="00980BC4" w:rsidRDefault="00DF4EBF" w:rsidP="00824343">
      <w:pPr>
        <w:pStyle w:val="a3"/>
        <w:spacing w:before="0" w:beforeAutospacing="0" w:after="0" w:afterAutospacing="0" w:line="560" w:lineRule="exact"/>
        <w:ind w:firstLine="561"/>
        <w:rPr>
          <w:rFonts w:ascii="仿宋" w:eastAsia="仿宋" w:hAnsi="仿宋"/>
          <w:b/>
          <w:sz w:val="28"/>
          <w:szCs w:val="28"/>
        </w:rPr>
      </w:pPr>
      <w:r w:rsidRPr="00980BC4">
        <w:rPr>
          <w:rFonts w:ascii="仿宋" w:eastAsia="仿宋" w:hAnsi="仿宋"/>
          <w:b/>
          <w:sz w:val="28"/>
          <w:szCs w:val="28"/>
        </w:rPr>
        <w:t>董事对公司有关建议是否被采纳</w:t>
      </w:r>
    </w:p>
    <w:p w:rsidR="002A3304" w:rsidRPr="00980BC4" w:rsidRDefault="00DF4EBF" w:rsidP="00824343">
      <w:pPr>
        <w:pStyle w:val="a3"/>
        <w:spacing w:before="0" w:beforeAutospacing="0" w:after="0" w:afterAutospacing="0" w:line="560" w:lineRule="exact"/>
        <w:ind w:firstLine="561"/>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是</w:t>
      </w:r>
      <w:r w:rsidR="00824343" w:rsidRPr="00980BC4">
        <w:rPr>
          <w:rFonts w:ascii="仿宋" w:eastAsia="仿宋" w:hAnsi="仿宋" w:hint="eastAsia"/>
          <w:sz w:val="28"/>
          <w:szCs w:val="28"/>
        </w:rPr>
        <w:t xml:space="preserve"> </w:t>
      </w:r>
      <w:r w:rsidRPr="00980BC4">
        <w:rPr>
          <w:rFonts w:ascii="仿宋" w:eastAsia="仿宋" w:hAnsi="仿宋"/>
          <w:sz w:val="28"/>
          <w:szCs w:val="28"/>
        </w:rPr>
        <w:t xml:space="preserve"> □否</w:t>
      </w:r>
    </w:p>
    <w:p w:rsidR="002A3304" w:rsidRPr="00980BC4" w:rsidRDefault="00DF4EBF" w:rsidP="0091521B">
      <w:pPr>
        <w:pStyle w:val="a3"/>
        <w:spacing w:before="0" w:beforeAutospacing="0" w:after="0" w:afterAutospacing="0" w:line="560" w:lineRule="exact"/>
        <w:ind w:firstLine="561"/>
        <w:rPr>
          <w:rFonts w:ascii="仿宋" w:eastAsia="仿宋" w:hAnsi="仿宋"/>
          <w:b/>
          <w:sz w:val="28"/>
          <w:szCs w:val="28"/>
        </w:rPr>
      </w:pPr>
      <w:r w:rsidRPr="00980BC4">
        <w:rPr>
          <w:rFonts w:ascii="仿宋" w:eastAsia="仿宋" w:hAnsi="仿宋"/>
          <w:b/>
          <w:sz w:val="28"/>
          <w:szCs w:val="28"/>
        </w:rPr>
        <w:t>董事对公司有关建议被采纳或未被采纳的说明</w:t>
      </w:r>
    </w:p>
    <w:p w:rsidR="002A3304" w:rsidRPr="00980BC4" w:rsidRDefault="002A3304" w:rsidP="0091521B">
      <w:pPr>
        <w:pStyle w:val="a3"/>
        <w:spacing w:before="0" w:beforeAutospacing="0" w:after="0" w:afterAutospacing="0" w:line="560" w:lineRule="exact"/>
        <w:ind w:firstLine="560"/>
        <w:divId w:val="892892496"/>
        <w:rPr>
          <w:rFonts w:ascii="Times New Roman" w:hAnsi="Times New Roman" w:cs="Times New Roman"/>
          <w:sz w:val="18"/>
          <w:szCs w:val="18"/>
        </w:rPr>
      </w:pPr>
      <w:r w:rsidRPr="00980BC4">
        <w:rPr>
          <w:rFonts w:ascii="仿宋" w:eastAsia="仿宋" w:hAnsi="仿宋" w:cs="Times New Roman" w:hint="eastAsia"/>
          <w:sz w:val="28"/>
          <w:szCs w:val="28"/>
        </w:rPr>
        <w:t>报告期内，公司董事根据《公司法》《证券法》《深圳证券交易所股票上市规则》《公司章程》及《董事会议事规则》等法律法规和制度的规定，勤勉尽责地履行职责和义务，积极出席董事会会议和股东大会会议，对公司的制度完善和日常经营决策等方面提出了宝贵的专业性意见，有效提高了公司规范运作和科学决策水平。独立董事履行职责时能公正、客观、独立地做出判断，不受公司主要股东、实际控制人等的影响。公司独立董事对公司内部控制评价报告、控股股东及其关联方占用公司资金、对外担保、利润分配预案、证券投资、公司董事高管薪酬、变更财务审计及内控审计机构、补选独立董事、聘任高级管理人员、股权激励等重大事项出具了独立意见，切实维护了公司及全体股东的利益。</w:t>
      </w:r>
    </w:p>
    <w:p w:rsidR="002A3304" w:rsidRPr="00980BC4" w:rsidRDefault="00DF4EBF" w:rsidP="0091521B">
      <w:pPr>
        <w:pStyle w:val="Chapter"/>
        <w:spacing w:before="0" w:after="0" w:line="560" w:lineRule="exact"/>
        <w:ind w:firstLineChars="200" w:firstLine="562"/>
        <w:outlineLvl w:val="1"/>
        <w:rPr>
          <w:bCs w:val="0"/>
          <w:sz w:val="28"/>
          <w:szCs w:val="28"/>
        </w:rPr>
      </w:pPr>
      <w:bookmarkStart w:id="67" w:name="_Toc988956"/>
      <w:r w:rsidRPr="00980BC4">
        <w:rPr>
          <w:bCs w:val="0"/>
          <w:sz w:val="28"/>
          <w:szCs w:val="28"/>
        </w:rPr>
        <w:t>七、董事会下设专门委员会在报告期内的情况</w:t>
      </w:r>
      <w:bookmarkEnd w:id="67"/>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204"/>
        <w:gridCol w:w="1205"/>
        <w:gridCol w:w="818"/>
        <w:gridCol w:w="1134"/>
        <w:gridCol w:w="1663"/>
        <w:gridCol w:w="1205"/>
        <w:gridCol w:w="1205"/>
        <w:gridCol w:w="1205"/>
      </w:tblGrid>
      <w:tr w:rsidR="002A3304" w:rsidRPr="00980BC4" w:rsidTr="006048B2">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048B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委员会名称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048B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成员情况</w:t>
            </w:r>
          </w:p>
        </w:tc>
        <w:tc>
          <w:tcPr>
            <w:tcW w:w="81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048B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召开会议次数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048B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召开日期</w:t>
            </w:r>
          </w:p>
        </w:tc>
        <w:tc>
          <w:tcPr>
            <w:tcW w:w="166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048B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会议内容</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048B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提出的重要意见和建议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048B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其他履行职责的情况</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6048B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异议事项具体情况（如有）</w:t>
            </w:r>
          </w:p>
        </w:tc>
      </w:tr>
      <w:tr w:rsidR="002A3304" w:rsidRPr="00980BC4" w:rsidTr="006048B2">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薪酬与考核委员会</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李爱文、黄克、廖义刚</w:t>
            </w:r>
          </w:p>
        </w:tc>
        <w:tc>
          <w:tcPr>
            <w:tcW w:w="8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2022年04月07日</w:t>
            </w:r>
          </w:p>
        </w:tc>
        <w:tc>
          <w:tcPr>
            <w:tcW w:w="166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审议以下议案：1、关于考核发放公司高管人员2021年度薪酬的</w:t>
            </w:r>
            <w:r w:rsidRPr="00980BC4">
              <w:rPr>
                <w:rFonts w:ascii="宋体" w:eastAsia="宋体" w:hAnsi="宋体" w:cs="宋体"/>
                <w:sz w:val="18"/>
                <w:szCs w:val="18"/>
              </w:rPr>
              <w:lastRenderedPageBreak/>
              <w:t>议案；2、关于制定2022年度经营管理目标及考核方法的议案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lastRenderedPageBreak/>
              <w:t>一致同意通过了上述议案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r>
      <w:tr w:rsidR="002A3304" w:rsidRPr="00980BC4" w:rsidTr="006048B2">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lastRenderedPageBreak/>
              <w:t>薪酬与考核委员会</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李爱文、黄克、廖义刚</w:t>
            </w:r>
          </w:p>
        </w:tc>
        <w:tc>
          <w:tcPr>
            <w:tcW w:w="8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2022年05月20日</w:t>
            </w:r>
          </w:p>
        </w:tc>
        <w:tc>
          <w:tcPr>
            <w:tcW w:w="166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审议公司2021年限制性股票首次授予激励对象第一个解除限售期绩效考核结果的议案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一致同意通过了该议案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r>
      <w:tr w:rsidR="002A3304" w:rsidRPr="00980BC4" w:rsidTr="006048B2">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提名委员会</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李爱文、黄克</w:t>
            </w:r>
          </w:p>
        </w:tc>
        <w:tc>
          <w:tcPr>
            <w:tcW w:w="8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2022年07月28日</w:t>
            </w:r>
          </w:p>
        </w:tc>
        <w:tc>
          <w:tcPr>
            <w:tcW w:w="166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审议关于提名钟刚为公司独立董事候选人的议案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一致同意通过了该议案，建议提名钟刚先生为公司第十届董事会独立董事候选人，经董事会审议通过后，提交股东大会选举</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r>
      <w:tr w:rsidR="002A3304" w:rsidRPr="00980BC4" w:rsidTr="006048B2">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提名委员会</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李爱文、黄克</w:t>
            </w:r>
          </w:p>
        </w:tc>
        <w:tc>
          <w:tcPr>
            <w:tcW w:w="8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2022年08月29日</w:t>
            </w:r>
          </w:p>
        </w:tc>
        <w:tc>
          <w:tcPr>
            <w:tcW w:w="166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审议关于提名郝宏伟为公司副总经理候任人的议案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一致同意通过了该议案，建议提名郝宏伟先生为公司副总经理候任人，任期自公司董事会审议通过之日起至第十届董事会任期届满之日止</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r>
      <w:tr w:rsidR="002A3304" w:rsidRPr="00980BC4" w:rsidTr="006048B2">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审计委员会</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廖义刚、陈绍玲、吕凌</w:t>
            </w:r>
          </w:p>
        </w:tc>
        <w:tc>
          <w:tcPr>
            <w:tcW w:w="8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2022年04月07日</w:t>
            </w:r>
          </w:p>
        </w:tc>
        <w:tc>
          <w:tcPr>
            <w:tcW w:w="166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审议以下议案：1、公司《2021年度财务报告》；2、关于容诚会计师事务所（特殊普通合伙）从事公司2021年度审计工作的总结</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一致同意通过了上述议案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r>
      <w:tr w:rsidR="002A3304" w:rsidRPr="00980BC4" w:rsidTr="006048B2">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审计委员会</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廖义刚、陈绍玲、吕凌</w:t>
            </w:r>
          </w:p>
        </w:tc>
        <w:tc>
          <w:tcPr>
            <w:tcW w:w="8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2022年04月28日</w:t>
            </w:r>
          </w:p>
        </w:tc>
        <w:tc>
          <w:tcPr>
            <w:tcW w:w="166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听取了公司审计部关于2022年第一季度工作总结与第二季度工作计划的汇报</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要求审计部对于审计过程中发现的问题监督整改，持续跟踪反馈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r>
      <w:tr w:rsidR="002A3304" w:rsidRPr="00980BC4" w:rsidTr="006048B2">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审计委员会</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廖义刚、吕凌</w:t>
            </w:r>
          </w:p>
        </w:tc>
        <w:tc>
          <w:tcPr>
            <w:tcW w:w="8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jc w:val="right"/>
              <w:rPr>
                <w:rFonts w:ascii="宋体" w:eastAsia="宋体" w:hAnsi="宋体" w:cs="宋体"/>
                <w:sz w:val="18"/>
                <w:szCs w:val="18"/>
              </w:rPr>
            </w:pPr>
            <w:r w:rsidRPr="00980BC4">
              <w:rPr>
                <w:rFonts w:ascii="宋体" w:eastAsia="宋体" w:hAnsi="宋体" w:cs="宋体"/>
                <w:sz w:val="18"/>
                <w:szCs w:val="18"/>
              </w:rPr>
              <w:t>1</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2022年08月25日</w:t>
            </w:r>
          </w:p>
        </w:tc>
        <w:tc>
          <w:tcPr>
            <w:tcW w:w="166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听取了公司风控审计部关于2022年</w:t>
            </w:r>
            <w:r w:rsidRPr="00980BC4">
              <w:rPr>
                <w:rFonts w:ascii="宋体" w:eastAsia="宋体" w:hAnsi="宋体" w:cs="宋体"/>
                <w:sz w:val="18"/>
                <w:szCs w:val="18"/>
              </w:rPr>
              <w:lastRenderedPageBreak/>
              <w:t>第二季度工作总结与第三季度工作计划的汇报</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lastRenderedPageBreak/>
              <w:t>要求审计部对于审计过</w:t>
            </w:r>
            <w:r w:rsidRPr="00980BC4">
              <w:rPr>
                <w:rFonts w:ascii="宋体" w:eastAsia="宋体" w:hAnsi="宋体" w:cs="宋体"/>
                <w:sz w:val="18"/>
                <w:szCs w:val="18"/>
              </w:rPr>
              <w:lastRenderedPageBreak/>
              <w:t>程中发现的问题监督整改，持续跟踪反馈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r>
      <w:tr w:rsidR="002A3304" w:rsidRPr="00980BC4" w:rsidTr="006048B2">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lastRenderedPageBreak/>
              <w:t>审计委员会</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廖义刚、钟刚、吕凌</w:t>
            </w:r>
          </w:p>
        </w:tc>
        <w:tc>
          <w:tcPr>
            <w:tcW w:w="8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2022年10月27日</w:t>
            </w:r>
          </w:p>
        </w:tc>
        <w:tc>
          <w:tcPr>
            <w:tcW w:w="166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听取了公司审计部关于2022年第三季度工作总结与第四季度工作计划的汇报</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要求审计部对于审计过程中发现的问题监督整改，持续跟踪反馈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r>
      <w:tr w:rsidR="002A3304" w:rsidRPr="00980BC4" w:rsidTr="006048B2">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审计委员会</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廖义刚、钟刚、吕凌</w:t>
            </w:r>
          </w:p>
        </w:tc>
        <w:tc>
          <w:tcPr>
            <w:tcW w:w="818"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jc w:val="right"/>
              <w:rPr>
                <w:rFonts w:ascii="宋体" w:eastAsia="宋体" w:hAnsi="宋体" w:cs="宋体"/>
                <w:sz w:val="18"/>
                <w:szCs w:val="18"/>
              </w:rPr>
            </w:pPr>
            <w:r w:rsidRPr="00980BC4">
              <w:rPr>
                <w:rFonts w:ascii="宋体" w:eastAsia="宋体" w:hAnsi="宋体" w:cs="宋体"/>
                <w:sz w:val="18"/>
                <w:szCs w:val="18"/>
              </w:rPr>
              <w:t>2</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2022年12月27日</w:t>
            </w:r>
          </w:p>
        </w:tc>
        <w:tc>
          <w:tcPr>
            <w:tcW w:w="166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审议关于向董事会提议变更广东司农会计师事务所（特殊普通合伙）为公司2022年度审计机构的议案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6048B2">
            <w:pPr>
              <w:spacing w:line="280" w:lineRule="exact"/>
              <w:rPr>
                <w:rFonts w:ascii="宋体" w:eastAsia="宋体" w:hAnsi="宋体" w:cs="宋体"/>
                <w:sz w:val="18"/>
                <w:szCs w:val="18"/>
              </w:rPr>
            </w:pPr>
            <w:r w:rsidRPr="00980BC4">
              <w:rPr>
                <w:rFonts w:ascii="宋体" w:eastAsia="宋体" w:hAnsi="宋体" w:cs="宋体"/>
                <w:sz w:val="18"/>
                <w:szCs w:val="18"/>
              </w:rPr>
              <w:t>一致同意通过了该议案</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6048B2">
            <w:pPr>
              <w:spacing w:line="280" w:lineRule="exact"/>
              <w:rPr>
                <w:rFonts w:ascii="宋体" w:eastAsia="宋体" w:hAnsi="宋体" w:cs="宋体"/>
                <w:sz w:val="18"/>
                <w:szCs w:val="18"/>
              </w:rPr>
            </w:pPr>
          </w:p>
        </w:tc>
      </w:tr>
    </w:tbl>
    <w:p w:rsidR="002A3304" w:rsidRPr="00980BC4" w:rsidRDefault="00DF4EBF" w:rsidP="00CF7B63">
      <w:pPr>
        <w:pStyle w:val="Chapter"/>
        <w:spacing w:before="0" w:after="0" w:line="560" w:lineRule="exact"/>
        <w:ind w:firstLineChars="200" w:firstLine="562"/>
        <w:outlineLvl w:val="1"/>
        <w:rPr>
          <w:bCs w:val="0"/>
          <w:sz w:val="28"/>
          <w:szCs w:val="28"/>
        </w:rPr>
      </w:pPr>
      <w:bookmarkStart w:id="68" w:name="_Toc988957"/>
      <w:r w:rsidRPr="00980BC4">
        <w:rPr>
          <w:bCs w:val="0"/>
          <w:sz w:val="28"/>
          <w:szCs w:val="28"/>
        </w:rPr>
        <w:t>八、监事会工作情况</w:t>
      </w:r>
      <w:bookmarkEnd w:id="68"/>
    </w:p>
    <w:p w:rsidR="002A3304" w:rsidRPr="00980BC4" w:rsidRDefault="00DF4EBF" w:rsidP="00CF7B63">
      <w:pPr>
        <w:pStyle w:val="a3"/>
        <w:spacing w:before="0" w:beforeAutospacing="0" w:after="0" w:afterAutospacing="0" w:line="560" w:lineRule="exact"/>
        <w:ind w:firstLine="560"/>
        <w:rPr>
          <w:rFonts w:ascii="仿宋" w:eastAsia="仿宋" w:hAnsi="仿宋" w:cs="Times New Roman"/>
          <w:b/>
          <w:sz w:val="28"/>
          <w:szCs w:val="28"/>
        </w:rPr>
      </w:pPr>
      <w:r w:rsidRPr="00980BC4">
        <w:rPr>
          <w:rFonts w:ascii="仿宋" w:eastAsia="仿宋" w:hAnsi="仿宋" w:cs="Times New Roman"/>
          <w:b/>
          <w:sz w:val="28"/>
          <w:szCs w:val="28"/>
        </w:rPr>
        <w:t>监事会在报告期内的监督活动中发现公司是否存在风险</w:t>
      </w:r>
    </w:p>
    <w:p w:rsidR="002A3304" w:rsidRPr="00980BC4" w:rsidRDefault="00DF4EBF" w:rsidP="00CF7B63">
      <w:pPr>
        <w:pStyle w:val="a3"/>
        <w:spacing w:before="0" w:beforeAutospacing="0" w:after="0" w:afterAutospacing="0" w:line="560" w:lineRule="exact"/>
        <w:ind w:firstLine="560"/>
        <w:rPr>
          <w:rFonts w:ascii="仿宋" w:eastAsia="仿宋" w:hAnsi="仿宋" w:cs="Times New Roman"/>
          <w:sz w:val="28"/>
          <w:szCs w:val="28"/>
        </w:rPr>
      </w:pPr>
      <w:r w:rsidRPr="00980BC4">
        <w:rPr>
          <w:rFonts w:ascii="仿宋" w:eastAsia="仿宋" w:hAnsi="仿宋" w:cs="Times New Roman"/>
          <w:sz w:val="28"/>
          <w:szCs w:val="28"/>
        </w:rPr>
        <w:t xml:space="preserve">□是 </w:t>
      </w:r>
      <w:r w:rsidR="00CF7B6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否</w:t>
      </w:r>
    </w:p>
    <w:p w:rsidR="002A3304" w:rsidRPr="00980BC4" w:rsidRDefault="00DF4EBF" w:rsidP="00CF7B63">
      <w:pPr>
        <w:pStyle w:val="a3"/>
        <w:spacing w:before="0" w:beforeAutospacing="0" w:after="0" w:afterAutospacing="0" w:line="560" w:lineRule="exact"/>
        <w:ind w:firstLine="560"/>
        <w:rPr>
          <w:rFonts w:ascii="仿宋" w:eastAsia="仿宋" w:hAnsi="仿宋" w:cs="Times New Roman"/>
          <w:sz w:val="28"/>
          <w:szCs w:val="28"/>
        </w:rPr>
      </w:pPr>
      <w:r w:rsidRPr="00980BC4">
        <w:rPr>
          <w:rFonts w:ascii="仿宋" w:eastAsia="仿宋" w:hAnsi="仿宋" w:cs="Times New Roman"/>
          <w:sz w:val="28"/>
          <w:szCs w:val="28"/>
        </w:rPr>
        <w:t>监事会对报告期内的监督事项无异议。</w:t>
      </w:r>
    </w:p>
    <w:p w:rsidR="002A3304" w:rsidRPr="00980BC4" w:rsidRDefault="00DF4EBF" w:rsidP="00CF7B63">
      <w:pPr>
        <w:pStyle w:val="Chapter"/>
        <w:spacing w:before="0" w:after="0" w:line="560" w:lineRule="exact"/>
        <w:ind w:firstLineChars="200" w:firstLine="562"/>
        <w:outlineLvl w:val="1"/>
        <w:rPr>
          <w:bCs w:val="0"/>
          <w:sz w:val="28"/>
          <w:szCs w:val="28"/>
        </w:rPr>
      </w:pPr>
      <w:bookmarkStart w:id="69" w:name="_Toc988958"/>
      <w:r w:rsidRPr="00980BC4">
        <w:rPr>
          <w:bCs w:val="0"/>
          <w:sz w:val="28"/>
          <w:szCs w:val="28"/>
        </w:rPr>
        <w:t>九、公司员工情况</w:t>
      </w:r>
      <w:bookmarkEnd w:id="69"/>
    </w:p>
    <w:p w:rsidR="002A3304" w:rsidRPr="00980BC4" w:rsidRDefault="00DF4EBF" w:rsidP="00CF7B63">
      <w:pPr>
        <w:pStyle w:val="a3"/>
        <w:spacing w:before="0" w:beforeAutospacing="0" w:after="0" w:afterAutospacing="0" w:line="560" w:lineRule="exact"/>
        <w:ind w:firstLine="560"/>
        <w:rPr>
          <w:rFonts w:ascii="仿宋" w:eastAsia="仿宋" w:hAnsi="仿宋" w:cs="Times New Roman"/>
          <w:b/>
          <w:sz w:val="28"/>
          <w:szCs w:val="28"/>
        </w:rPr>
      </w:pPr>
      <w:bookmarkStart w:id="70" w:name="_Toc988959"/>
      <w:r w:rsidRPr="00980BC4">
        <w:rPr>
          <w:rFonts w:ascii="仿宋" w:eastAsia="仿宋" w:hAnsi="仿宋" w:cs="Times New Roman"/>
          <w:b/>
          <w:sz w:val="28"/>
          <w:szCs w:val="28"/>
        </w:rPr>
        <w:t>1、员工数量、专业构成及教育程度</w:t>
      </w:r>
      <w:bookmarkEnd w:id="70"/>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报告期末母公司在职员工的数量（人）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32</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报告期末主要子公司在职员工的数量（人）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416</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报告期末在职员工的数量合计（人）</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448</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当期领取薪酬员工总人数（人）</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448</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母公司及主要子公司需承担费用的离退休职工人数（人）</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r>
      <w:tr w:rsidR="002A3304" w:rsidRPr="00980BC4">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专业构成</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专业构成类别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专业构成人数（人）</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生产人员</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113</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销售人员</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29</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技术人员</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166</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财务人员</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17</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行政人员</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13</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职能管理人员</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74</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36</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448</w:t>
            </w:r>
          </w:p>
        </w:tc>
      </w:tr>
      <w:tr w:rsidR="002A3304" w:rsidRPr="00980BC4">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教育程度</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教育程度类别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数量（人）</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lastRenderedPageBreak/>
              <w:t>大学本科以上学历</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213</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大专学历</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137</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中专学历</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64</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其他学历</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34</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448</w:t>
            </w:r>
          </w:p>
        </w:tc>
      </w:tr>
    </w:tbl>
    <w:p w:rsidR="002A3304" w:rsidRPr="00980BC4" w:rsidRDefault="00DF4EBF" w:rsidP="00CF7B63">
      <w:pPr>
        <w:pStyle w:val="a3"/>
        <w:spacing w:before="0" w:beforeAutospacing="0" w:after="0" w:afterAutospacing="0" w:line="560" w:lineRule="exact"/>
        <w:ind w:firstLine="561"/>
        <w:rPr>
          <w:rFonts w:ascii="仿宋" w:eastAsia="仿宋" w:hAnsi="仿宋" w:cs="Times New Roman"/>
          <w:b/>
          <w:sz w:val="28"/>
          <w:szCs w:val="28"/>
        </w:rPr>
      </w:pPr>
      <w:bookmarkStart w:id="71" w:name="_Toc988960"/>
      <w:r w:rsidRPr="00980BC4">
        <w:rPr>
          <w:rFonts w:ascii="仿宋" w:eastAsia="仿宋" w:hAnsi="仿宋" w:cs="Times New Roman"/>
          <w:b/>
          <w:sz w:val="28"/>
          <w:szCs w:val="28"/>
        </w:rPr>
        <w:t>2、薪酬政策</w:t>
      </w:r>
      <w:bookmarkEnd w:id="71"/>
    </w:p>
    <w:p w:rsidR="002A3304" w:rsidRPr="00980BC4" w:rsidRDefault="002A3304" w:rsidP="00CF7B63">
      <w:pPr>
        <w:pStyle w:val="a3"/>
        <w:spacing w:before="0" w:beforeAutospacing="0" w:after="0" w:afterAutospacing="0" w:line="560" w:lineRule="exact"/>
        <w:ind w:firstLine="561"/>
        <w:divId w:val="1429934653"/>
      </w:pPr>
      <w:r w:rsidRPr="00980BC4">
        <w:rPr>
          <w:rFonts w:ascii="仿宋" w:eastAsia="仿宋" w:hAnsi="仿宋" w:hint="eastAsia"/>
          <w:sz w:val="28"/>
          <w:szCs w:val="28"/>
        </w:rPr>
        <w:t xml:space="preserve">公司依据国家相关法律法规并结合自身实际情况制定市场化的薪酬体系，通过规范公司薪酬管理，实施以岗位为基础，以能力为导向，采取奖惩分明的绩效考核机制，以提高工作效率，充分调动员工积极性和创造性。公司充分考虑对公司发展目标的影响程度、贡献价值、责任大小，公平合理的规划岗位级别，制定岗位工资。公司薪酬体系与绩效考核办法相联系，薪酬与绩效挂钩，不仅可以激发员工的潜能，还可以充分的发挥个人能力。同时通过建立员工职级晋升体系，优化绩效管理，完善多层次的薪酬福利体系，为骨干员工和优秀人才提供中长期的激励政策，吸引和留住高素质的人才，实现公司可持续发展，使公司更具有竞争力。 </w:t>
      </w:r>
    </w:p>
    <w:p w:rsidR="002A3304" w:rsidRPr="00980BC4" w:rsidRDefault="00DF4EBF" w:rsidP="00CF7B63">
      <w:pPr>
        <w:pStyle w:val="a3"/>
        <w:spacing w:before="0" w:beforeAutospacing="0" w:after="0" w:afterAutospacing="0" w:line="560" w:lineRule="exact"/>
        <w:ind w:firstLine="561"/>
        <w:rPr>
          <w:rFonts w:ascii="仿宋" w:eastAsia="仿宋" w:hAnsi="仿宋" w:cs="Times New Roman"/>
          <w:b/>
          <w:sz w:val="28"/>
          <w:szCs w:val="28"/>
        </w:rPr>
      </w:pPr>
      <w:bookmarkStart w:id="72" w:name="_Toc988961"/>
      <w:r w:rsidRPr="00980BC4">
        <w:rPr>
          <w:rFonts w:ascii="仿宋" w:eastAsia="仿宋" w:hAnsi="仿宋" w:cs="Times New Roman"/>
          <w:b/>
          <w:sz w:val="28"/>
          <w:szCs w:val="28"/>
        </w:rPr>
        <w:t>3、培训计划</w:t>
      </w:r>
      <w:bookmarkEnd w:id="72"/>
    </w:p>
    <w:p w:rsidR="002A3304" w:rsidRPr="00980BC4" w:rsidRDefault="002A3304" w:rsidP="00CF7B63">
      <w:pPr>
        <w:pStyle w:val="a3"/>
        <w:spacing w:before="0" w:beforeAutospacing="0" w:after="0" w:afterAutospacing="0" w:line="560" w:lineRule="exact"/>
        <w:ind w:firstLine="561"/>
        <w:divId w:val="830869745"/>
      </w:pPr>
      <w:r w:rsidRPr="00980BC4">
        <w:rPr>
          <w:rFonts w:ascii="仿宋" w:eastAsia="仿宋" w:hAnsi="仿宋" w:hint="eastAsia"/>
          <w:sz w:val="28"/>
          <w:szCs w:val="28"/>
        </w:rPr>
        <w:t>公司重视员工的培训与发展工作，结合公司现状、年度计划、 岗位性质与职责、以及员工能力的差异化和发展需求，多层次、多渠道、多领域、多形式地加强员工培训工作，包括新员工入职培训、在职人员业务培训、安全生产培训、管理者提升培训等，不断提高公司现有员工的整体素质，以实现公司与员工的双赢共进。报告期期内，公司开展了“新经理成长营” 能力提升系列课程</w:t>
      </w:r>
      <w:r w:rsidR="00853CC7" w:rsidRPr="00980BC4">
        <w:rPr>
          <w:rFonts w:ascii="仿宋" w:eastAsia="仿宋" w:hAnsi="仿宋" w:hint="eastAsia"/>
          <w:sz w:val="28"/>
          <w:szCs w:val="28"/>
        </w:rPr>
        <w:t>的培训</w:t>
      </w:r>
      <w:r w:rsidRPr="00980BC4">
        <w:rPr>
          <w:rFonts w:ascii="仿宋" w:eastAsia="仿宋" w:hAnsi="仿宋" w:hint="eastAsia"/>
          <w:sz w:val="28"/>
          <w:szCs w:val="28"/>
        </w:rPr>
        <w:t>，重点培养中层管理干部及业务骨干，不断提升中层管理干部及业务骨干的职业素养及管理水平。</w:t>
      </w:r>
    </w:p>
    <w:p w:rsidR="002A3304" w:rsidRPr="00980BC4" w:rsidRDefault="00DF4EBF" w:rsidP="00CF7B63">
      <w:pPr>
        <w:pStyle w:val="a3"/>
        <w:spacing w:before="0" w:beforeAutospacing="0" w:after="0" w:afterAutospacing="0" w:line="560" w:lineRule="exact"/>
        <w:ind w:firstLine="561"/>
        <w:rPr>
          <w:rFonts w:ascii="仿宋" w:eastAsia="仿宋" w:hAnsi="仿宋" w:cs="Times New Roman"/>
          <w:b/>
          <w:sz w:val="28"/>
          <w:szCs w:val="28"/>
        </w:rPr>
      </w:pPr>
      <w:bookmarkStart w:id="73" w:name="_Toc988962"/>
      <w:r w:rsidRPr="00980BC4">
        <w:rPr>
          <w:rFonts w:ascii="仿宋" w:eastAsia="仿宋" w:hAnsi="仿宋" w:cs="Times New Roman"/>
          <w:b/>
          <w:sz w:val="28"/>
          <w:szCs w:val="28"/>
        </w:rPr>
        <w:t>4、劳务外包情况</w:t>
      </w:r>
      <w:bookmarkEnd w:id="73"/>
    </w:p>
    <w:p w:rsidR="002A3304" w:rsidRPr="00980BC4" w:rsidRDefault="00DF4EBF" w:rsidP="00CF7B63">
      <w:pPr>
        <w:pStyle w:val="a3"/>
        <w:spacing w:before="0" w:beforeAutospacing="0" w:after="0" w:afterAutospacing="0" w:line="560" w:lineRule="exact"/>
        <w:ind w:firstLine="561"/>
        <w:rPr>
          <w:rFonts w:ascii="仿宋" w:eastAsia="仿宋" w:hAnsi="仿宋"/>
          <w:sz w:val="28"/>
          <w:szCs w:val="28"/>
        </w:rPr>
      </w:pPr>
      <w:r w:rsidRPr="00980BC4">
        <w:rPr>
          <w:rFonts w:ascii="仿宋" w:eastAsia="仿宋" w:hAnsi="仿宋"/>
          <w:sz w:val="28"/>
          <w:szCs w:val="28"/>
        </w:rPr>
        <w:t xml:space="preserve">□适用 </w:t>
      </w:r>
      <w:r w:rsidR="00CF7B63"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CF7B63">
      <w:pPr>
        <w:pStyle w:val="Chapter"/>
        <w:spacing w:before="0" w:after="0" w:line="560" w:lineRule="exact"/>
        <w:ind w:firstLineChars="200" w:firstLine="562"/>
        <w:outlineLvl w:val="1"/>
        <w:rPr>
          <w:bCs w:val="0"/>
          <w:sz w:val="28"/>
          <w:szCs w:val="28"/>
        </w:rPr>
      </w:pPr>
      <w:bookmarkStart w:id="74" w:name="_Toc988963"/>
      <w:r w:rsidRPr="00980BC4">
        <w:rPr>
          <w:bCs w:val="0"/>
          <w:sz w:val="28"/>
          <w:szCs w:val="28"/>
        </w:rPr>
        <w:t>十、公司利润分配及资本公积金转增股本情况</w:t>
      </w:r>
      <w:bookmarkEnd w:id="74"/>
    </w:p>
    <w:p w:rsidR="002A3304" w:rsidRPr="00980BC4" w:rsidRDefault="00DF4EBF" w:rsidP="00CF7B63">
      <w:pPr>
        <w:pStyle w:val="a3"/>
        <w:spacing w:before="0" w:beforeAutospacing="0" w:after="0" w:afterAutospacing="0" w:line="560" w:lineRule="atLeast"/>
        <w:ind w:firstLine="560"/>
        <w:rPr>
          <w:rFonts w:ascii="仿宋" w:eastAsia="仿宋" w:hAnsi="仿宋" w:cs="Times New Roman"/>
          <w:b/>
          <w:sz w:val="28"/>
          <w:szCs w:val="28"/>
        </w:rPr>
      </w:pPr>
      <w:r w:rsidRPr="00980BC4">
        <w:rPr>
          <w:rFonts w:ascii="仿宋" w:eastAsia="仿宋" w:hAnsi="仿宋" w:cs="Times New Roman"/>
          <w:b/>
          <w:sz w:val="28"/>
          <w:szCs w:val="28"/>
        </w:rPr>
        <w:t>报告期内利润分配政策，特别是现金分红政策的制定、执行或调整情况</w:t>
      </w:r>
    </w:p>
    <w:p w:rsidR="002A3304" w:rsidRPr="00980BC4" w:rsidRDefault="00DF4EBF" w:rsidP="00CF7B63">
      <w:pPr>
        <w:pStyle w:val="a3"/>
        <w:spacing w:before="0" w:beforeAutospacing="0" w:after="0" w:afterAutospacing="0" w:line="560" w:lineRule="atLeast"/>
        <w:ind w:firstLine="560"/>
        <w:rPr>
          <w:rFonts w:ascii="仿宋" w:eastAsia="仿宋" w:hAnsi="仿宋" w:cs="Times New Roman"/>
          <w:sz w:val="28"/>
          <w:szCs w:val="28"/>
        </w:rPr>
      </w:pPr>
      <w:r w:rsidRPr="00980BC4">
        <w:rPr>
          <w:rFonts w:ascii="仿宋" w:eastAsia="仿宋" w:hAnsi="仿宋" w:cs="Times New Roman"/>
          <w:sz w:val="28"/>
          <w:szCs w:val="28"/>
        </w:rPr>
        <w:lastRenderedPageBreak/>
        <w:sym w:font="Wingdings 2" w:char="F052"/>
      </w:r>
      <w:r w:rsidRPr="00980BC4">
        <w:rPr>
          <w:rFonts w:ascii="仿宋" w:eastAsia="仿宋" w:hAnsi="仿宋" w:cs="Times New Roman"/>
          <w:sz w:val="28"/>
          <w:szCs w:val="28"/>
        </w:rPr>
        <w:t xml:space="preserve">适用 </w:t>
      </w:r>
      <w:r w:rsidR="00CF7B6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□不适用</w:t>
      </w:r>
    </w:p>
    <w:p w:rsidR="002A3304" w:rsidRPr="00980BC4" w:rsidRDefault="002A3304">
      <w:pPr>
        <w:pStyle w:val="a3"/>
        <w:spacing w:before="0" w:beforeAutospacing="0" w:after="0" w:afterAutospacing="0" w:line="560" w:lineRule="atLeast"/>
        <w:ind w:firstLine="560"/>
        <w:divId w:val="1449471647"/>
        <w:rPr>
          <w:rFonts w:ascii="Times New Roman" w:hAnsi="Times New Roman" w:cs="Times New Roman"/>
          <w:sz w:val="18"/>
          <w:szCs w:val="18"/>
        </w:rPr>
      </w:pPr>
      <w:r w:rsidRPr="00980BC4">
        <w:rPr>
          <w:rFonts w:ascii="仿宋" w:eastAsia="仿宋" w:hAnsi="仿宋" w:cs="Times New Roman" w:hint="eastAsia"/>
          <w:sz w:val="28"/>
          <w:szCs w:val="28"/>
        </w:rPr>
        <w:t>为完善和健全公司科学、持续、稳定的分红决策和监督机制，积极回报股东，引导投资者树立长期投资和理性投资理念，结合公司实际情况及未来发展目标，公司制订了《未来三年股东回报规划（2020-2022年）》。充分考虑了公司可持续发展的要求和股东取得合理投资回报的意愿，分红政策连续、稳定、客观、合理，有利于更好地保护投资者的利益，有利于实现投资者利益和公司利益的共赢，能充分保护中小投资者的合法权益。</w:t>
      </w:r>
    </w:p>
    <w:p w:rsidR="002A3304" w:rsidRPr="00980BC4" w:rsidRDefault="002A3304">
      <w:pPr>
        <w:pStyle w:val="a3"/>
        <w:spacing w:before="0" w:beforeAutospacing="0" w:after="0" w:afterAutospacing="0" w:line="560" w:lineRule="atLeast"/>
        <w:ind w:firstLine="560"/>
        <w:divId w:val="1449471647"/>
        <w:rPr>
          <w:rFonts w:ascii="Times New Roman" w:hAnsi="Times New Roman" w:cs="Times New Roman"/>
          <w:sz w:val="18"/>
          <w:szCs w:val="18"/>
        </w:rPr>
      </w:pPr>
      <w:r w:rsidRPr="00980BC4">
        <w:rPr>
          <w:rFonts w:ascii="仿宋" w:eastAsia="仿宋" w:hAnsi="仿宋" w:cs="Times New Roman" w:hint="eastAsia"/>
          <w:sz w:val="28"/>
          <w:szCs w:val="28"/>
        </w:rPr>
        <w:t>由于目前公司正处于产业转型重要阶段，为顺利实施公司产业转型发展战略，需保持必要的资金储备，以满足公司平稳运营及产业拓展的资金需求，以创造更大利润来回报股东，公司2021年度不进行分配，该方案经2022年6月23日召开的2021年度股东大会审议通过。公司独立董事对2021年度利润分配方案发表了独立意见。</w:t>
      </w:r>
    </w:p>
    <w:p w:rsidR="002A3304" w:rsidRPr="00980BC4" w:rsidRDefault="002A3304">
      <w:pPr>
        <w:pStyle w:val="a3"/>
        <w:spacing w:before="0" w:beforeAutospacing="0" w:after="0" w:afterAutospacing="0" w:line="560" w:lineRule="atLeast"/>
        <w:ind w:firstLine="560"/>
        <w:divId w:val="1449471647"/>
        <w:rPr>
          <w:rFonts w:ascii="Times New Roman" w:hAnsi="Times New Roman" w:cs="Times New Roman"/>
          <w:sz w:val="18"/>
          <w:szCs w:val="18"/>
        </w:rPr>
      </w:pPr>
      <w:r w:rsidRPr="00980BC4">
        <w:rPr>
          <w:rFonts w:ascii="仿宋" w:eastAsia="仿宋" w:hAnsi="仿宋" w:cs="Times New Roman" w:hint="eastAsia"/>
          <w:sz w:val="28"/>
          <w:szCs w:val="28"/>
        </w:rPr>
        <w:t>公司利润分配政策符合《公司章程》及审议程序的规定，有明确的分红标准和分红比例，利润分配政策调整或变更的条件和程序合规透明，充分保护中小投资者的合法权益。公司报告期利润分配预案符合公司章程等的相关规定。</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2A3304" w:rsidRPr="00980BC4">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现金分红政策的专项说明</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是否符合公司章程的规定或股东大会决议的要求：</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分红标准和比例是否明确和清晰：</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相关的决策程序和机制是否完备：</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独立董事是否履职尽责并发挥了应有的作用：</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中小股东是否有充分表达意见和诉求的机会，其合法权益是否得到了充分保护：</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是</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现金分红政策进行调整或变更的，条件及程序是否合规、透明：</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报告期内，公司现金分红政策未调整。</w:t>
            </w:r>
          </w:p>
        </w:tc>
      </w:tr>
    </w:tbl>
    <w:p w:rsidR="002A3304" w:rsidRPr="00980BC4" w:rsidRDefault="00DF4EBF" w:rsidP="00CF7B63">
      <w:pPr>
        <w:pStyle w:val="a3"/>
        <w:spacing w:before="0" w:beforeAutospacing="0" w:after="0" w:afterAutospacing="0" w:line="560" w:lineRule="atLeast"/>
        <w:ind w:firstLine="560"/>
        <w:rPr>
          <w:rFonts w:ascii="仿宋" w:eastAsia="仿宋" w:hAnsi="仿宋" w:cs="Times New Roman"/>
          <w:b/>
          <w:sz w:val="28"/>
          <w:szCs w:val="28"/>
        </w:rPr>
      </w:pPr>
      <w:r w:rsidRPr="00980BC4">
        <w:rPr>
          <w:rFonts w:ascii="仿宋" w:eastAsia="仿宋" w:hAnsi="仿宋" w:cs="Times New Roman"/>
          <w:b/>
          <w:sz w:val="28"/>
          <w:szCs w:val="28"/>
        </w:rPr>
        <w:lastRenderedPageBreak/>
        <w:t>公司报告期内盈利且母公司可供股东分配利润为正但未提出现金红利分配预案</w:t>
      </w:r>
    </w:p>
    <w:p w:rsidR="002A3304" w:rsidRPr="00980BC4" w:rsidRDefault="00DF4EBF" w:rsidP="00CF7B63">
      <w:pPr>
        <w:pStyle w:val="a3"/>
        <w:spacing w:before="0" w:beforeAutospacing="0" w:after="0" w:afterAutospacing="0" w:line="560" w:lineRule="atLeast"/>
        <w:ind w:firstLine="560"/>
        <w:rPr>
          <w:rFonts w:ascii="仿宋" w:eastAsia="仿宋" w:hAnsi="仿宋" w:cs="Times New Roman"/>
          <w:sz w:val="28"/>
          <w:szCs w:val="28"/>
        </w:rPr>
      </w:pP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适用</w:t>
      </w:r>
      <w:r w:rsidR="00CF7B6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报告期内盈利且母公司可供股东分配利润为正但未提出现金红利分配预案的原因</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公司未分配利润的用途和使用计划</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3845E8" w:rsidP="00CF7B63">
            <w:pPr>
              <w:spacing w:line="280" w:lineRule="exact"/>
              <w:rPr>
                <w:rFonts w:ascii="宋体" w:eastAsia="宋体" w:hAnsi="宋体" w:cs="宋体"/>
                <w:sz w:val="18"/>
                <w:szCs w:val="18"/>
              </w:rPr>
            </w:pPr>
            <w:r w:rsidRPr="00980BC4">
              <w:rPr>
                <w:rFonts w:ascii="宋体" w:eastAsia="宋体" w:hAnsi="宋体" w:cs="宋体" w:hint="eastAsia"/>
                <w:sz w:val="18"/>
                <w:szCs w:val="18"/>
              </w:rPr>
              <w:t>目前公司正处于产业转型重要阶段，为顺利实施公司发展战略，需保持必要资金来满足平稳运营及产业拓展的资金需求，促进</w:t>
            </w:r>
            <w:r w:rsidRPr="00980BC4">
              <w:rPr>
                <w:rFonts w:ascii="宋体" w:eastAsia="宋体" w:hAnsi="宋体" w:cs="宋体"/>
                <w:sz w:val="18"/>
                <w:szCs w:val="18"/>
              </w:rPr>
              <w:t>公司持续、稳定、健康发展，更好地维护全体股东的长远</w:t>
            </w:r>
            <w:r w:rsidRPr="00980BC4">
              <w:rPr>
                <w:rFonts w:ascii="宋体" w:eastAsia="宋体" w:hAnsi="宋体" w:cs="宋体" w:hint="eastAsia"/>
                <w:sz w:val="18"/>
                <w:szCs w:val="18"/>
              </w:rPr>
              <w:t>利益。</w:t>
            </w:r>
            <w:r w:rsidR="00DF4EBF" w:rsidRPr="00980BC4">
              <w:rPr>
                <w:rFonts w:ascii="宋体" w:eastAsia="宋体" w:hAnsi="宋体" w:cs="宋体"/>
                <w:sz w:val="18"/>
                <w:szCs w:val="18"/>
              </w:rPr>
              <w:t>因此公司2022年度不进行现金红利分配。</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未分配利润将主要用于补充经营所需的流动资金及产业转型发展所需的资金，以保障公司持续健康发展。</w:t>
            </w:r>
          </w:p>
        </w:tc>
      </w:tr>
    </w:tbl>
    <w:p w:rsidR="002A3304" w:rsidRPr="00980BC4" w:rsidRDefault="00DF4EBF" w:rsidP="00CF7B63">
      <w:pPr>
        <w:pStyle w:val="a3"/>
        <w:spacing w:before="0" w:beforeAutospacing="0" w:after="0" w:afterAutospacing="0" w:line="560" w:lineRule="atLeast"/>
        <w:ind w:firstLine="560"/>
        <w:rPr>
          <w:rFonts w:ascii="仿宋" w:eastAsia="仿宋" w:hAnsi="仿宋" w:cs="Times New Roman"/>
          <w:b/>
          <w:sz w:val="28"/>
          <w:szCs w:val="28"/>
        </w:rPr>
      </w:pPr>
      <w:r w:rsidRPr="00980BC4">
        <w:rPr>
          <w:rFonts w:ascii="仿宋" w:eastAsia="仿宋" w:hAnsi="仿宋" w:cs="Times New Roman"/>
          <w:b/>
          <w:sz w:val="28"/>
          <w:szCs w:val="28"/>
        </w:rPr>
        <w:t>本报告期利润分配及资本公积金转增股本情况</w:t>
      </w:r>
    </w:p>
    <w:p w:rsidR="002A3304" w:rsidRPr="00980BC4" w:rsidRDefault="00DF4EBF" w:rsidP="00CF7B63">
      <w:pPr>
        <w:pStyle w:val="a3"/>
        <w:spacing w:before="0" w:beforeAutospacing="0" w:after="0" w:afterAutospacing="0" w:line="560" w:lineRule="atLeast"/>
        <w:ind w:firstLine="560"/>
        <w:rPr>
          <w:rFonts w:ascii="仿宋" w:eastAsia="仿宋" w:hAnsi="仿宋" w:cs="Times New Roman"/>
          <w:sz w:val="28"/>
          <w:szCs w:val="28"/>
        </w:rPr>
      </w:pPr>
      <w:r w:rsidRPr="00980BC4">
        <w:rPr>
          <w:rFonts w:ascii="仿宋" w:eastAsia="仿宋" w:hAnsi="仿宋" w:cs="Times New Roman"/>
          <w:sz w:val="28"/>
          <w:szCs w:val="28"/>
        </w:rPr>
        <w:t>□适用</w:t>
      </w:r>
      <w:r w:rsidR="00CF7B6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CF7B63">
      <w:pPr>
        <w:pStyle w:val="a3"/>
        <w:spacing w:before="0" w:beforeAutospacing="0" w:after="0" w:afterAutospacing="0" w:line="560" w:lineRule="atLeast"/>
        <w:ind w:firstLine="560"/>
        <w:rPr>
          <w:rFonts w:ascii="仿宋" w:eastAsia="仿宋" w:hAnsi="仿宋" w:cs="Times New Roman"/>
          <w:sz w:val="28"/>
          <w:szCs w:val="28"/>
        </w:rPr>
      </w:pPr>
      <w:r w:rsidRPr="00980BC4">
        <w:rPr>
          <w:rFonts w:ascii="仿宋" w:eastAsia="仿宋" w:hAnsi="仿宋" w:cs="Times New Roman"/>
          <w:sz w:val="28"/>
          <w:szCs w:val="28"/>
        </w:rPr>
        <w:t>公司计划年度不派发现金红利，不送红股，不以公积金转增股本。</w:t>
      </w:r>
    </w:p>
    <w:p w:rsidR="002A3304" w:rsidRPr="00980BC4" w:rsidRDefault="00DF4EBF" w:rsidP="00CF7B63">
      <w:pPr>
        <w:pStyle w:val="Chapter"/>
        <w:spacing w:before="0" w:after="0" w:line="560" w:lineRule="exact"/>
        <w:ind w:firstLineChars="200" w:firstLine="562"/>
        <w:outlineLvl w:val="1"/>
        <w:rPr>
          <w:bCs w:val="0"/>
          <w:sz w:val="28"/>
          <w:szCs w:val="28"/>
        </w:rPr>
      </w:pPr>
      <w:bookmarkStart w:id="75" w:name="_Toc988964"/>
      <w:r w:rsidRPr="00980BC4">
        <w:rPr>
          <w:bCs w:val="0"/>
          <w:sz w:val="28"/>
          <w:szCs w:val="28"/>
        </w:rPr>
        <w:t>十一、公司股权激励计划、员工持股计划或其他员工激励措施的实施情况</w:t>
      </w:r>
      <w:bookmarkEnd w:id="75"/>
    </w:p>
    <w:p w:rsidR="002A3304" w:rsidRPr="00980BC4" w:rsidRDefault="00DF4EBF" w:rsidP="00CF7B63">
      <w:pPr>
        <w:pStyle w:val="a3"/>
        <w:spacing w:before="0" w:beforeAutospacing="0" w:after="0" w:afterAutospacing="0" w:line="560" w:lineRule="atLeast"/>
        <w:ind w:firstLine="560"/>
        <w:rPr>
          <w:rFonts w:ascii="仿宋" w:eastAsia="仿宋" w:hAnsi="仿宋" w:cs="Times New Roman"/>
          <w:sz w:val="28"/>
          <w:szCs w:val="28"/>
        </w:rPr>
      </w:pP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适用</w:t>
      </w:r>
      <w:r w:rsidR="00CF7B6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□不适用</w:t>
      </w:r>
    </w:p>
    <w:p w:rsidR="002A3304" w:rsidRPr="00980BC4" w:rsidRDefault="00DF4EBF" w:rsidP="00CF7B63">
      <w:pPr>
        <w:pStyle w:val="a3"/>
        <w:spacing w:before="0" w:beforeAutospacing="0" w:after="0" w:afterAutospacing="0" w:line="560" w:lineRule="exact"/>
        <w:ind w:firstLine="561"/>
        <w:rPr>
          <w:rFonts w:ascii="仿宋" w:eastAsia="仿宋" w:hAnsi="仿宋" w:cs="Times New Roman"/>
          <w:b/>
          <w:sz w:val="28"/>
          <w:szCs w:val="28"/>
        </w:rPr>
      </w:pPr>
      <w:bookmarkStart w:id="76" w:name="_Toc988965"/>
      <w:r w:rsidRPr="00980BC4">
        <w:rPr>
          <w:rFonts w:ascii="仿宋" w:eastAsia="仿宋" w:hAnsi="仿宋" w:cs="Times New Roman"/>
          <w:b/>
          <w:sz w:val="28"/>
          <w:szCs w:val="28"/>
        </w:rPr>
        <w:t>1、股权激励</w:t>
      </w:r>
      <w:bookmarkEnd w:id="76"/>
    </w:p>
    <w:p w:rsidR="003C5E83" w:rsidRPr="00980BC4" w:rsidRDefault="002A3304" w:rsidP="003C5E83">
      <w:pPr>
        <w:pStyle w:val="a3"/>
        <w:spacing w:before="0" w:beforeAutospacing="0" w:after="0" w:afterAutospacing="0" w:line="560" w:lineRule="exact"/>
        <w:ind w:firstLine="561"/>
        <w:jc w:val="both"/>
        <w:divId w:val="1530606853"/>
        <w:rPr>
          <w:rFonts w:ascii="仿宋" w:eastAsia="仿宋" w:hAnsi="仿宋"/>
          <w:sz w:val="28"/>
          <w:szCs w:val="28"/>
        </w:rPr>
      </w:pPr>
      <w:r w:rsidRPr="00980BC4">
        <w:rPr>
          <w:rFonts w:ascii="仿宋" w:eastAsia="仿宋" w:hAnsi="仿宋" w:hint="eastAsia"/>
          <w:sz w:val="28"/>
          <w:szCs w:val="28"/>
        </w:rPr>
        <w:t>(1)公司根据中国证监会《上市公司股权激励管理办法》、深圳证券交易所及中国证券登记结算有限责任公司深圳分公司的有关规定，于2022年3月完成了公司2021年限制性股票激励计划中限制性股票的预留部分授予登记工作，向22名激励对象授予了公司限制性股票45.9013万股。详情请参阅公司于2022年3月3</w:t>
      </w:r>
      <w:r w:rsidR="00090ABD" w:rsidRPr="00980BC4">
        <w:rPr>
          <w:rFonts w:ascii="仿宋" w:eastAsia="仿宋" w:hAnsi="仿宋" w:hint="eastAsia"/>
          <w:sz w:val="28"/>
          <w:szCs w:val="28"/>
        </w:rPr>
        <w:t>日在《中国证券报》《证券时报》《证券日报》</w:t>
      </w:r>
      <w:r w:rsidRPr="00980BC4">
        <w:rPr>
          <w:rFonts w:ascii="仿宋" w:eastAsia="仿宋" w:hAnsi="仿宋" w:hint="eastAsia"/>
          <w:sz w:val="28"/>
          <w:szCs w:val="28"/>
        </w:rPr>
        <w:t>《上海证券报》及巨潮资讯网（http://www.cninfo.com.cn）披露的《关于公司2021年限制性股票激励计划限制性股票预留部分授予登记完成的公告》</w:t>
      </w:r>
      <w:r w:rsidR="003C5E83" w:rsidRPr="00980BC4">
        <w:rPr>
          <w:rFonts w:ascii="仿宋" w:eastAsia="仿宋" w:hAnsi="仿宋" w:hint="eastAsia"/>
          <w:sz w:val="28"/>
          <w:szCs w:val="28"/>
        </w:rPr>
        <w:t>(2022-08)。</w:t>
      </w:r>
    </w:p>
    <w:p w:rsidR="00090ABD" w:rsidRPr="00980BC4" w:rsidRDefault="003C5E83" w:rsidP="003C5E83">
      <w:pPr>
        <w:pStyle w:val="a3"/>
        <w:spacing w:before="0" w:beforeAutospacing="0" w:after="0" w:afterAutospacing="0" w:line="560" w:lineRule="exact"/>
        <w:ind w:firstLine="561"/>
        <w:jc w:val="both"/>
        <w:divId w:val="1530606853"/>
        <w:rPr>
          <w:rFonts w:ascii="仿宋" w:eastAsia="仿宋" w:hAnsi="仿宋"/>
          <w:sz w:val="28"/>
          <w:szCs w:val="28"/>
        </w:rPr>
      </w:pPr>
      <w:r w:rsidRPr="00980BC4">
        <w:rPr>
          <w:rFonts w:ascii="仿宋" w:eastAsia="仿宋" w:hAnsi="仿宋" w:hint="eastAsia"/>
          <w:bCs/>
          <w:sz w:val="28"/>
        </w:rPr>
        <w:t>（2）</w:t>
      </w:r>
      <w:r w:rsidR="00090ABD" w:rsidRPr="00980BC4">
        <w:rPr>
          <w:rFonts w:ascii="仿宋" w:eastAsia="仿宋" w:hAnsi="仿宋" w:hint="eastAsia"/>
          <w:bCs/>
          <w:sz w:val="28"/>
        </w:rPr>
        <w:t>公司</w:t>
      </w:r>
      <w:r w:rsidR="00090ABD" w:rsidRPr="00980BC4">
        <w:rPr>
          <w:rFonts w:ascii="仿宋" w:eastAsia="仿宋" w:hAnsi="仿宋"/>
          <w:bCs/>
          <w:sz w:val="28"/>
        </w:rPr>
        <w:t xml:space="preserve"> 202</w:t>
      </w:r>
      <w:r w:rsidR="00090ABD" w:rsidRPr="00980BC4">
        <w:rPr>
          <w:rFonts w:ascii="仿宋" w:eastAsia="仿宋" w:hAnsi="仿宋" w:hint="eastAsia"/>
          <w:bCs/>
          <w:sz w:val="28"/>
        </w:rPr>
        <w:t>2</w:t>
      </w:r>
      <w:r w:rsidR="00090ABD" w:rsidRPr="00980BC4">
        <w:rPr>
          <w:rFonts w:ascii="仿宋" w:eastAsia="仿宋" w:hAnsi="仿宋"/>
          <w:bCs/>
          <w:sz w:val="28"/>
        </w:rPr>
        <w:t>年</w:t>
      </w:r>
      <w:r w:rsidR="00090ABD" w:rsidRPr="00980BC4">
        <w:rPr>
          <w:rFonts w:ascii="仿宋" w:eastAsia="仿宋" w:hAnsi="仿宋" w:hint="eastAsia"/>
          <w:bCs/>
          <w:sz w:val="28"/>
        </w:rPr>
        <w:t>5</w:t>
      </w:r>
      <w:r w:rsidR="00090ABD" w:rsidRPr="00980BC4">
        <w:rPr>
          <w:rFonts w:ascii="仿宋" w:eastAsia="仿宋" w:hAnsi="仿宋"/>
          <w:bCs/>
          <w:sz w:val="28"/>
        </w:rPr>
        <w:t>月</w:t>
      </w:r>
      <w:r w:rsidR="00090ABD" w:rsidRPr="00980BC4">
        <w:rPr>
          <w:rFonts w:ascii="仿宋" w:eastAsia="仿宋" w:hAnsi="仿宋" w:hint="eastAsia"/>
          <w:bCs/>
          <w:sz w:val="28"/>
        </w:rPr>
        <w:t>20</w:t>
      </w:r>
      <w:r w:rsidR="00090ABD" w:rsidRPr="00980BC4">
        <w:rPr>
          <w:rFonts w:ascii="仿宋" w:eastAsia="仿宋" w:hAnsi="仿宋"/>
          <w:bCs/>
          <w:sz w:val="28"/>
        </w:rPr>
        <w:t>日召</w:t>
      </w:r>
      <w:r w:rsidR="00090ABD" w:rsidRPr="00980BC4">
        <w:rPr>
          <w:rFonts w:ascii="仿宋" w:eastAsia="仿宋" w:hAnsi="仿宋" w:hint="eastAsia"/>
          <w:bCs/>
          <w:sz w:val="28"/>
        </w:rPr>
        <w:t>开</w:t>
      </w:r>
      <w:r w:rsidR="00090ABD" w:rsidRPr="00980BC4">
        <w:rPr>
          <w:rFonts w:ascii="仿宋" w:eastAsia="仿宋" w:hAnsi="仿宋"/>
          <w:bCs/>
          <w:sz w:val="28"/>
        </w:rPr>
        <w:t>第</w:t>
      </w:r>
      <w:r w:rsidR="00090ABD" w:rsidRPr="00980BC4">
        <w:rPr>
          <w:rFonts w:ascii="仿宋" w:eastAsia="仿宋" w:hAnsi="仿宋" w:hint="eastAsia"/>
          <w:bCs/>
          <w:sz w:val="28"/>
        </w:rPr>
        <w:t>十</w:t>
      </w:r>
      <w:r w:rsidR="00090ABD" w:rsidRPr="00980BC4">
        <w:rPr>
          <w:rFonts w:ascii="仿宋" w:eastAsia="仿宋" w:hAnsi="仿宋"/>
          <w:bCs/>
          <w:sz w:val="28"/>
        </w:rPr>
        <w:t>届董事会第</w:t>
      </w:r>
      <w:r w:rsidR="00090ABD" w:rsidRPr="00980BC4">
        <w:rPr>
          <w:rFonts w:ascii="仿宋" w:eastAsia="仿宋" w:hAnsi="仿宋" w:hint="eastAsia"/>
          <w:bCs/>
          <w:sz w:val="28"/>
        </w:rPr>
        <w:t>十五</w:t>
      </w:r>
      <w:r w:rsidR="00090ABD" w:rsidRPr="00980BC4">
        <w:rPr>
          <w:rFonts w:ascii="仿宋" w:eastAsia="仿宋" w:hAnsi="仿宋"/>
          <w:bCs/>
          <w:sz w:val="28"/>
        </w:rPr>
        <w:t>次会议</w:t>
      </w:r>
      <w:r w:rsidR="00090ABD" w:rsidRPr="00980BC4">
        <w:rPr>
          <w:rFonts w:ascii="仿宋" w:eastAsia="仿宋" w:hAnsi="仿宋" w:hint="eastAsia"/>
          <w:bCs/>
          <w:sz w:val="28"/>
        </w:rPr>
        <w:t>、</w:t>
      </w:r>
      <w:r w:rsidR="00090ABD" w:rsidRPr="00980BC4">
        <w:rPr>
          <w:rFonts w:ascii="仿宋" w:eastAsia="仿宋" w:hAnsi="仿宋"/>
          <w:bCs/>
          <w:sz w:val="28"/>
        </w:rPr>
        <w:t>第</w:t>
      </w:r>
      <w:r w:rsidR="00090ABD" w:rsidRPr="00980BC4">
        <w:rPr>
          <w:rFonts w:ascii="仿宋" w:eastAsia="仿宋" w:hAnsi="仿宋" w:hint="eastAsia"/>
          <w:bCs/>
          <w:sz w:val="28"/>
        </w:rPr>
        <w:t>十</w:t>
      </w:r>
      <w:r w:rsidR="00090ABD" w:rsidRPr="00980BC4">
        <w:rPr>
          <w:rFonts w:ascii="仿宋" w:eastAsia="仿宋" w:hAnsi="仿宋"/>
          <w:bCs/>
          <w:sz w:val="28"/>
        </w:rPr>
        <w:t>届监事会第</w:t>
      </w:r>
      <w:r w:rsidR="00090ABD" w:rsidRPr="00980BC4">
        <w:rPr>
          <w:rFonts w:ascii="仿宋" w:eastAsia="仿宋" w:hAnsi="仿宋" w:hint="eastAsia"/>
          <w:bCs/>
          <w:sz w:val="28"/>
        </w:rPr>
        <w:t>十二</w:t>
      </w:r>
      <w:r w:rsidR="00090ABD" w:rsidRPr="00980BC4">
        <w:rPr>
          <w:rFonts w:ascii="仿宋" w:eastAsia="仿宋" w:hAnsi="仿宋"/>
          <w:bCs/>
          <w:sz w:val="28"/>
        </w:rPr>
        <w:t>次会议</w:t>
      </w:r>
      <w:r w:rsidR="00090ABD" w:rsidRPr="00980BC4">
        <w:rPr>
          <w:rFonts w:ascii="仿宋" w:eastAsia="仿宋" w:hAnsi="仿宋" w:hint="eastAsia"/>
          <w:bCs/>
          <w:sz w:val="28"/>
        </w:rPr>
        <w:t>及2022年6月23日召开2021年度股东大会</w:t>
      </w:r>
      <w:r w:rsidR="00090ABD" w:rsidRPr="00980BC4">
        <w:rPr>
          <w:rFonts w:ascii="仿宋" w:eastAsia="仿宋" w:hAnsi="仿宋"/>
          <w:bCs/>
          <w:sz w:val="28"/>
        </w:rPr>
        <w:t>，审议通过了《</w:t>
      </w:r>
      <w:r w:rsidR="00090ABD" w:rsidRPr="00980BC4">
        <w:rPr>
          <w:rFonts w:ascii="仿宋" w:eastAsia="仿宋" w:hAnsi="仿宋" w:hint="eastAsia"/>
          <w:bCs/>
          <w:sz w:val="28"/>
        </w:rPr>
        <w:t>关于回购注销公司</w:t>
      </w:r>
      <w:r w:rsidR="00090ABD" w:rsidRPr="00980BC4">
        <w:rPr>
          <w:rFonts w:ascii="仿宋" w:eastAsia="仿宋" w:hAnsi="仿宋"/>
          <w:bCs/>
          <w:sz w:val="28"/>
        </w:rPr>
        <w:t>202</w:t>
      </w:r>
      <w:r w:rsidR="00090ABD" w:rsidRPr="00980BC4">
        <w:rPr>
          <w:rFonts w:ascii="仿宋" w:eastAsia="仿宋" w:hAnsi="仿宋" w:hint="eastAsia"/>
          <w:bCs/>
          <w:sz w:val="28"/>
        </w:rPr>
        <w:t>1年限制性股票激励计划部分首次授予限制性股票的</w:t>
      </w:r>
      <w:r w:rsidR="00090ABD" w:rsidRPr="00980BC4">
        <w:rPr>
          <w:rFonts w:ascii="仿宋" w:eastAsia="仿宋" w:hAnsi="仿宋" w:hint="eastAsia"/>
          <w:bCs/>
          <w:sz w:val="28"/>
        </w:rPr>
        <w:lastRenderedPageBreak/>
        <w:t>议案</w:t>
      </w:r>
      <w:r w:rsidR="00090ABD" w:rsidRPr="00980BC4">
        <w:rPr>
          <w:rFonts w:ascii="仿宋" w:eastAsia="仿宋" w:hAnsi="仿宋"/>
          <w:bCs/>
          <w:sz w:val="28"/>
        </w:rPr>
        <w:t>》</w:t>
      </w:r>
      <w:r w:rsidR="00090ABD" w:rsidRPr="00980BC4">
        <w:rPr>
          <w:rFonts w:ascii="仿宋" w:eastAsia="仿宋" w:hAnsi="仿宋" w:hint="eastAsia"/>
          <w:bCs/>
          <w:sz w:val="28"/>
        </w:rPr>
        <w:t>。</w:t>
      </w:r>
      <w:r w:rsidR="00090ABD" w:rsidRPr="00980BC4">
        <w:rPr>
          <w:rFonts w:ascii="仿宋" w:eastAsia="仿宋" w:hAnsi="仿宋"/>
          <w:bCs/>
          <w:sz w:val="28"/>
        </w:rPr>
        <w:t>根据《上市公司股权激励管理办法》</w:t>
      </w:r>
      <w:r w:rsidR="00090ABD" w:rsidRPr="00980BC4">
        <w:rPr>
          <w:rFonts w:ascii="仿宋" w:eastAsia="仿宋" w:hAnsi="仿宋" w:hint="eastAsia"/>
          <w:bCs/>
          <w:sz w:val="28"/>
        </w:rPr>
        <w:t>及公司</w:t>
      </w:r>
      <w:r w:rsidR="00090ABD" w:rsidRPr="00980BC4">
        <w:rPr>
          <w:rFonts w:ascii="仿宋" w:eastAsia="仿宋" w:hAnsi="仿宋"/>
          <w:bCs/>
          <w:sz w:val="28"/>
        </w:rPr>
        <w:t>《2021年限制性股票激励计划</w:t>
      </w:r>
      <w:r w:rsidR="00090ABD" w:rsidRPr="00980BC4">
        <w:rPr>
          <w:rFonts w:ascii="仿宋" w:eastAsia="仿宋" w:hAnsi="仿宋" w:hint="eastAsia"/>
          <w:bCs/>
          <w:sz w:val="28"/>
        </w:rPr>
        <w:t>（草案）</w:t>
      </w:r>
      <w:r w:rsidR="00090ABD" w:rsidRPr="00980BC4">
        <w:rPr>
          <w:rFonts w:ascii="仿宋" w:eastAsia="仿宋" w:hAnsi="仿宋"/>
          <w:bCs/>
          <w:sz w:val="28"/>
        </w:rPr>
        <w:t>》的相关规定，</w:t>
      </w:r>
      <w:r w:rsidR="00090ABD" w:rsidRPr="00980BC4">
        <w:rPr>
          <w:rFonts w:ascii="仿宋" w:eastAsia="仿宋" w:hAnsi="仿宋" w:hint="eastAsia"/>
          <w:sz w:val="28"/>
          <w:szCs w:val="28"/>
        </w:rPr>
        <w:t>鉴于</w:t>
      </w:r>
      <w:r w:rsidR="00090ABD" w:rsidRPr="00980BC4">
        <w:rPr>
          <w:rFonts w:ascii="仿宋" w:eastAsia="仿宋" w:hAnsi="仿宋"/>
          <w:sz w:val="28"/>
          <w:szCs w:val="28"/>
        </w:rPr>
        <w:t>1</w:t>
      </w:r>
      <w:r w:rsidR="00090ABD" w:rsidRPr="00980BC4">
        <w:rPr>
          <w:rFonts w:ascii="仿宋" w:eastAsia="仿宋" w:hAnsi="仿宋" w:hint="eastAsia"/>
          <w:sz w:val="28"/>
          <w:szCs w:val="28"/>
        </w:rPr>
        <w:t>名激励对象因个人原因已离职，不再具备激励资格，公司将回购注销上述离职人员已获授但尚未解除限售的全部限制性股票合计15</w:t>
      </w:r>
      <w:r w:rsidR="00090ABD" w:rsidRPr="00980BC4">
        <w:rPr>
          <w:rFonts w:ascii="仿宋" w:eastAsia="仿宋" w:hAnsi="仿宋"/>
          <w:sz w:val="28"/>
          <w:szCs w:val="28"/>
        </w:rPr>
        <w:t>,000</w:t>
      </w:r>
      <w:r w:rsidR="00090ABD" w:rsidRPr="00980BC4">
        <w:rPr>
          <w:rFonts w:ascii="仿宋" w:eastAsia="仿宋" w:hAnsi="仿宋" w:hint="eastAsia"/>
          <w:sz w:val="28"/>
          <w:szCs w:val="28"/>
        </w:rPr>
        <w:t>股。</w:t>
      </w:r>
      <w:r w:rsidR="00090ABD" w:rsidRPr="00980BC4">
        <w:rPr>
          <w:rFonts w:ascii="仿宋" w:eastAsia="仿宋" w:hAnsi="仿宋"/>
          <w:bCs/>
          <w:sz w:val="28"/>
        </w:rPr>
        <w:t>具体内容</w:t>
      </w:r>
      <w:r w:rsidR="00090ABD" w:rsidRPr="00980BC4">
        <w:rPr>
          <w:rFonts w:ascii="仿宋" w:eastAsia="仿宋" w:hAnsi="仿宋" w:hint="eastAsia"/>
          <w:bCs/>
          <w:sz w:val="28"/>
        </w:rPr>
        <w:t>详见公司2022年5月21日在《证券时报》、《中国证券报》《证券日报》《上海证券报》及巨潮资讯网（http://www.cninfo.com.cn）上刊载的《关于回购注销公司</w:t>
      </w:r>
      <w:r w:rsidR="00090ABD" w:rsidRPr="00980BC4">
        <w:rPr>
          <w:rFonts w:ascii="仿宋" w:eastAsia="仿宋" w:hAnsi="仿宋"/>
          <w:bCs/>
          <w:sz w:val="28"/>
        </w:rPr>
        <w:t>202</w:t>
      </w:r>
      <w:r w:rsidR="00090ABD" w:rsidRPr="00980BC4">
        <w:rPr>
          <w:rFonts w:ascii="仿宋" w:eastAsia="仿宋" w:hAnsi="仿宋" w:hint="eastAsia"/>
          <w:bCs/>
          <w:sz w:val="28"/>
        </w:rPr>
        <w:t>1年限制性股票激励计划部分首次授予限制性股票的公告》（2022-20）。</w:t>
      </w:r>
    </w:p>
    <w:p w:rsidR="00090ABD" w:rsidRPr="00980BC4" w:rsidRDefault="00090ABD" w:rsidP="00090ABD">
      <w:pPr>
        <w:pStyle w:val="a3"/>
        <w:spacing w:before="0" w:beforeAutospacing="0" w:after="0" w:afterAutospacing="0" w:line="560" w:lineRule="exact"/>
        <w:ind w:firstLine="561"/>
        <w:jc w:val="both"/>
        <w:divId w:val="1530606853"/>
        <w:rPr>
          <w:rFonts w:ascii="仿宋" w:eastAsia="仿宋" w:hAnsi="仿宋"/>
          <w:sz w:val="28"/>
          <w:szCs w:val="28"/>
        </w:rPr>
      </w:pPr>
      <w:r w:rsidRPr="00980BC4">
        <w:rPr>
          <w:rFonts w:ascii="仿宋" w:eastAsia="仿宋" w:hAnsi="仿宋" w:hint="eastAsia"/>
          <w:sz w:val="28"/>
          <w:szCs w:val="28"/>
        </w:rPr>
        <w:t>（3）公司根据《上市公司股权激励管理办法》及公司《2021年限制性股票激励计划（草案）》的相关规定，于2022年5月办理了2021年限制性股票激励计划首次授予第一个解除限售期涉及的股份上市流通手续，本次符合解除限售条件的激励对象共计55名，本次解除限售的限制性股票数量为117.438万股，约占目前公司总股本的0.27%。详情请参阅公司于2022年5月26日在《中国证券报》《证券时报》《证券日报》《上海证券报》及巨潮资讯网（http://www.cninfo.com.cn）披露的《关于公司2021年限制性股票激励计划首次授予第一个解除限售期解除限售股份上市流通的提示性公告》(2022-22)。</w:t>
      </w:r>
    </w:p>
    <w:p w:rsidR="00581EF4" w:rsidRPr="00980BC4" w:rsidRDefault="00E03A0E" w:rsidP="00090ABD">
      <w:pPr>
        <w:pStyle w:val="a3"/>
        <w:spacing w:before="0" w:beforeAutospacing="0" w:after="0" w:afterAutospacing="0" w:line="560" w:lineRule="exact"/>
        <w:ind w:firstLine="561"/>
        <w:jc w:val="both"/>
        <w:divId w:val="1530606853"/>
        <w:rPr>
          <w:rFonts w:ascii="仿宋" w:eastAsia="仿宋" w:hAnsi="仿宋"/>
          <w:sz w:val="28"/>
          <w:szCs w:val="28"/>
        </w:rPr>
      </w:pPr>
      <w:r w:rsidRPr="00980BC4">
        <w:rPr>
          <w:rFonts w:ascii="仿宋" w:eastAsia="仿宋" w:hAnsi="仿宋" w:hint="eastAsia"/>
          <w:sz w:val="28"/>
          <w:szCs w:val="28"/>
        </w:rPr>
        <w:t>（4）</w:t>
      </w:r>
      <w:r w:rsidR="00CF37EB" w:rsidRPr="00980BC4">
        <w:rPr>
          <w:rFonts w:ascii="仿宋" w:eastAsia="仿宋" w:hAnsi="仿宋" w:hint="eastAsia"/>
          <w:sz w:val="28"/>
          <w:szCs w:val="28"/>
        </w:rPr>
        <w:t>公司</w:t>
      </w:r>
      <w:r w:rsidRPr="00980BC4">
        <w:rPr>
          <w:rFonts w:ascii="仿宋" w:eastAsia="仿宋" w:hAnsi="仿宋"/>
          <w:sz w:val="28"/>
          <w:szCs w:val="28"/>
        </w:rPr>
        <w:t>202</w:t>
      </w:r>
      <w:r w:rsidRPr="00980BC4">
        <w:rPr>
          <w:rFonts w:ascii="仿宋" w:eastAsia="仿宋" w:hAnsi="仿宋" w:hint="eastAsia"/>
          <w:sz w:val="28"/>
          <w:szCs w:val="28"/>
        </w:rPr>
        <w:t>2</w:t>
      </w:r>
      <w:r w:rsidRPr="00980BC4">
        <w:rPr>
          <w:rFonts w:ascii="仿宋" w:eastAsia="仿宋" w:hAnsi="仿宋"/>
          <w:sz w:val="28"/>
          <w:szCs w:val="28"/>
        </w:rPr>
        <w:t>年</w:t>
      </w:r>
      <w:r w:rsidRPr="00980BC4">
        <w:rPr>
          <w:rFonts w:ascii="仿宋" w:eastAsia="仿宋" w:hAnsi="仿宋" w:hint="eastAsia"/>
          <w:sz w:val="28"/>
          <w:szCs w:val="28"/>
        </w:rPr>
        <w:t>12</w:t>
      </w:r>
      <w:r w:rsidRPr="00980BC4">
        <w:rPr>
          <w:rFonts w:ascii="仿宋" w:eastAsia="仿宋" w:hAnsi="仿宋"/>
          <w:sz w:val="28"/>
          <w:szCs w:val="28"/>
        </w:rPr>
        <w:t>月</w:t>
      </w:r>
      <w:r w:rsidRPr="00980BC4">
        <w:rPr>
          <w:rFonts w:ascii="仿宋" w:eastAsia="仿宋" w:hAnsi="仿宋" w:hint="eastAsia"/>
          <w:sz w:val="28"/>
          <w:szCs w:val="28"/>
        </w:rPr>
        <w:t>30</w:t>
      </w:r>
      <w:r w:rsidRPr="00980BC4">
        <w:rPr>
          <w:rFonts w:ascii="仿宋" w:eastAsia="仿宋" w:hAnsi="仿宋"/>
          <w:sz w:val="28"/>
          <w:szCs w:val="28"/>
        </w:rPr>
        <w:t>日召</w:t>
      </w:r>
      <w:r w:rsidRPr="00980BC4">
        <w:rPr>
          <w:rFonts w:ascii="仿宋" w:eastAsia="仿宋" w:hAnsi="仿宋" w:hint="eastAsia"/>
          <w:sz w:val="28"/>
          <w:szCs w:val="28"/>
        </w:rPr>
        <w:t>开</w:t>
      </w:r>
      <w:r w:rsidRPr="00980BC4">
        <w:rPr>
          <w:rFonts w:ascii="仿宋" w:eastAsia="仿宋" w:hAnsi="仿宋"/>
          <w:sz w:val="28"/>
          <w:szCs w:val="28"/>
        </w:rPr>
        <w:t>第</w:t>
      </w:r>
      <w:r w:rsidRPr="00980BC4">
        <w:rPr>
          <w:rFonts w:ascii="仿宋" w:eastAsia="仿宋" w:hAnsi="仿宋" w:hint="eastAsia"/>
          <w:sz w:val="28"/>
          <w:szCs w:val="28"/>
        </w:rPr>
        <w:t>十</w:t>
      </w:r>
      <w:r w:rsidRPr="00980BC4">
        <w:rPr>
          <w:rFonts w:ascii="仿宋" w:eastAsia="仿宋" w:hAnsi="仿宋"/>
          <w:sz w:val="28"/>
          <w:szCs w:val="28"/>
        </w:rPr>
        <w:t>届董事会第</w:t>
      </w:r>
      <w:r w:rsidRPr="00980BC4">
        <w:rPr>
          <w:rFonts w:ascii="仿宋" w:eastAsia="仿宋" w:hAnsi="仿宋" w:hint="eastAsia"/>
          <w:sz w:val="28"/>
          <w:szCs w:val="28"/>
        </w:rPr>
        <w:t>二十</w:t>
      </w:r>
      <w:r w:rsidRPr="00980BC4">
        <w:rPr>
          <w:rFonts w:ascii="仿宋" w:eastAsia="仿宋" w:hAnsi="仿宋"/>
          <w:sz w:val="28"/>
          <w:szCs w:val="28"/>
        </w:rPr>
        <w:t>次会议</w:t>
      </w:r>
      <w:r w:rsidRPr="00980BC4">
        <w:rPr>
          <w:rFonts w:ascii="仿宋" w:eastAsia="仿宋" w:hAnsi="仿宋" w:hint="eastAsia"/>
          <w:sz w:val="28"/>
          <w:szCs w:val="28"/>
        </w:rPr>
        <w:t>、</w:t>
      </w:r>
      <w:r w:rsidRPr="00980BC4">
        <w:rPr>
          <w:rFonts w:ascii="仿宋" w:eastAsia="仿宋" w:hAnsi="仿宋"/>
          <w:sz w:val="28"/>
          <w:szCs w:val="28"/>
        </w:rPr>
        <w:t>第</w:t>
      </w:r>
      <w:r w:rsidRPr="00980BC4">
        <w:rPr>
          <w:rFonts w:ascii="仿宋" w:eastAsia="仿宋" w:hAnsi="仿宋" w:hint="eastAsia"/>
          <w:sz w:val="28"/>
          <w:szCs w:val="28"/>
        </w:rPr>
        <w:t>十</w:t>
      </w:r>
      <w:r w:rsidRPr="00980BC4">
        <w:rPr>
          <w:rFonts w:ascii="仿宋" w:eastAsia="仿宋" w:hAnsi="仿宋"/>
          <w:sz w:val="28"/>
          <w:szCs w:val="28"/>
        </w:rPr>
        <w:t>届监事会</w:t>
      </w:r>
      <w:r w:rsidRPr="00980BC4">
        <w:rPr>
          <w:rFonts w:ascii="仿宋" w:eastAsia="仿宋" w:hAnsi="仿宋"/>
          <w:bCs/>
          <w:sz w:val="28"/>
        </w:rPr>
        <w:t>第</w:t>
      </w:r>
      <w:r w:rsidRPr="00980BC4">
        <w:rPr>
          <w:rFonts w:ascii="仿宋" w:eastAsia="仿宋" w:hAnsi="仿宋" w:hint="eastAsia"/>
          <w:bCs/>
          <w:sz w:val="28"/>
        </w:rPr>
        <w:t>十六</w:t>
      </w:r>
      <w:r w:rsidRPr="00980BC4">
        <w:rPr>
          <w:rFonts w:ascii="仿宋" w:eastAsia="仿宋" w:hAnsi="仿宋"/>
          <w:bCs/>
          <w:sz w:val="28"/>
        </w:rPr>
        <w:t>次会议</w:t>
      </w:r>
      <w:r w:rsidRPr="00980BC4">
        <w:rPr>
          <w:rFonts w:ascii="仿宋" w:eastAsia="仿宋" w:hAnsi="仿宋" w:hint="eastAsia"/>
          <w:bCs/>
          <w:sz w:val="28"/>
        </w:rPr>
        <w:t>及2023年1月17日召开2023年第一次临时股东大会</w:t>
      </w:r>
      <w:r w:rsidRPr="00980BC4">
        <w:rPr>
          <w:rFonts w:ascii="仿宋" w:eastAsia="仿宋" w:hAnsi="仿宋"/>
          <w:bCs/>
          <w:sz w:val="28"/>
        </w:rPr>
        <w:t>，审议通过了《</w:t>
      </w:r>
      <w:r w:rsidRPr="00980BC4">
        <w:rPr>
          <w:rFonts w:ascii="仿宋" w:eastAsia="仿宋" w:hAnsi="仿宋" w:hint="eastAsia"/>
          <w:bCs/>
          <w:sz w:val="28"/>
        </w:rPr>
        <w:t>关于回购注销公司</w:t>
      </w:r>
      <w:r w:rsidRPr="00980BC4">
        <w:rPr>
          <w:rFonts w:ascii="仿宋" w:eastAsia="仿宋" w:hAnsi="仿宋"/>
          <w:bCs/>
          <w:sz w:val="28"/>
        </w:rPr>
        <w:t>202</w:t>
      </w:r>
      <w:r w:rsidRPr="00980BC4">
        <w:rPr>
          <w:rFonts w:ascii="仿宋" w:eastAsia="仿宋" w:hAnsi="仿宋" w:hint="eastAsia"/>
          <w:bCs/>
          <w:sz w:val="28"/>
        </w:rPr>
        <w:t>1年限制性股票激励计划部分授予限制性股票的议案</w:t>
      </w:r>
      <w:r w:rsidRPr="00980BC4">
        <w:rPr>
          <w:rFonts w:ascii="仿宋" w:eastAsia="仿宋" w:hAnsi="仿宋"/>
          <w:bCs/>
          <w:sz w:val="28"/>
        </w:rPr>
        <w:t>》</w:t>
      </w:r>
      <w:r w:rsidRPr="00980BC4">
        <w:rPr>
          <w:rFonts w:ascii="仿宋" w:eastAsia="仿宋" w:hAnsi="仿宋" w:hint="eastAsia"/>
          <w:bCs/>
          <w:sz w:val="28"/>
        </w:rPr>
        <w:t>。</w:t>
      </w:r>
      <w:r w:rsidRPr="00980BC4">
        <w:rPr>
          <w:rFonts w:ascii="仿宋" w:eastAsia="仿宋" w:hAnsi="仿宋"/>
          <w:bCs/>
          <w:sz w:val="28"/>
        </w:rPr>
        <w:t>根据《上市公司股权激励管理办法》</w:t>
      </w:r>
      <w:r w:rsidRPr="00980BC4">
        <w:rPr>
          <w:rFonts w:ascii="仿宋" w:eastAsia="仿宋" w:hAnsi="仿宋" w:hint="eastAsia"/>
          <w:bCs/>
          <w:sz w:val="28"/>
        </w:rPr>
        <w:t>及公司</w:t>
      </w:r>
      <w:r w:rsidRPr="00980BC4">
        <w:rPr>
          <w:rFonts w:ascii="仿宋" w:eastAsia="仿宋" w:hAnsi="仿宋"/>
          <w:bCs/>
          <w:sz w:val="28"/>
        </w:rPr>
        <w:t>《2021年限制性股票激励计划</w:t>
      </w:r>
      <w:r w:rsidRPr="00980BC4">
        <w:rPr>
          <w:rFonts w:ascii="仿宋" w:eastAsia="仿宋" w:hAnsi="仿宋" w:hint="eastAsia"/>
          <w:bCs/>
          <w:sz w:val="28"/>
        </w:rPr>
        <w:t>（草案）</w:t>
      </w:r>
      <w:r w:rsidRPr="00980BC4">
        <w:rPr>
          <w:rFonts w:ascii="仿宋" w:eastAsia="仿宋" w:hAnsi="仿宋"/>
          <w:bCs/>
          <w:sz w:val="28"/>
        </w:rPr>
        <w:t>》的相关规定，</w:t>
      </w:r>
      <w:r w:rsidRPr="00980BC4">
        <w:rPr>
          <w:rFonts w:ascii="仿宋" w:eastAsia="仿宋" w:hAnsi="仿宋" w:hint="eastAsia"/>
          <w:sz w:val="28"/>
          <w:szCs w:val="28"/>
        </w:rPr>
        <w:t>鉴于5名激励对象因个人原因已离职，不再具备激励资格，公司将回购注销上述离职人员已获授但尚未解除限售的全部限制性股票合计</w:t>
      </w:r>
      <w:r w:rsidRPr="00980BC4">
        <w:rPr>
          <w:rFonts w:ascii="仿宋" w:eastAsia="仿宋" w:hAnsi="仿宋" w:hint="eastAsia"/>
          <w:bCs/>
          <w:sz w:val="28"/>
        </w:rPr>
        <w:t>214,590</w:t>
      </w:r>
      <w:r w:rsidRPr="00980BC4">
        <w:rPr>
          <w:rFonts w:ascii="仿宋" w:eastAsia="仿宋" w:hAnsi="仿宋" w:hint="eastAsia"/>
          <w:sz w:val="28"/>
          <w:szCs w:val="28"/>
        </w:rPr>
        <w:t>股。</w:t>
      </w:r>
      <w:r w:rsidRPr="00980BC4">
        <w:rPr>
          <w:rFonts w:ascii="仿宋" w:eastAsia="仿宋" w:hAnsi="仿宋"/>
          <w:bCs/>
          <w:sz w:val="28"/>
        </w:rPr>
        <w:t>具体内容</w:t>
      </w:r>
      <w:r w:rsidRPr="00980BC4">
        <w:rPr>
          <w:rFonts w:ascii="仿宋" w:eastAsia="仿宋" w:hAnsi="仿宋" w:hint="eastAsia"/>
          <w:bCs/>
          <w:sz w:val="28"/>
        </w:rPr>
        <w:t>详见公司2022年12月31日</w:t>
      </w:r>
      <w:r w:rsidR="00090ABD" w:rsidRPr="00980BC4">
        <w:rPr>
          <w:rFonts w:ascii="仿宋" w:eastAsia="仿宋" w:hAnsi="仿宋" w:hint="eastAsia"/>
          <w:bCs/>
          <w:sz w:val="28"/>
        </w:rPr>
        <w:t>在《证券时报》《中国证券报》《证券日报》</w:t>
      </w:r>
      <w:r w:rsidRPr="00980BC4">
        <w:rPr>
          <w:rFonts w:ascii="仿宋" w:eastAsia="仿宋" w:hAnsi="仿宋" w:hint="eastAsia"/>
          <w:bCs/>
          <w:sz w:val="28"/>
        </w:rPr>
        <w:t>《上海证券报》及巨潮资讯网</w:t>
      </w:r>
      <w:r w:rsidRPr="00980BC4">
        <w:rPr>
          <w:rFonts w:ascii="仿宋" w:eastAsia="仿宋" w:hAnsi="仿宋" w:hint="eastAsia"/>
          <w:bCs/>
          <w:sz w:val="28"/>
        </w:rPr>
        <w:lastRenderedPageBreak/>
        <w:t>（http://www.cninfo.com.cn）上刊载的《关于回购注销公司</w:t>
      </w:r>
      <w:r w:rsidRPr="00980BC4">
        <w:rPr>
          <w:rFonts w:ascii="仿宋" w:eastAsia="仿宋" w:hAnsi="仿宋"/>
          <w:bCs/>
          <w:sz w:val="28"/>
        </w:rPr>
        <w:t>202</w:t>
      </w:r>
      <w:r w:rsidRPr="00980BC4">
        <w:rPr>
          <w:rFonts w:ascii="仿宋" w:eastAsia="仿宋" w:hAnsi="仿宋" w:hint="eastAsia"/>
          <w:bCs/>
          <w:sz w:val="28"/>
        </w:rPr>
        <w:t>1年限制性股票激励计划部分授予限制性股票的公告》（2022-51）。</w:t>
      </w:r>
    </w:p>
    <w:p w:rsidR="002A3304" w:rsidRPr="00980BC4" w:rsidRDefault="00DF4EBF" w:rsidP="00CF7B63">
      <w:pPr>
        <w:pStyle w:val="a3"/>
        <w:spacing w:before="0" w:beforeAutospacing="0" w:after="0" w:afterAutospacing="0" w:line="560" w:lineRule="atLeast"/>
        <w:ind w:firstLine="560"/>
        <w:rPr>
          <w:rFonts w:ascii="仿宋" w:eastAsia="仿宋" w:hAnsi="仿宋"/>
          <w:b/>
          <w:sz w:val="28"/>
          <w:szCs w:val="28"/>
        </w:rPr>
      </w:pPr>
      <w:r w:rsidRPr="00980BC4">
        <w:rPr>
          <w:rFonts w:ascii="仿宋" w:eastAsia="仿宋" w:hAnsi="仿宋"/>
          <w:b/>
          <w:sz w:val="28"/>
          <w:szCs w:val="28"/>
        </w:rPr>
        <w:t>公司董事、高级管理人员获得的股权激励情况</w:t>
      </w:r>
    </w:p>
    <w:p w:rsidR="002A3304" w:rsidRPr="00980BC4" w:rsidRDefault="00DF4EBF" w:rsidP="00CF7B63">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t xml:space="preserve">□适用 </w:t>
      </w:r>
      <w:r w:rsidR="00CF7B63"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CF7B63">
      <w:pPr>
        <w:pStyle w:val="a3"/>
        <w:spacing w:before="0" w:beforeAutospacing="0" w:after="0" w:afterAutospacing="0" w:line="560" w:lineRule="atLeast"/>
        <w:ind w:firstLine="560"/>
        <w:rPr>
          <w:rFonts w:ascii="仿宋" w:eastAsia="仿宋" w:hAnsi="仿宋"/>
          <w:b/>
          <w:sz w:val="28"/>
          <w:szCs w:val="28"/>
        </w:rPr>
      </w:pPr>
      <w:r w:rsidRPr="00980BC4">
        <w:rPr>
          <w:rFonts w:ascii="仿宋" w:eastAsia="仿宋" w:hAnsi="仿宋"/>
          <w:b/>
          <w:sz w:val="28"/>
          <w:szCs w:val="28"/>
        </w:rPr>
        <w:t>高级管理人员的考评机制及激励情况</w:t>
      </w:r>
    </w:p>
    <w:p w:rsidR="002A3304" w:rsidRPr="00980BC4" w:rsidRDefault="002A3304" w:rsidP="00671D5E">
      <w:pPr>
        <w:pStyle w:val="a3"/>
        <w:spacing w:before="0" w:beforeAutospacing="0" w:after="0" w:afterAutospacing="0" w:line="560" w:lineRule="atLeast"/>
        <w:ind w:firstLine="560"/>
        <w:jc w:val="both"/>
        <w:divId w:val="1153763441"/>
      </w:pPr>
      <w:r w:rsidRPr="00980BC4">
        <w:rPr>
          <w:rFonts w:ascii="仿宋" w:eastAsia="仿宋" w:hAnsi="仿宋" w:hint="eastAsia"/>
          <w:sz w:val="28"/>
          <w:szCs w:val="28"/>
        </w:rPr>
        <w:t>公司高级管理人员全部由董事会聘任，高级管理人员的聘任公开、透明，符合法律法规的规定。公司已建立高级管理人员的薪酬与公司绩效和个人业绩挂钩的激励约束机制，实行年度绩效考核，由董事会薪酬与考核委员会根据年度生产经营目标及重点工作完成情况，公司高级管理人员分管工作范围及主要职责，按照绩效评价标准和相应程序，对公司高级管理人员的工作业绩和履行职责情况进行综合考核和审查，核定发放绩效薪酬的标准。报告期内，公司经营层全力贯彻落实年度经营计划和发展目标，较好地完成了各项工作，董事会薪酬与考核委员会已对各高级管理人员在2022年度的履职情况进行了年度绩效考核，并形成具体方案提交董事会审议。公司将继续完善和探索更为有效的激励与约束机制，以进一步调动董事、监事和高级管理人员的积极性与创造性，促进公司持续健康发展。</w:t>
      </w:r>
    </w:p>
    <w:p w:rsidR="002A3304" w:rsidRPr="00980BC4" w:rsidRDefault="00DF4EBF" w:rsidP="00CF7B63">
      <w:pPr>
        <w:pStyle w:val="a3"/>
        <w:spacing w:before="0" w:beforeAutospacing="0" w:after="0" w:afterAutospacing="0" w:line="560" w:lineRule="atLeast"/>
        <w:ind w:firstLine="560"/>
        <w:rPr>
          <w:rFonts w:ascii="仿宋" w:eastAsia="仿宋" w:hAnsi="仿宋"/>
          <w:b/>
          <w:sz w:val="28"/>
          <w:szCs w:val="28"/>
        </w:rPr>
      </w:pPr>
      <w:bookmarkStart w:id="77" w:name="_Toc988966"/>
      <w:r w:rsidRPr="00980BC4">
        <w:rPr>
          <w:rFonts w:ascii="仿宋" w:eastAsia="仿宋" w:hAnsi="仿宋"/>
          <w:b/>
          <w:sz w:val="28"/>
          <w:szCs w:val="28"/>
        </w:rPr>
        <w:t>2、员工持股计划的实施情况</w:t>
      </w:r>
      <w:bookmarkEnd w:id="77"/>
    </w:p>
    <w:p w:rsidR="002A3304" w:rsidRPr="00980BC4" w:rsidRDefault="00DF4EBF" w:rsidP="00CF7B63">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t xml:space="preserve">□适用 </w:t>
      </w:r>
      <w:r w:rsidR="00CF7B63"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CF7B63">
      <w:pPr>
        <w:pStyle w:val="a3"/>
        <w:spacing w:before="0" w:beforeAutospacing="0" w:after="0" w:afterAutospacing="0" w:line="560" w:lineRule="exact"/>
        <w:ind w:firstLine="560"/>
        <w:rPr>
          <w:rFonts w:ascii="仿宋" w:eastAsia="仿宋" w:hAnsi="仿宋"/>
          <w:b/>
          <w:sz w:val="28"/>
          <w:szCs w:val="28"/>
        </w:rPr>
      </w:pPr>
      <w:bookmarkStart w:id="78" w:name="_Toc988967"/>
      <w:r w:rsidRPr="00980BC4">
        <w:rPr>
          <w:rFonts w:ascii="仿宋" w:eastAsia="仿宋" w:hAnsi="仿宋"/>
          <w:b/>
          <w:sz w:val="28"/>
          <w:szCs w:val="28"/>
        </w:rPr>
        <w:t>3、其他员工激励措施</w:t>
      </w:r>
      <w:bookmarkEnd w:id="78"/>
    </w:p>
    <w:p w:rsidR="002A3304" w:rsidRPr="00980BC4" w:rsidRDefault="00DF4EBF" w:rsidP="00CF7B63">
      <w:pPr>
        <w:pStyle w:val="a3"/>
        <w:spacing w:before="0" w:beforeAutospacing="0" w:after="0" w:afterAutospacing="0" w:line="560" w:lineRule="exact"/>
        <w:ind w:firstLine="560"/>
        <w:rPr>
          <w:rFonts w:ascii="仿宋" w:eastAsia="仿宋" w:hAnsi="仿宋"/>
          <w:sz w:val="28"/>
          <w:szCs w:val="28"/>
        </w:rPr>
      </w:pPr>
      <w:r w:rsidRPr="00980BC4">
        <w:rPr>
          <w:rFonts w:ascii="仿宋" w:eastAsia="仿宋" w:hAnsi="仿宋"/>
          <w:sz w:val="28"/>
          <w:szCs w:val="28"/>
        </w:rPr>
        <w:t>□适用</w:t>
      </w:r>
      <w:r w:rsidR="00CF7B63"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CF7B63">
      <w:pPr>
        <w:pStyle w:val="Chapter"/>
        <w:spacing w:before="0" w:after="0" w:line="560" w:lineRule="exact"/>
        <w:ind w:firstLineChars="200" w:firstLine="562"/>
        <w:outlineLvl w:val="1"/>
        <w:rPr>
          <w:bCs w:val="0"/>
          <w:sz w:val="28"/>
          <w:szCs w:val="28"/>
        </w:rPr>
      </w:pPr>
      <w:bookmarkStart w:id="79" w:name="_Toc988968"/>
      <w:r w:rsidRPr="00980BC4">
        <w:rPr>
          <w:bCs w:val="0"/>
          <w:sz w:val="28"/>
          <w:szCs w:val="28"/>
        </w:rPr>
        <w:t>十二、报告期内的内部控制制度建设及实施情况</w:t>
      </w:r>
      <w:bookmarkEnd w:id="79"/>
    </w:p>
    <w:p w:rsidR="002A3304" w:rsidRPr="00980BC4" w:rsidRDefault="00DF4EBF" w:rsidP="00CF7B63">
      <w:pPr>
        <w:pStyle w:val="a3"/>
        <w:spacing w:before="0" w:beforeAutospacing="0" w:after="0" w:afterAutospacing="0" w:line="560" w:lineRule="exact"/>
        <w:ind w:firstLine="560"/>
        <w:rPr>
          <w:rFonts w:ascii="仿宋" w:eastAsia="仿宋" w:hAnsi="仿宋"/>
          <w:b/>
          <w:sz w:val="28"/>
          <w:szCs w:val="28"/>
        </w:rPr>
      </w:pPr>
      <w:bookmarkStart w:id="80" w:name="_Toc988969"/>
      <w:r w:rsidRPr="00980BC4">
        <w:rPr>
          <w:rFonts w:ascii="仿宋" w:eastAsia="仿宋" w:hAnsi="仿宋"/>
          <w:b/>
          <w:sz w:val="28"/>
          <w:szCs w:val="28"/>
        </w:rPr>
        <w:t>1、内部控制建设及实施情况</w:t>
      </w:r>
      <w:bookmarkEnd w:id="80"/>
    </w:p>
    <w:p w:rsidR="002A3304" w:rsidRPr="00980BC4" w:rsidRDefault="002A3304" w:rsidP="00F375A9">
      <w:pPr>
        <w:pStyle w:val="a3"/>
        <w:spacing w:before="0" w:beforeAutospacing="0" w:after="0" w:afterAutospacing="0" w:line="560" w:lineRule="exact"/>
        <w:ind w:firstLine="560"/>
        <w:jc w:val="both"/>
        <w:divId w:val="533344409"/>
      </w:pPr>
      <w:r w:rsidRPr="00980BC4">
        <w:rPr>
          <w:rFonts w:ascii="仿宋" w:eastAsia="仿宋" w:hAnsi="仿宋" w:hint="eastAsia"/>
          <w:sz w:val="28"/>
          <w:szCs w:val="28"/>
        </w:rPr>
        <w:lastRenderedPageBreak/>
        <w:t>报告期内，公司严格按照《企业内部控制基本规范》及其配套指引的规定和其他内部控制监管要求，开展了风险管理和内部控制工作，并根据公司经营环境的变化情况，不断完善公司内控制度，梳理和规范内控流程。公司积极实施公司内部控制有效性的自我评价，形成内控评价结论，编制内部控制评价报告。公司内部控制设计合理，内部控制执行有效，不存在重大缺陷，有效防范了经营管理中的风险。</w:t>
      </w:r>
    </w:p>
    <w:p w:rsidR="002A3304" w:rsidRPr="00980BC4" w:rsidRDefault="002A3304" w:rsidP="00F375A9">
      <w:pPr>
        <w:pStyle w:val="a3"/>
        <w:spacing w:before="0" w:beforeAutospacing="0" w:after="0" w:afterAutospacing="0" w:line="560" w:lineRule="exact"/>
        <w:ind w:firstLine="560"/>
        <w:jc w:val="both"/>
        <w:divId w:val="533344409"/>
      </w:pPr>
      <w:r w:rsidRPr="00980BC4">
        <w:rPr>
          <w:rFonts w:ascii="仿宋" w:eastAsia="仿宋" w:hAnsi="仿宋" w:hint="eastAsia"/>
          <w:sz w:val="28"/>
          <w:szCs w:val="28"/>
        </w:rPr>
        <w:t>报告期内，公司根据最新政策、监管要求及发展现状，并经公司第十届董事会第十二次会议、第十七次会议及公司2021年度股东大会、2022年第一次临时股东大会审议通过，对《公司章程》《股东大会议事规则》《监事会议事规则》《独立董事工作制度》《信息披露制度》《内幕信息知情人登记管理制度》《董事会秘书工作制度》《关联交易管理制度》《证券投资管理制度》《投资管理制度》及《战略管理制度》等十九份公司规章制度进行了修订，公司治理制度体系得到了进一步完善。</w:t>
      </w:r>
    </w:p>
    <w:p w:rsidR="002A3304" w:rsidRPr="00980BC4" w:rsidRDefault="00DF4EBF" w:rsidP="00CF7B63">
      <w:pPr>
        <w:pStyle w:val="a3"/>
        <w:spacing w:before="0" w:beforeAutospacing="0" w:after="0" w:afterAutospacing="0" w:line="560" w:lineRule="exact"/>
        <w:ind w:firstLine="560"/>
        <w:rPr>
          <w:rFonts w:ascii="仿宋" w:eastAsia="仿宋" w:hAnsi="仿宋"/>
          <w:b/>
          <w:sz w:val="28"/>
          <w:szCs w:val="28"/>
        </w:rPr>
      </w:pPr>
      <w:bookmarkStart w:id="81" w:name="_Toc988970"/>
      <w:r w:rsidRPr="00980BC4">
        <w:rPr>
          <w:rFonts w:ascii="仿宋" w:eastAsia="仿宋" w:hAnsi="仿宋"/>
          <w:b/>
          <w:sz w:val="28"/>
          <w:szCs w:val="28"/>
        </w:rPr>
        <w:t>2、报告期内发现的内部控制重大缺陷的具体情况</w:t>
      </w:r>
      <w:bookmarkEnd w:id="81"/>
    </w:p>
    <w:p w:rsidR="002A3304" w:rsidRPr="00980BC4" w:rsidRDefault="00DF4EBF" w:rsidP="00CF7B63">
      <w:pPr>
        <w:pStyle w:val="a3"/>
        <w:spacing w:before="0" w:beforeAutospacing="0" w:after="0" w:afterAutospacing="0" w:line="560" w:lineRule="exact"/>
        <w:ind w:firstLine="560"/>
        <w:rPr>
          <w:rFonts w:ascii="仿宋" w:eastAsia="仿宋" w:hAnsi="仿宋"/>
          <w:sz w:val="28"/>
          <w:szCs w:val="28"/>
        </w:rPr>
      </w:pPr>
      <w:r w:rsidRPr="00980BC4">
        <w:rPr>
          <w:rFonts w:ascii="仿宋" w:eastAsia="仿宋" w:hAnsi="仿宋"/>
          <w:sz w:val="28"/>
          <w:szCs w:val="28"/>
        </w:rPr>
        <w:t>□是</w:t>
      </w:r>
      <w:r w:rsidR="00CF7B63"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否</w:t>
      </w:r>
    </w:p>
    <w:p w:rsidR="002A3304" w:rsidRPr="00980BC4" w:rsidRDefault="00DF4EBF" w:rsidP="00CF7B63">
      <w:pPr>
        <w:pStyle w:val="Chapter"/>
        <w:spacing w:before="0" w:after="0" w:line="560" w:lineRule="exact"/>
        <w:ind w:firstLineChars="200" w:firstLine="562"/>
        <w:outlineLvl w:val="1"/>
        <w:rPr>
          <w:bCs w:val="0"/>
          <w:sz w:val="28"/>
          <w:szCs w:val="28"/>
        </w:rPr>
      </w:pPr>
      <w:bookmarkStart w:id="82" w:name="_Toc988971"/>
      <w:r w:rsidRPr="00980BC4">
        <w:rPr>
          <w:bCs w:val="0"/>
          <w:sz w:val="28"/>
          <w:szCs w:val="28"/>
        </w:rPr>
        <w:t>十三、公司报告期内对子公司的管理控制情况</w:t>
      </w:r>
      <w:bookmarkEnd w:id="8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377"/>
        <w:gridCol w:w="1377"/>
        <w:gridCol w:w="1377"/>
        <w:gridCol w:w="1377"/>
        <w:gridCol w:w="1377"/>
      </w:tblGrid>
      <w:tr w:rsidR="002A3304" w:rsidRPr="00980BC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公司名称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整合计划</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整合进展</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整合中遇到的问题</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已采取的解决措施</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解决进展</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后续解决计划</w:t>
            </w:r>
          </w:p>
        </w:tc>
      </w:tr>
      <w:tr w:rsidR="002A3304" w:rsidRPr="00980BC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沈阳含能</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r>
      <w:tr w:rsidR="002A3304" w:rsidRPr="00980BC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沈阳非晶</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r>
      <w:tr w:rsidR="002A3304" w:rsidRPr="00980BC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四川升华</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r>
      <w:tr w:rsidR="002A3304" w:rsidRPr="00980BC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四川甘华</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r>
    </w:tbl>
    <w:p w:rsidR="002A3304" w:rsidRPr="00980BC4" w:rsidRDefault="00DF4EBF" w:rsidP="00CF7B63">
      <w:pPr>
        <w:pStyle w:val="Chapter"/>
        <w:spacing w:before="0" w:after="0" w:line="560" w:lineRule="exact"/>
        <w:ind w:firstLineChars="200" w:firstLine="562"/>
        <w:outlineLvl w:val="1"/>
        <w:rPr>
          <w:bCs w:val="0"/>
          <w:sz w:val="28"/>
          <w:szCs w:val="28"/>
        </w:rPr>
      </w:pPr>
      <w:bookmarkStart w:id="83" w:name="_Toc988972"/>
      <w:r w:rsidRPr="00980BC4">
        <w:rPr>
          <w:bCs w:val="0"/>
          <w:sz w:val="28"/>
          <w:szCs w:val="28"/>
        </w:rPr>
        <w:t>十四、内部控制自我评价报告或内部控制审计报告</w:t>
      </w:r>
      <w:bookmarkEnd w:id="83"/>
    </w:p>
    <w:p w:rsidR="002A3304" w:rsidRPr="00980BC4" w:rsidRDefault="00DF4EBF" w:rsidP="00CF7B63">
      <w:pPr>
        <w:pStyle w:val="a3"/>
        <w:spacing w:before="0" w:beforeAutospacing="0" w:after="0" w:afterAutospacing="0" w:line="560" w:lineRule="exact"/>
        <w:ind w:firstLine="560"/>
        <w:rPr>
          <w:rFonts w:ascii="仿宋" w:eastAsia="仿宋" w:hAnsi="仿宋"/>
          <w:b/>
          <w:sz w:val="28"/>
          <w:szCs w:val="28"/>
        </w:rPr>
      </w:pPr>
      <w:bookmarkStart w:id="84" w:name="_Toc988973"/>
      <w:r w:rsidRPr="00980BC4">
        <w:rPr>
          <w:rFonts w:ascii="仿宋" w:eastAsia="仿宋" w:hAnsi="仿宋"/>
          <w:b/>
          <w:sz w:val="28"/>
          <w:szCs w:val="28"/>
        </w:rPr>
        <w:t>1、内控自我评价报告</w:t>
      </w:r>
      <w:bookmarkEnd w:id="8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943"/>
        <w:gridCol w:w="3483"/>
        <w:gridCol w:w="3213"/>
      </w:tblGrid>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内部控制评价报告全文披露日期</w:t>
            </w:r>
          </w:p>
        </w:tc>
        <w:tc>
          <w:tcPr>
            <w:tcW w:w="6696"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2023年04月08日</w:t>
            </w:r>
          </w:p>
        </w:tc>
      </w:tr>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内部控制评价报告全文披露索引</w:t>
            </w:r>
          </w:p>
        </w:tc>
        <w:tc>
          <w:tcPr>
            <w:tcW w:w="6696"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详见公司2023年4月8日在巨潮资讯网（www.cninfo.com.cn）上披露的《广东甘化科工股份有限公司2022年度内部控制评价报告》</w:t>
            </w:r>
          </w:p>
        </w:tc>
      </w:tr>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纳入评价范围单位资产总额占公司合并财务报表资产总额的比例</w:t>
            </w:r>
          </w:p>
        </w:tc>
        <w:tc>
          <w:tcPr>
            <w:tcW w:w="6696" w:type="dxa"/>
            <w:gridSpan w:val="2"/>
            <w:tcBorders>
              <w:top w:val="single" w:sz="2" w:space="0" w:color="auto"/>
              <w:left w:val="single" w:sz="2" w:space="0" w:color="auto"/>
              <w:bottom w:val="single" w:sz="2" w:space="0" w:color="auto"/>
              <w:right w:val="single" w:sz="2" w:space="0" w:color="auto"/>
            </w:tcBorders>
            <w:vAlign w:val="center"/>
          </w:tcPr>
          <w:p w:rsidR="002A3304" w:rsidRPr="005A46B9" w:rsidRDefault="00E37CA2" w:rsidP="005A46B9">
            <w:pPr>
              <w:spacing w:line="280" w:lineRule="exact"/>
              <w:jc w:val="right"/>
              <w:rPr>
                <w:rFonts w:ascii="宋体" w:eastAsia="宋体" w:hAnsi="宋体" w:cs="宋体"/>
                <w:sz w:val="18"/>
                <w:szCs w:val="18"/>
              </w:rPr>
            </w:pPr>
            <w:r w:rsidRPr="005A46B9">
              <w:rPr>
                <w:rFonts w:ascii="宋体" w:eastAsia="宋体" w:hAnsi="宋体" w:cs="宋体"/>
                <w:sz w:val="18"/>
                <w:szCs w:val="18"/>
              </w:rPr>
              <w:t>9</w:t>
            </w:r>
            <w:r w:rsidRPr="005A46B9">
              <w:rPr>
                <w:rFonts w:ascii="宋体" w:eastAsia="宋体" w:hAnsi="宋体" w:cs="宋体" w:hint="eastAsia"/>
                <w:sz w:val="18"/>
                <w:szCs w:val="18"/>
              </w:rPr>
              <w:t>6</w:t>
            </w:r>
            <w:r w:rsidRPr="005A46B9">
              <w:rPr>
                <w:rFonts w:ascii="宋体" w:eastAsia="宋体" w:hAnsi="宋体" w:cs="宋体"/>
                <w:sz w:val="18"/>
                <w:szCs w:val="18"/>
              </w:rPr>
              <w:t>.</w:t>
            </w:r>
            <w:r w:rsidRPr="005A46B9">
              <w:rPr>
                <w:rFonts w:ascii="宋体" w:eastAsia="宋体" w:hAnsi="宋体" w:cs="宋体" w:hint="eastAsia"/>
                <w:sz w:val="18"/>
                <w:szCs w:val="18"/>
              </w:rPr>
              <w:t>7</w:t>
            </w:r>
            <w:r w:rsidR="005A46B9" w:rsidRPr="005A46B9">
              <w:rPr>
                <w:rFonts w:ascii="宋体" w:eastAsia="宋体" w:hAnsi="宋体" w:cs="宋体" w:hint="eastAsia"/>
                <w:sz w:val="18"/>
                <w:szCs w:val="18"/>
              </w:rPr>
              <w:t>1</w:t>
            </w:r>
            <w:r w:rsidRPr="005A46B9">
              <w:rPr>
                <w:rFonts w:ascii="宋体" w:eastAsia="宋体" w:hAnsi="宋体" w:cs="宋体"/>
                <w:sz w:val="18"/>
                <w:szCs w:val="18"/>
              </w:rPr>
              <w:t>%</w:t>
            </w:r>
          </w:p>
        </w:tc>
      </w:tr>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纳入评价范围单位营业收入占公司</w:t>
            </w:r>
            <w:r w:rsidRPr="00980BC4">
              <w:rPr>
                <w:rFonts w:ascii="宋体" w:eastAsia="宋体" w:hAnsi="宋体" w:cs="宋体"/>
                <w:sz w:val="18"/>
                <w:szCs w:val="18"/>
              </w:rPr>
              <w:lastRenderedPageBreak/>
              <w:t>合并财务报表营业收入的比例</w:t>
            </w:r>
          </w:p>
        </w:tc>
        <w:tc>
          <w:tcPr>
            <w:tcW w:w="6696" w:type="dxa"/>
            <w:gridSpan w:val="2"/>
            <w:tcBorders>
              <w:top w:val="single" w:sz="2" w:space="0" w:color="auto"/>
              <w:left w:val="single" w:sz="2" w:space="0" w:color="auto"/>
              <w:bottom w:val="single" w:sz="2" w:space="0" w:color="auto"/>
              <w:right w:val="single" w:sz="2" w:space="0" w:color="auto"/>
            </w:tcBorders>
            <w:vAlign w:val="center"/>
          </w:tcPr>
          <w:p w:rsidR="002A3304" w:rsidRPr="005A46B9" w:rsidRDefault="00E37CA2" w:rsidP="005A46B9">
            <w:pPr>
              <w:spacing w:line="280" w:lineRule="exact"/>
              <w:jc w:val="right"/>
              <w:rPr>
                <w:rFonts w:ascii="宋体" w:eastAsia="宋体" w:hAnsi="宋体" w:cs="宋体"/>
                <w:sz w:val="18"/>
                <w:szCs w:val="18"/>
              </w:rPr>
            </w:pPr>
            <w:r w:rsidRPr="005A46B9">
              <w:rPr>
                <w:rFonts w:ascii="宋体" w:eastAsia="宋体" w:hAnsi="宋体" w:cs="宋体" w:hint="eastAsia"/>
                <w:sz w:val="18"/>
                <w:szCs w:val="18"/>
              </w:rPr>
              <w:lastRenderedPageBreak/>
              <w:t>96.59%</w:t>
            </w:r>
          </w:p>
        </w:tc>
      </w:tr>
      <w:tr w:rsidR="002A3304" w:rsidRPr="00980BC4">
        <w:trPr>
          <w:trHeight w:val="240"/>
        </w:trPr>
        <w:tc>
          <w:tcPr>
            <w:tcW w:w="963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lastRenderedPageBreak/>
              <w:t>缺陷认定标准</w:t>
            </w:r>
          </w:p>
        </w:tc>
      </w:tr>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类别</w:t>
            </w:r>
          </w:p>
        </w:tc>
        <w:tc>
          <w:tcPr>
            <w:tcW w:w="348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财务报告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非财务报告</w:t>
            </w:r>
          </w:p>
        </w:tc>
      </w:tr>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定性标准</w:t>
            </w:r>
          </w:p>
        </w:tc>
        <w:tc>
          <w:tcPr>
            <w:tcW w:w="348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财务报告重大缺陷的迹象包括：公司董事、监事和高级管理人员的舞弊行为；公司更正已公布的财务报告；注册会计师发现的却未被公司内部控制识别的当期财务报告中的重大错报；审计委员会和审计部对公司的对外财务报告和财务报告内部控制监督无效。财务报告重要缺陷的迹象包括：未依照公认会计准则选择和应用会计政策；未建立反舞弊程序和控制措施；对于非常规或特殊交易的账务处理没有建立相应的控制机制或没有实施且没有相应的补偿性控制；对于期末财务报告过程的控制存在一项或多项缺陷且不能合理保证编制的财务报表达到真实、准确的目标。一般缺陷是指除上述重大缺陷、重要缺陷之外的其他控制缺陷。</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非财务报告重大缺陷的存在的迹象包括：违犯国家法律法规或规范性文件；重大决策程序不科学；制度缺失可能导致系统性失效；重大或重要缺陷长期未得到有效整改；主要管理人员或关键岗位人员流失严重；其他对公司负面影响重大的情形。其他情形按影响程度分别确定为重要缺陷或一般缺陷。</w:t>
            </w:r>
          </w:p>
        </w:tc>
      </w:tr>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定量标准</w:t>
            </w:r>
          </w:p>
        </w:tc>
        <w:tc>
          <w:tcPr>
            <w:tcW w:w="348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重大缺陷指考虑补偿性控制措施和实际偏差率后，该缺陷总体影响水平高于重要性水平(营业收入的0.5%)。重要缺陷指考虑补偿性控制措施和实际偏差率后，该缺陷总体影响水平低于重要性水平(营业收入的0.5%)，但高于一般性水平(营业收入的0.1%)。一般缺陷指考虑补偿性控制措施和实际偏差率后，该缺陷总体影响水平低于一般性水平(营业收入的0.1％)。</w:t>
            </w:r>
          </w:p>
        </w:tc>
        <w:tc>
          <w:tcPr>
            <w:tcW w:w="321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重大缺陷指：1、已经对外正式披露并对公司定期报告披露造成负面影响；2、被媒体频频曝光负面新闻。该缺陷造成直接财产损失250万元</w:t>
            </w:r>
          </w:p>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含)以上。重要缺陷指：1、受到国家政府部门处罚，但未对公司定期报告披露造成负面影响；2、被媒体曝光且产生负面影响。该缺陷造成直接财产损失50万(含)-250万元。一般缺陷指：受到省级（含省级）以下政府部门处罚但未对公司定期报告披露造成负面影响。该缺陷造成直接财产损失50万元以下。</w:t>
            </w:r>
          </w:p>
        </w:tc>
      </w:tr>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财务报告重大缺陷数量（个）</w:t>
            </w:r>
          </w:p>
        </w:tc>
        <w:tc>
          <w:tcPr>
            <w:tcW w:w="6696"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r>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非财务报告重大缺陷数量（个）</w:t>
            </w:r>
          </w:p>
        </w:tc>
        <w:tc>
          <w:tcPr>
            <w:tcW w:w="6696"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r>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财务报告重要缺陷数量（个）</w:t>
            </w:r>
          </w:p>
        </w:tc>
        <w:tc>
          <w:tcPr>
            <w:tcW w:w="6696"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r>
      <w:tr w:rsidR="002A3304" w:rsidRPr="00980BC4" w:rsidTr="00CF7B63">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非财务报告重要缺陷数量（个）</w:t>
            </w:r>
          </w:p>
        </w:tc>
        <w:tc>
          <w:tcPr>
            <w:tcW w:w="6696"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r>
    </w:tbl>
    <w:p w:rsidR="002A3304" w:rsidRPr="00980BC4" w:rsidRDefault="00DF4EBF" w:rsidP="00CF7B63">
      <w:pPr>
        <w:pStyle w:val="a3"/>
        <w:spacing w:before="0" w:beforeAutospacing="0" w:after="0" w:afterAutospacing="0" w:line="560" w:lineRule="exact"/>
        <w:ind w:firstLine="560"/>
        <w:rPr>
          <w:rFonts w:ascii="仿宋" w:eastAsia="仿宋" w:hAnsi="仿宋"/>
          <w:b/>
          <w:sz w:val="28"/>
          <w:szCs w:val="28"/>
        </w:rPr>
      </w:pPr>
      <w:bookmarkStart w:id="85" w:name="_Toc988974"/>
      <w:r w:rsidRPr="00980BC4">
        <w:rPr>
          <w:rFonts w:ascii="仿宋" w:eastAsia="仿宋" w:hAnsi="仿宋"/>
          <w:b/>
          <w:sz w:val="28"/>
          <w:szCs w:val="28"/>
        </w:rPr>
        <w:t>2、内部控制审计报告</w:t>
      </w:r>
      <w:bookmarkEnd w:id="85"/>
    </w:p>
    <w:p w:rsidR="002A3304" w:rsidRPr="00980BC4" w:rsidRDefault="00DF4EBF" w:rsidP="00CF7B63">
      <w:pPr>
        <w:pStyle w:val="a3"/>
        <w:spacing w:before="0" w:beforeAutospacing="0" w:after="0" w:afterAutospacing="0" w:line="560" w:lineRule="exact"/>
        <w:ind w:firstLine="560"/>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适用 </w:t>
      </w:r>
      <w:r w:rsidR="00CF7B63" w:rsidRPr="00980BC4">
        <w:rPr>
          <w:rFonts w:ascii="仿宋" w:eastAsia="仿宋" w:hAnsi="仿宋" w:hint="eastAsia"/>
          <w:sz w:val="28"/>
          <w:szCs w:val="28"/>
        </w:rPr>
        <w:t xml:space="preserve"> </w:t>
      </w:r>
      <w:r w:rsidRPr="00980BC4">
        <w:rPr>
          <w:rFonts w:ascii="仿宋" w:eastAsia="仿宋" w:hAnsi="仿宋"/>
          <w:sz w:val="28"/>
          <w:szCs w:val="28"/>
        </w:rPr>
        <w:t>□不适用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2A3304" w:rsidRPr="00980BC4">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内部控制审计报告中的审议意见段</w:t>
            </w:r>
          </w:p>
        </w:tc>
      </w:tr>
      <w:tr w:rsidR="002A3304" w:rsidRPr="00980BC4">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我们认为，甘化科工公司于2022年12月31日按照《企业内部控制基本规范》和相关规定在所有重大方面保持了有效的财务报告内部控制。</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内控审计报告披露情况</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披露</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内部控制审计报告全文披露日期</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2023年04月08日</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内部控制审计报告全文披露索引</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详见公司2023年4月8日在巨潮资讯网</w:t>
            </w:r>
            <w:r w:rsidRPr="00980BC4">
              <w:rPr>
                <w:rFonts w:ascii="宋体" w:eastAsia="宋体" w:hAnsi="宋体" w:cs="宋体"/>
                <w:sz w:val="18"/>
                <w:szCs w:val="18"/>
              </w:rPr>
              <w:lastRenderedPageBreak/>
              <w:t>（www.cninfo.com.cn）上披露的《广东甘化科工股份有限公司内部控制审计报告》</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内控审计报告意见类型</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标准无保留意见</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rPr>
                <w:rFonts w:ascii="宋体" w:eastAsia="宋体" w:hAnsi="宋体" w:cs="宋体"/>
                <w:sz w:val="18"/>
                <w:szCs w:val="18"/>
              </w:rPr>
            </w:pPr>
            <w:r w:rsidRPr="00980BC4">
              <w:rPr>
                <w:rFonts w:ascii="宋体" w:eastAsia="宋体" w:hAnsi="宋体" w:cs="宋体"/>
                <w:sz w:val="18"/>
                <w:szCs w:val="18"/>
              </w:rPr>
              <w:t>非财务报告是否存在重大缺陷</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否</w:t>
            </w:r>
          </w:p>
        </w:tc>
      </w:tr>
    </w:tbl>
    <w:p w:rsidR="002A3304" w:rsidRPr="00980BC4" w:rsidRDefault="00DF4EBF" w:rsidP="00CF7B63">
      <w:pPr>
        <w:pStyle w:val="a3"/>
        <w:spacing w:before="0" w:beforeAutospacing="0" w:after="0" w:afterAutospacing="0" w:line="560" w:lineRule="exact"/>
        <w:ind w:firstLine="560"/>
        <w:rPr>
          <w:rFonts w:ascii="仿宋" w:eastAsia="仿宋" w:hAnsi="仿宋"/>
          <w:b/>
          <w:sz w:val="28"/>
          <w:szCs w:val="28"/>
        </w:rPr>
      </w:pPr>
      <w:r w:rsidRPr="00980BC4">
        <w:rPr>
          <w:rFonts w:ascii="仿宋" w:eastAsia="仿宋" w:hAnsi="仿宋"/>
          <w:b/>
          <w:sz w:val="28"/>
          <w:szCs w:val="28"/>
        </w:rPr>
        <w:t>会计师事务所是否出具非标准意见的内部控制审计报告</w:t>
      </w:r>
    </w:p>
    <w:p w:rsidR="002A3304" w:rsidRPr="00980BC4" w:rsidRDefault="00DF4EBF" w:rsidP="00CF7B63">
      <w:pPr>
        <w:pStyle w:val="a3"/>
        <w:spacing w:before="0" w:beforeAutospacing="0" w:after="0" w:afterAutospacing="0" w:line="560" w:lineRule="exact"/>
        <w:ind w:firstLine="560"/>
        <w:rPr>
          <w:rFonts w:ascii="仿宋" w:eastAsia="仿宋" w:hAnsi="仿宋"/>
          <w:sz w:val="28"/>
          <w:szCs w:val="28"/>
        </w:rPr>
      </w:pPr>
      <w:r w:rsidRPr="00980BC4">
        <w:rPr>
          <w:rFonts w:ascii="仿宋" w:eastAsia="仿宋" w:hAnsi="仿宋"/>
          <w:sz w:val="28"/>
          <w:szCs w:val="28"/>
        </w:rPr>
        <w:t xml:space="preserve">□是 </w:t>
      </w:r>
      <w:r w:rsidR="00CF7B63"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否</w:t>
      </w:r>
    </w:p>
    <w:p w:rsidR="002A3304" w:rsidRPr="00980BC4" w:rsidRDefault="00DF4EBF" w:rsidP="00CF7B63">
      <w:pPr>
        <w:pStyle w:val="a3"/>
        <w:spacing w:before="0" w:beforeAutospacing="0" w:after="0" w:afterAutospacing="0" w:line="560" w:lineRule="exact"/>
        <w:ind w:firstLine="560"/>
        <w:rPr>
          <w:rFonts w:ascii="仿宋" w:eastAsia="仿宋" w:hAnsi="仿宋"/>
          <w:b/>
          <w:sz w:val="28"/>
          <w:szCs w:val="28"/>
        </w:rPr>
      </w:pPr>
      <w:r w:rsidRPr="00980BC4">
        <w:rPr>
          <w:rFonts w:ascii="仿宋" w:eastAsia="仿宋" w:hAnsi="仿宋"/>
          <w:b/>
          <w:sz w:val="28"/>
          <w:szCs w:val="28"/>
        </w:rPr>
        <w:t>会计师事务所出具的内部控制审计报告与董事会的自我评价报告意见是否一致</w:t>
      </w:r>
    </w:p>
    <w:p w:rsidR="002A3304" w:rsidRPr="00980BC4" w:rsidRDefault="00DF4EBF" w:rsidP="00CF7B63">
      <w:pPr>
        <w:pStyle w:val="a3"/>
        <w:spacing w:before="0" w:beforeAutospacing="0" w:after="0" w:afterAutospacing="0" w:line="560" w:lineRule="exact"/>
        <w:ind w:firstLine="560"/>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是 </w:t>
      </w:r>
      <w:r w:rsidR="00CF7B63" w:rsidRPr="00980BC4">
        <w:rPr>
          <w:rFonts w:ascii="仿宋" w:eastAsia="仿宋" w:hAnsi="仿宋" w:hint="eastAsia"/>
          <w:sz w:val="28"/>
          <w:szCs w:val="28"/>
        </w:rPr>
        <w:t xml:space="preserve"> </w:t>
      </w:r>
      <w:r w:rsidRPr="00980BC4">
        <w:rPr>
          <w:rFonts w:ascii="仿宋" w:eastAsia="仿宋" w:hAnsi="仿宋"/>
          <w:sz w:val="28"/>
          <w:szCs w:val="28"/>
        </w:rPr>
        <w:t>□否</w:t>
      </w:r>
    </w:p>
    <w:p w:rsidR="002A3304" w:rsidRPr="00980BC4" w:rsidRDefault="00DF4EBF" w:rsidP="00CF7B63">
      <w:pPr>
        <w:pStyle w:val="Chapter"/>
        <w:spacing w:before="0" w:after="0" w:line="560" w:lineRule="exact"/>
        <w:ind w:firstLineChars="200" w:firstLine="562"/>
        <w:outlineLvl w:val="1"/>
        <w:rPr>
          <w:bCs w:val="0"/>
          <w:sz w:val="28"/>
          <w:szCs w:val="28"/>
        </w:rPr>
      </w:pPr>
      <w:bookmarkStart w:id="86" w:name="_Toc988975"/>
      <w:r w:rsidRPr="00980BC4">
        <w:rPr>
          <w:bCs w:val="0"/>
          <w:sz w:val="28"/>
          <w:szCs w:val="28"/>
        </w:rPr>
        <w:t>十五、上市公司治理专项行动自查问题整改情况</w:t>
      </w:r>
      <w:bookmarkEnd w:id="86"/>
    </w:p>
    <w:p w:rsidR="002A3304" w:rsidRPr="00980BC4" w:rsidRDefault="002A3304" w:rsidP="00A204E5">
      <w:pPr>
        <w:pStyle w:val="a3"/>
        <w:spacing w:before="0" w:beforeAutospacing="0" w:after="0" w:afterAutospacing="0" w:line="560" w:lineRule="exact"/>
        <w:ind w:firstLine="560"/>
        <w:jc w:val="both"/>
        <w:divId w:val="1093473150"/>
      </w:pPr>
      <w:r w:rsidRPr="00980BC4">
        <w:rPr>
          <w:rFonts w:ascii="仿宋" w:eastAsia="仿宋" w:hAnsi="仿宋" w:hint="eastAsia"/>
          <w:sz w:val="28"/>
          <w:szCs w:val="28"/>
        </w:rPr>
        <w:t>公司今后将继续按照相关监管规定的要求，做到公司与控股股东在人员、资产、财务分开以及机构、业务相对独立，强化对控股股东、实际控制人、董监高等“关键少数”的行为规范的约束。按照规定程序审批和管控资金使用、担保业务、关联交易等事项，及时履行信息披露义务，有效发挥独立董事、监事会及内审机构的监督作用。</w:t>
      </w:r>
    </w:p>
    <w:p w:rsidR="002A3304" w:rsidRPr="00980BC4" w:rsidRDefault="00DF4EBF">
      <w:pPr>
        <w:pStyle w:val="headingh1"/>
        <w:spacing w:before="340" w:after="330" w:line="773" w:lineRule="exact"/>
        <w:jc w:val="center"/>
        <w:rPr>
          <w:rFonts w:ascii="宋体" w:eastAsia="宋体" w:hAnsi="宋体" w:cs="宋体"/>
          <w:b/>
          <w:bCs/>
          <w:sz w:val="32"/>
          <w:szCs w:val="32"/>
        </w:rPr>
      </w:pPr>
      <w:bookmarkStart w:id="87" w:name="_Toc988976"/>
      <w:r w:rsidRPr="00980BC4">
        <w:rPr>
          <w:rFonts w:ascii="宋体" w:eastAsia="宋体" w:hAnsi="宋体" w:cs="宋体"/>
          <w:b/>
          <w:bCs/>
          <w:sz w:val="32"/>
          <w:szCs w:val="32"/>
        </w:rPr>
        <w:t>第五节 环境和社会责任</w:t>
      </w:r>
      <w:bookmarkEnd w:id="87"/>
    </w:p>
    <w:p w:rsidR="002A3304" w:rsidRPr="00980BC4" w:rsidRDefault="00DF4EBF" w:rsidP="00CF7B63">
      <w:pPr>
        <w:pStyle w:val="Chapter"/>
        <w:spacing w:before="0" w:after="0" w:line="560" w:lineRule="exact"/>
        <w:ind w:firstLineChars="200" w:firstLine="562"/>
        <w:outlineLvl w:val="1"/>
        <w:rPr>
          <w:bCs w:val="0"/>
          <w:sz w:val="28"/>
          <w:szCs w:val="28"/>
        </w:rPr>
      </w:pPr>
      <w:bookmarkStart w:id="88" w:name="_Toc988977"/>
      <w:r w:rsidRPr="00980BC4">
        <w:rPr>
          <w:bCs w:val="0"/>
          <w:sz w:val="28"/>
          <w:szCs w:val="28"/>
        </w:rPr>
        <w:t>一、重大环保问题</w:t>
      </w:r>
      <w:bookmarkEnd w:id="88"/>
    </w:p>
    <w:p w:rsidR="002A3304" w:rsidRPr="00980BC4" w:rsidRDefault="00DF4EBF" w:rsidP="00CF7B63">
      <w:pPr>
        <w:pStyle w:val="a3"/>
        <w:spacing w:before="0" w:beforeAutospacing="0" w:after="0" w:afterAutospacing="0" w:line="560" w:lineRule="exact"/>
        <w:ind w:firstLine="560"/>
        <w:rPr>
          <w:rFonts w:ascii="仿宋" w:eastAsia="仿宋" w:hAnsi="仿宋"/>
          <w:b/>
          <w:sz w:val="28"/>
          <w:szCs w:val="28"/>
        </w:rPr>
      </w:pPr>
      <w:r w:rsidRPr="00980BC4">
        <w:rPr>
          <w:rFonts w:ascii="仿宋" w:eastAsia="仿宋" w:hAnsi="仿宋"/>
          <w:b/>
          <w:sz w:val="28"/>
          <w:szCs w:val="28"/>
        </w:rPr>
        <w:t>上市公司及其子公司是否属于环境保护部门公布的重点排污单位</w:t>
      </w:r>
    </w:p>
    <w:p w:rsidR="002A3304" w:rsidRPr="00980BC4" w:rsidRDefault="00DF4EBF" w:rsidP="00CF7B63">
      <w:pPr>
        <w:pStyle w:val="a3"/>
        <w:spacing w:before="0" w:beforeAutospacing="0" w:after="0" w:afterAutospacing="0" w:line="560" w:lineRule="exact"/>
        <w:ind w:firstLine="560"/>
        <w:rPr>
          <w:rFonts w:ascii="仿宋" w:eastAsia="仿宋" w:hAnsi="仿宋"/>
          <w:sz w:val="28"/>
          <w:szCs w:val="28"/>
        </w:rPr>
      </w:pPr>
      <w:r w:rsidRPr="00980BC4">
        <w:rPr>
          <w:rFonts w:ascii="仿宋" w:eastAsia="仿宋" w:hAnsi="仿宋"/>
          <w:sz w:val="28"/>
          <w:szCs w:val="28"/>
        </w:rPr>
        <w:t>□是</w:t>
      </w:r>
      <w:r w:rsidR="00CF7B63"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否</w:t>
      </w:r>
    </w:p>
    <w:p w:rsidR="002A3304" w:rsidRPr="00980BC4" w:rsidRDefault="00DF4EBF" w:rsidP="00CF7B63">
      <w:pPr>
        <w:pStyle w:val="a3"/>
        <w:spacing w:before="0" w:beforeAutospacing="0" w:after="0" w:afterAutospacing="0" w:line="560" w:lineRule="exact"/>
        <w:ind w:firstLine="560"/>
        <w:rPr>
          <w:rFonts w:ascii="仿宋" w:eastAsia="仿宋" w:hAnsi="仿宋"/>
          <w:b/>
          <w:sz w:val="28"/>
          <w:szCs w:val="28"/>
        </w:rPr>
      </w:pPr>
      <w:r w:rsidRPr="00980BC4">
        <w:rPr>
          <w:rFonts w:ascii="仿宋" w:eastAsia="仿宋" w:hAnsi="仿宋"/>
          <w:b/>
          <w:sz w:val="28"/>
          <w:szCs w:val="28"/>
        </w:rPr>
        <w:t>报告期内因环境问题受到行政处罚的情况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6"/>
        <w:gridCol w:w="1606"/>
        <w:gridCol w:w="1606"/>
        <w:gridCol w:w="1607"/>
        <w:gridCol w:w="1607"/>
        <w:gridCol w:w="1607"/>
      </w:tblGrid>
      <w:tr w:rsidR="002A3304" w:rsidRPr="00980BC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公司或子公司名称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处罚原因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违规情形</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处罚结果</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对上市公司生产经营的影响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公司的整改措施</w:t>
            </w:r>
          </w:p>
        </w:tc>
      </w:tr>
      <w:tr w:rsidR="002A3304" w:rsidRPr="00980BC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无</w:t>
            </w:r>
          </w:p>
        </w:tc>
      </w:tr>
    </w:tbl>
    <w:p w:rsidR="002A3304" w:rsidRPr="00980BC4" w:rsidRDefault="00DF4EBF" w:rsidP="00A974FF">
      <w:pPr>
        <w:pStyle w:val="a3"/>
        <w:spacing w:before="0" w:beforeAutospacing="0" w:after="0" w:afterAutospacing="0" w:line="560" w:lineRule="exact"/>
        <w:ind w:firstLine="560"/>
        <w:rPr>
          <w:rFonts w:ascii="仿宋" w:eastAsia="仿宋" w:hAnsi="仿宋"/>
          <w:b/>
          <w:sz w:val="28"/>
          <w:szCs w:val="28"/>
        </w:rPr>
      </w:pPr>
      <w:r w:rsidRPr="00980BC4">
        <w:rPr>
          <w:rFonts w:ascii="仿宋" w:eastAsia="仿宋" w:hAnsi="仿宋"/>
          <w:b/>
          <w:sz w:val="28"/>
          <w:szCs w:val="28"/>
        </w:rPr>
        <w:t>参照重点排污单位披露的其他环境信息</w:t>
      </w:r>
    </w:p>
    <w:p w:rsidR="002A3304" w:rsidRPr="00980BC4" w:rsidRDefault="002A3304" w:rsidP="00A974FF">
      <w:pPr>
        <w:pStyle w:val="a3"/>
        <w:spacing w:before="0" w:beforeAutospacing="0" w:after="0" w:afterAutospacing="0" w:line="560" w:lineRule="exact"/>
        <w:ind w:firstLine="560"/>
        <w:divId w:val="138571256"/>
        <w:rPr>
          <w:rFonts w:ascii="仿宋" w:eastAsia="仿宋" w:hAnsi="仿宋"/>
          <w:sz w:val="28"/>
          <w:szCs w:val="28"/>
        </w:rPr>
      </w:pPr>
      <w:r w:rsidRPr="00980BC4">
        <w:rPr>
          <w:rFonts w:ascii="仿宋" w:eastAsia="仿宋" w:hAnsi="仿宋" w:hint="eastAsia"/>
          <w:sz w:val="28"/>
          <w:szCs w:val="28"/>
        </w:rPr>
        <w:t>无</w:t>
      </w:r>
    </w:p>
    <w:p w:rsidR="002A3304" w:rsidRPr="00980BC4" w:rsidRDefault="00DF4EBF" w:rsidP="00A974FF">
      <w:pPr>
        <w:pStyle w:val="a3"/>
        <w:spacing w:before="0" w:beforeAutospacing="0" w:after="0" w:afterAutospacing="0" w:line="560" w:lineRule="exact"/>
        <w:ind w:firstLine="560"/>
        <w:rPr>
          <w:rFonts w:ascii="仿宋" w:eastAsia="仿宋" w:hAnsi="仿宋"/>
          <w:b/>
          <w:sz w:val="28"/>
          <w:szCs w:val="28"/>
        </w:rPr>
      </w:pPr>
      <w:r w:rsidRPr="00980BC4">
        <w:rPr>
          <w:rFonts w:ascii="仿宋" w:eastAsia="仿宋" w:hAnsi="仿宋"/>
          <w:b/>
          <w:sz w:val="28"/>
          <w:szCs w:val="28"/>
        </w:rPr>
        <w:t>在报告期内为减少其碳排放所采取的措施及效果</w:t>
      </w:r>
    </w:p>
    <w:p w:rsidR="002A3304" w:rsidRPr="00980BC4" w:rsidRDefault="00DF4EBF" w:rsidP="00A974FF">
      <w:pPr>
        <w:pStyle w:val="a3"/>
        <w:spacing w:before="0" w:beforeAutospacing="0" w:after="0" w:afterAutospacing="0" w:line="560" w:lineRule="exact"/>
        <w:ind w:firstLine="560"/>
        <w:rPr>
          <w:rFonts w:ascii="仿宋" w:eastAsia="仿宋" w:hAnsi="仿宋"/>
          <w:sz w:val="28"/>
          <w:szCs w:val="28"/>
        </w:rPr>
      </w:pPr>
      <w:r w:rsidRPr="00980BC4">
        <w:rPr>
          <w:rFonts w:ascii="仿宋" w:eastAsia="仿宋" w:hAnsi="仿宋"/>
          <w:sz w:val="28"/>
          <w:szCs w:val="28"/>
        </w:rPr>
        <w:lastRenderedPageBreak/>
        <w:t>□适用</w:t>
      </w:r>
      <w:r w:rsidR="00CF7B63"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A974FF">
      <w:pPr>
        <w:pStyle w:val="a3"/>
        <w:spacing w:before="0" w:beforeAutospacing="0" w:after="0" w:afterAutospacing="0" w:line="560" w:lineRule="exact"/>
        <w:ind w:firstLine="560"/>
        <w:rPr>
          <w:rFonts w:ascii="仿宋" w:eastAsia="仿宋" w:hAnsi="仿宋"/>
          <w:b/>
          <w:sz w:val="28"/>
          <w:szCs w:val="28"/>
        </w:rPr>
      </w:pPr>
      <w:r w:rsidRPr="00980BC4">
        <w:rPr>
          <w:rFonts w:ascii="仿宋" w:eastAsia="仿宋" w:hAnsi="仿宋"/>
          <w:b/>
          <w:sz w:val="28"/>
          <w:szCs w:val="28"/>
        </w:rPr>
        <w:t>未披露其他环境信息的原因</w:t>
      </w:r>
    </w:p>
    <w:p w:rsidR="002A3304" w:rsidRPr="00980BC4" w:rsidRDefault="002A3304" w:rsidP="00A974FF">
      <w:pPr>
        <w:pStyle w:val="a3"/>
        <w:spacing w:before="0" w:beforeAutospacing="0" w:after="0" w:afterAutospacing="0" w:line="560" w:lineRule="exact"/>
        <w:ind w:firstLine="560"/>
        <w:divId w:val="1601335686"/>
        <w:rPr>
          <w:rFonts w:ascii="仿宋" w:eastAsia="仿宋" w:hAnsi="仿宋"/>
          <w:sz w:val="28"/>
          <w:szCs w:val="28"/>
        </w:rPr>
      </w:pPr>
      <w:r w:rsidRPr="00980BC4">
        <w:rPr>
          <w:rFonts w:ascii="仿宋" w:eastAsia="仿宋" w:hAnsi="仿宋" w:hint="eastAsia"/>
          <w:sz w:val="28"/>
          <w:szCs w:val="28"/>
        </w:rPr>
        <w:t>报告期内公司及子公司均不属于环境保护部门公布的重点排污单位。 </w:t>
      </w:r>
    </w:p>
    <w:p w:rsidR="002A3304" w:rsidRPr="00980BC4" w:rsidRDefault="00DF4EBF" w:rsidP="00A974FF">
      <w:pPr>
        <w:pStyle w:val="Chapter"/>
        <w:spacing w:before="0" w:after="0" w:line="560" w:lineRule="exact"/>
        <w:ind w:firstLineChars="200" w:firstLine="562"/>
        <w:outlineLvl w:val="1"/>
        <w:rPr>
          <w:bCs w:val="0"/>
          <w:sz w:val="28"/>
          <w:szCs w:val="28"/>
        </w:rPr>
      </w:pPr>
      <w:bookmarkStart w:id="89" w:name="_Toc988978"/>
      <w:r w:rsidRPr="00980BC4">
        <w:rPr>
          <w:bCs w:val="0"/>
          <w:sz w:val="28"/>
          <w:szCs w:val="28"/>
        </w:rPr>
        <w:t>二、社会责任情况</w:t>
      </w:r>
      <w:bookmarkEnd w:id="89"/>
    </w:p>
    <w:p w:rsidR="002A3304" w:rsidRPr="00980BC4" w:rsidRDefault="002A3304" w:rsidP="00A974FF">
      <w:pPr>
        <w:pStyle w:val="a3"/>
        <w:spacing w:before="0" w:beforeAutospacing="0" w:after="0" w:afterAutospacing="0" w:line="560" w:lineRule="exact"/>
        <w:ind w:firstLine="560"/>
        <w:divId w:val="1517309078"/>
      </w:pPr>
      <w:r w:rsidRPr="00980BC4">
        <w:rPr>
          <w:rFonts w:ascii="仿宋" w:eastAsia="仿宋" w:hAnsi="仿宋" w:hint="eastAsia"/>
          <w:sz w:val="28"/>
          <w:szCs w:val="28"/>
        </w:rPr>
        <w:t>公司非常重视履行社会责任，积极构建和谐社会，坚持规范运作、科学管理，坚持做好自身生产经营，为社会创造价值，为股东提供回报，为员工回馈关爱，实现股东、员工、客户、供应商与社会的共同发展。</w:t>
      </w:r>
    </w:p>
    <w:p w:rsidR="002A3304" w:rsidRPr="00980BC4" w:rsidRDefault="002A3304" w:rsidP="00A974FF">
      <w:pPr>
        <w:pStyle w:val="a3"/>
        <w:spacing w:before="0" w:beforeAutospacing="0" w:after="0" w:afterAutospacing="0" w:line="560" w:lineRule="exact"/>
        <w:ind w:firstLine="561"/>
        <w:divId w:val="1517309078"/>
      </w:pPr>
      <w:r w:rsidRPr="00980BC4">
        <w:rPr>
          <w:rStyle w:val="a4"/>
          <w:rFonts w:ascii="仿宋" w:eastAsia="仿宋" w:hAnsi="仿宋" w:hint="eastAsia"/>
          <w:sz w:val="28"/>
          <w:szCs w:val="28"/>
        </w:rPr>
        <w:t>1、股东和债权人权益保护</w:t>
      </w:r>
    </w:p>
    <w:p w:rsidR="002A3304" w:rsidRPr="00980BC4" w:rsidRDefault="002A3304" w:rsidP="00A974FF">
      <w:pPr>
        <w:pStyle w:val="a3"/>
        <w:spacing w:before="0" w:beforeAutospacing="0" w:after="0" w:afterAutospacing="0" w:line="560" w:lineRule="exact"/>
        <w:ind w:firstLine="561"/>
        <w:divId w:val="1517309078"/>
      </w:pPr>
      <w:r w:rsidRPr="00980BC4">
        <w:rPr>
          <w:rFonts w:ascii="仿宋" w:eastAsia="仿宋" w:hAnsi="仿宋" w:hint="eastAsia"/>
          <w:color w:val="000000"/>
          <w:sz w:val="28"/>
          <w:szCs w:val="28"/>
        </w:rPr>
        <w:t>报告期内，公司依据《公司法》《证券法》</w:t>
      </w:r>
      <w:r w:rsidRPr="00980BC4">
        <w:rPr>
          <w:rFonts w:ascii="仿宋" w:eastAsia="仿宋" w:hAnsi="仿宋" w:hint="eastAsia"/>
          <w:sz w:val="28"/>
          <w:szCs w:val="28"/>
        </w:rPr>
        <w:t>等法律法规、规范性文件的要求</w:t>
      </w:r>
      <w:r w:rsidRPr="00980BC4">
        <w:rPr>
          <w:rFonts w:ascii="仿宋" w:eastAsia="仿宋" w:hAnsi="仿宋" w:hint="eastAsia"/>
          <w:color w:val="000000"/>
          <w:sz w:val="28"/>
          <w:szCs w:val="28"/>
        </w:rPr>
        <w:t>，依法规范运作，不断完善公司法人治理结构，保证公司的合法合规经营，维护了公司和股东的合法权益。</w:t>
      </w:r>
    </w:p>
    <w:p w:rsidR="002A3304" w:rsidRPr="00980BC4" w:rsidRDefault="002A3304" w:rsidP="00A974FF">
      <w:pPr>
        <w:pStyle w:val="a3"/>
        <w:spacing w:before="0" w:beforeAutospacing="0" w:after="0" w:afterAutospacing="0" w:line="560" w:lineRule="exact"/>
        <w:ind w:firstLine="560"/>
        <w:divId w:val="1517309078"/>
      </w:pPr>
      <w:r w:rsidRPr="00980BC4">
        <w:rPr>
          <w:rFonts w:ascii="仿宋" w:eastAsia="仿宋" w:hAnsi="仿宋" w:hint="eastAsia"/>
          <w:color w:val="000000"/>
          <w:sz w:val="28"/>
          <w:szCs w:val="28"/>
        </w:rPr>
        <w:t>报告期内，公司召开了 2 次股东大会，股东大会的召集、通知与提案、召开、表决和决议等程序均符合相关法律规定，保障了股东大会召开的合法性、规范性。通过提供网络投票等方式，让更多的股东能够参加股东大会，确保股东对公司重大事项的知情权、参与权和表决权。</w:t>
      </w:r>
    </w:p>
    <w:p w:rsidR="002A3304" w:rsidRPr="00980BC4" w:rsidRDefault="002A3304" w:rsidP="00A974FF">
      <w:pPr>
        <w:pStyle w:val="a3"/>
        <w:spacing w:before="0" w:beforeAutospacing="0" w:after="0" w:afterAutospacing="0" w:line="560" w:lineRule="exact"/>
        <w:ind w:firstLine="560"/>
        <w:divId w:val="1517309078"/>
      </w:pPr>
      <w:r w:rsidRPr="00980BC4">
        <w:rPr>
          <w:rFonts w:ascii="仿宋" w:eastAsia="仿宋" w:hAnsi="仿宋" w:hint="eastAsia"/>
          <w:color w:val="000000"/>
          <w:sz w:val="28"/>
          <w:szCs w:val="28"/>
        </w:rPr>
        <w:t>公司严格按照《公司法》《深圳证券交易所股票上市规则》等相关法律法规及《公司章程》的要 求，及时、准确、真实、完整、公平地进行信息披露，内容涵盖了公司所有重大事项。同时，公司建立了多样化的投资者沟通渠道，包括专线电话、专用邮箱、投资者互动平台等多种形式，充分保证广大投资者的知情权。</w:t>
      </w:r>
    </w:p>
    <w:p w:rsidR="002A3304" w:rsidRPr="00980BC4" w:rsidRDefault="002A3304" w:rsidP="00A974FF">
      <w:pPr>
        <w:pStyle w:val="a3"/>
        <w:spacing w:before="0" w:beforeAutospacing="0" w:after="0" w:afterAutospacing="0" w:line="560" w:lineRule="exact"/>
        <w:ind w:firstLine="560"/>
        <w:divId w:val="1517309078"/>
      </w:pPr>
      <w:r w:rsidRPr="00980BC4">
        <w:rPr>
          <w:rFonts w:ascii="仿宋" w:eastAsia="仿宋" w:hAnsi="仿宋" w:hint="eastAsia"/>
          <w:color w:val="000000"/>
          <w:sz w:val="28"/>
          <w:szCs w:val="28"/>
        </w:rPr>
        <w:t>公司奉行稳健、诚信的经营策略，通过降低自身经营风险从而降低财务风险。在追求股东利益最大化的同时，保证财务状况稳定与公司资产、资金安全，兼顾债权人的利益。在各项重大经营决策过程，公司充分考虑债权人</w:t>
      </w:r>
      <w:r w:rsidRPr="00980BC4">
        <w:rPr>
          <w:rFonts w:ascii="仿宋" w:eastAsia="仿宋" w:hAnsi="仿宋" w:hint="eastAsia"/>
          <w:color w:val="000000"/>
          <w:sz w:val="28"/>
          <w:szCs w:val="28"/>
        </w:rPr>
        <w:lastRenderedPageBreak/>
        <w:t>的知情权， 降低债权人的投资风险，有效地保护了债权人权益。公司资信状况良好，与银行建立了长期信贷合作关系，保持较低资产负债率水平。</w:t>
      </w:r>
    </w:p>
    <w:p w:rsidR="002A3304" w:rsidRPr="00980BC4" w:rsidRDefault="002A3304" w:rsidP="00A974FF">
      <w:pPr>
        <w:pStyle w:val="a3"/>
        <w:spacing w:before="0" w:beforeAutospacing="0" w:after="0" w:afterAutospacing="0" w:line="560" w:lineRule="exact"/>
        <w:ind w:firstLine="562"/>
        <w:divId w:val="1517309078"/>
      </w:pPr>
      <w:r w:rsidRPr="00980BC4">
        <w:rPr>
          <w:rStyle w:val="a4"/>
          <w:rFonts w:ascii="仿宋" w:eastAsia="仿宋" w:hAnsi="仿宋" w:hint="eastAsia"/>
          <w:sz w:val="28"/>
          <w:szCs w:val="28"/>
        </w:rPr>
        <w:t>2、职工权益保护</w:t>
      </w:r>
    </w:p>
    <w:p w:rsidR="002A3304" w:rsidRPr="00980BC4" w:rsidRDefault="002A3304" w:rsidP="00A974FF">
      <w:pPr>
        <w:pStyle w:val="a3"/>
        <w:spacing w:before="0" w:beforeAutospacing="0" w:after="0" w:afterAutospacing="0" w:line="560" w:lineRule="exact"/>
        <w:ind w:firstLine="560"/>
        <w:divId w:val="1517309078"/>
      </w:pPr>
      <w:r w:rsidRPr="00980BC4">
        <w:rPr>
          <w:rFonts w:ascii="仿宋" w:eastAsia="仿宋" w:hAnsi="仿宋" w:hint="eastAsia"/>
          <w:color w:val="000000"/>
          <w:sz w:val="28"/>
          <w:szCs w:val="28"/>
        </w:rPr>
        <w:t>公司坚持以人为本，严格遵守《劳动法》《劳动合同法》等法律法规，与员工签订劳动合同，规范劳动关系管理工作。公司薪酬和福利政策符合相关法律规定，工资及时、足额发放。公司依法为员工缴纳社会保险及住房公积金，员工享有法定的各类假期。在日常薪酬管理中，公司制定了有效的绩效考核政策及对应的激励政策，促进员工的工作积极性。公司高度重视对员工的培训工作，为员工安排相应的培训计划，提供各类培训，提升员工素质，实现员工与企业的共同成长。</w:t>
      </w:r>
    </w:p>
    <w:p w:rsidR="002A3304" w:rsidRPr="00980BC4" w:rsidRDefault="002A3304" w:rsidP="00A974FF">
      <w:pPr>
        <w:pStyle w:val="a3"/>
        <w:spacing w:before="0" w:beforeAutospacing="0" w:after="0" w:afterAutospacing="0" w:line="560" w:lineRule="exact"/>
        <w:ind w:firstLine="560"/>
        <w:divId w:val="1517309078"/>
      </w:pPr>
      <w:r w:rsidRPr="00980BC4">
        <w:rPr>
          <w:rFonts w:ascii="仿宋" w:eastAsia="仿宋" w:hAnsi="仿宋" w:hint="eastAsia"/>
          <w:color w:val="000000"/>
          <w:sz w:val="28"/>
          <w:szCs w:val="28"/>
        </w:rPr>
        <w:t>公司重视企业文化建设，</w:t>
      </w:r>
      <w:r w:rsidRPr="00980BC4">
        <w:rPr>
          <w:rFonts w:ascii="仿宋" w:eastAsia="仿宋" w:hAnsi="仿宋" w:hint="eastAsia"/>
          <w:sz w:val="28"/>
          <w:szCs w:val="28"/>
        </w:rPr>
        <w:t>充分发挥党组织、工会的桥梁、纽带作用，</w:t>
      </w:r>
      <w:r w:rsidRPr="00980BC4">
        <w:rPr>
          <w:rFonts w:ascii="仿宋" w:eastAsia="仿宋" w:hAnsi="仿宋" w:hint="eastAsia"/>
          <w:color w:val="000000"/>
          <w:sz w:val="28"/>
          <w:szCs w:val="28"/>
        </w:rPr>
        <w:t>丰富员工生活，为广大员工提供舒适、良好的工作环境。</w:t>
      </w:r>
    </w:p>
    <w:p w:rsidR="009B58C9" w:rsidRPr="00980BC4" w:rsidRDefault="002A3304" w:rsidP="009B58C9">
      <w:pPr>
        <w:pStyle w:val="a3"/>
        <w:widowControl w:val="0"/>
        <w:spacing w:before="0" w:beforeAutospacing="0" w:after="0" w:afterAutospacing="0" w:line="560" w:lineRule="exact"/>
        <w:ind w:firstLine="561"/>
        <w:divId w:val="1517309078"/>
        <w:rPr>
          <w:rStyle w:val="a4"/>
          <w:rFonts w:ascii="仿宋" w:eastAsia="仿宋" w:hAnsi="仿宋"/>
          <w:sz w:val="28"/>
          <w:szCs w:val="28"/>
        </w:rPr>
      </w:pPr>
      <w:r w:rsidRPr="00980BC4">
        <w:rPr>
          <w:rStyle w:val="a4"/>
          <w:rFonts w:ascii="仿宋" w:eastAsia="仿宋" w:hAnsi="仿宋" w:hint="eastAsia"/>
          <w:sz w:val="28"/>
          <w:szCs w:val="28"/>
        </w:rPr>
        <w:t>3、供应商、客户权益保护</w:t>
      </w:r>
    </w:p>
    <w:p w:rsidR="002A3304" w:rsidRPr="00980BC4" w:rsidRDefault="002A3304" w:rsidP="009B58C9">
      <w:pPr>
        <w:pStyle w:val="a3"/>
        <w:widowControl w:val="0"/>
        <w:spacing w:before="0" w:beforeAutospacing="0" w:after="0" w:afterAutospacing="0" w:line="560" w:lineRule="exact"/>
        <w:ind w:firstLine="561"/>
        <w:divId w:val="1517309078"/>
      </w:pPr>
      <w:r w:rsidRPr="00980BC4">
        <w:rPr>
          <w:rFonts w:ascii="仿宋" w:eastAsia="仿宋" w:hAnsi="仿宋" w:hint="eastAsia"/>
          <w:color w:val="000000"/>
          <w:sz w:val="28"/>
          <w:szCs w:val="28"/>
        </w:rPr>
        <w:t>公司秉承客户至上理念，充分尊重供应商、客户等其他利益相关者的合法权益，不断加强客户服务管理、提高服务水平，获得客户的广泛好评。公司致力于与客户建立长期稳定的合作关系，积极开展客户关系管理，并对客户信息及相关技术、商务信息严格保密。公司一直秉承平等协商、坚持“共赢”原则，与供应商共同成长。报告期内，公司与供应商和客户之间的合同履约良好，各方的权益都得到了高度的重视和应有的保护。</w:t>
      </w:r>
    </w:p>
    <w:p w:rsidR="002A3304" w:rsidRPr="00980BC4" w:rsidRDefault="002A3304" w:rsidP="00A974FF">
      <w:pPr>
        <w:pStyle w:val="a3"/>
        <w:spacing w:before="0" w:beforeAutospacing="0" w:after="0" w:afterAutospacing="0" w:line="560" w:lineRule="exact"/>
        <w:ind w:firstLine="562"/>
        <w:divId w:val="1517309078"/>
      </w:pPr>
      <w:r w:rsidRPr="00980BC4">
        <w:rPr>
          <w:rStyle w:val="a4"/>
          <w:rFonts w:ascii="仿宋" w:eastAsia="仿宋" w:hAnsi="仿宋" w:hint="eastAsia"/>
          <w:sz w:val="28"/>
          <w:szCs w:val="28"/>
        </w:rPr>
        <w:t>4、环境保护</w:t>
      </w:r>
    </w:p>
    <w:p w:rsidR="002A3304" w:rsidRPr="00980BC4" w:rsidRDefault="002A3304" w:rsidP="00A974FF">
      <w:pPr>
        <w:pStyle w:val="a3"/>
        <w:spacing w:before="0" w:beforeAutospacing="0" w:after="0" w:afterAutospacing="0" w:line="560" w:lineRule="exact"/>
        <w:ind w:firstLine="560"/>
        <w:divId w:val="1517309078"/>
      </w:pPr>
      <w:r w:rsidRPr="00980BC4">
        <w:rPr>
          <w:rFonts w:ascii="仿宋" w:eastAsia="仿宋" w:hAnsi="仿宋" w:hint="eastAsia"/>
          <w:sz w:val="28"/>
          <w:szCs w:val="28"/>
        </w:rPr>
        <w:t>公司高度重视环境保护工作，认真执行国家和地方关于环境保护的法律法规，积极落实国家节能减排政策，注重污染物达标排放与废弃物回收，采取多种措施提高节能减排水平，通过技术创新和优化管理不断增强节能环保力度，充分履行企业的社会责任。报告期内，公司下属生产型企业严格按照</w:t>
      </w:r>
      <w:r w:rsidRPr="00980BC4">
        <w:rPr>
          <w:rFonts w:ascii="仿宋" w:eastAsia="仿宋" w:hAnsi="仿宋" w:hint="eastAsia"/>
          <w:sz w:val="28"/>
          <w:szCs w:val="28"/>
        </w:rPr>
        <w:lastRenderedPageBreak/>
        <w:t>监管部门的要求实现排放物有效规范处理、达标排放，全年无环保投诉事件和重大环保责任事故发生。</w:t>
      </w:r>
    </w:p>
    <w:p w:rsidR="002A3304" w:rsidRPr="00980BC4" w:rsidRDefault="002A3304" w:rsidP="00A974FF">
      <w:pPr>
        <w:pStyle w:val="a3"/>
        <w:spacing w:before="0" w:beforeAutospacing="0" w:after="0" w:afterAutospacing="0" w:line="560" w:lineRule="exact"/>
        <w:ind w:firstLine="562"/>
        <w:divId w:val="1517309078"/>
      </w:pPr>
      <w:r w:rsidRPr="00980BC4">
        <w:rPr>
          <w:rStyle w:val="a4"/>
          <w:rFonts w:ascii="仿宋" w:eastAsia="仿宋" w:hAnsi="仿宋" w:hint="eastAsia"/>
          <w:sz w:val="28"/>
          <w:szCs w:val="28"/>
        </w:rPr>
        <w:t>5、社会公益</w:t>
      </w:r>
    </w:p>
    <w:p w:rsidR="002A3304" w:rsidRPr="00980BC4" w:rsidRDefault="003E7819" w:rsidP="00A974FF">
      <w:pPr>
        <w:pStyle w:val="a3"/>
        <w:spacing w:before="0" w:beforeAutospacing="0" w:after="0" w:afterAutospacing="0" w:line="560" w:lineRule="exact"/>
        <w:ind w:firstLine="560"/>
        <w:jc w:val="both"/>
        <w:divId w:val="1517309078"/>
        <w:rPr>
          <w:rFonts w:ascii="仿宋" w:eastAsia="仿宋" w:hAnsi="仿宋"/>
          <w:sz w:val="28"/>
          <w:szCs w:val="28"/>
        </w:rPr>
      </w:pPr>
      <w:r w:rsidRPr="00980BC4">
        <w:rPr>
          <w:rFonts w:ascii="仿宋" w:eastAsia="仿宋" w:hAnsi="仿宋" w:hint="eastAsia"/>
          <w:sz w:val="28"/>
          <w:szCs w:val="28"/>
        </w:rPr>
        <w:t>公司在实现企业稳步发展和创造经济效益的同时，时刻不忘肩负的社会责任和使命，与社会分享公司发展的经济成果。公司高度注重社会价值体现，用爱心回馈社会，努力实现经济发展与人文、自然的和谐。在公司党支部、工会的组织下，已开展了多年的志愿者义务工</w:t>
      </w:r>
      <w:r w:rsidR="00A974FF" w:rsidRPr="00980BC4">
        <w:rPr>
          <w:rFonts w:ascii="仿宋" w:eastAsia="仿宋" w:hAnsi="仿宋" w:hint="eastAsia"/>
          <w:sz w:val="28"/>
          <w:szCs w:val="28"/>
        </w:rPr>
        <w:t>作及慰问特困群众、青葵慈善公益助学等社会公益活动，全力筑造和谐的社会关系</w:t>
      </w:r>
      <w:r w:rsidR="002A3304" w:rsidRPr="00980BC4">
        <w:rPr>
          <w:rFonts w:ascii="仿宋" w:eastAsia="仿宋" w:hAnsi="仿宋" w:hint="eastAsia"/>
          <w:sz w:val="28"/>
          <w:szCs w:val="28"/>
        </w:rPr>
        <w:t>。</w:t>
      </w:r>
    </w:p>
    <w:p w:rsidR="002A3304" w:rsidRPr="00980BC4" w:rsidRDefault="00DF4EBF" w:rsidP="00A974FF">
      <w:pPr>
        <w:pStyle w:val="Chapter"/>
        <w:spacing w:before="0" w:after="0" w:line="560" w:lineRule="exact"/>
        <w:ind w:firstLineChars="200" w:firstLine="562"/>
        <w:outlineLvl w:val="1"/>
        <w:rPr>
          <w:bCs w:val="0"/>
          <w:sz w:val="28"/>
          <w:szCs w:val="28"/>
        </w:rPr>
      </w:pPr>
      <w:bookmarkStart w:id="90" w:name="_Toc988979"/>
      <w:r w:rsidRPr="00980BC4">
        <w:rPr>
          <w:bCs w:val="0"/>
          <w:sz w:val="28"/>
          <w:szCs w:val="28"/>
        </w:rPr>
        <w:t>三、巩固拓展脱贫攻坚成果、乡村振兴的情况</w:t>
      </w:r>
      <w:bookmarkEnd w:id="90"/>
    </w:p>
    <w:p w:rsidR="002A3304" w:rsidRPr="00980BC4" w:rsidRDefault="002A3304" w:rsidP="00A974FF">
      <w:pPr>
        <w:pStyle w:val="a3"/>
        <w:spacing w:before="0" w:beforeAutospacing="0" w:after="0" w:afterAutospacing="0" w:line="560" w:lineRule="exact"/>
        <w:ind w:firstLine="560"/>
        <w:divId w:val="578104498"/>
        <w:rPr>
          <w:rFonts w:ascii="仿宋" w:eastAsia="仿宋" w:hAnsi="仿宋"/>
          <w:sz w:val="28"/>
          <w:szCs w:val="28"/>
        </w:rPr>
      </w:pPr>
      <w:r w:rsidRPr="00980BC4">
        <w:rPr>
          <w:rFonts w:ascii="仿宋" w:eastAsia="仿宋" w:hAnsi="仿宋" w:hint="eastAsia"/>
          <w:sz w:val="28"/>
          <w:szCs w:val="28"/>
        </w:rPr>
        <w:t>公司报告期内未开展脱贫攻坚、乡村振兴工作。</w:t>
      </w:r>
    </w:p>
    <w:p w:rsidR="00A974FF" w:rsidRPr="00980BC4" w:rsidRDefault="00A974FF" w:rsidP="00A974FF">
      <w:pPr>
        <w:pStyle w:val="headingh1"/>
        <w:spacing w:before="340" w:after="330" w:line="773" w:lineRule="exact"/>
        <w:jc w:val="center"/>
        <w:rPr>
          <w:rFonts w:ascii="宋体" w:eastAsia="宋体" w:hAnsi="宋体" w:cs="宋体"/>
          <w:b/>
          <w:bCs/>
          <w:sz w:val="32"/>
          <w:szCs w:val="32"/>
        </w:rPr>
      </w:pPr>
      <w:bookmarkStart w:id="91" w:name="_Toc988980"/>
    </w:p>
    <w:p w:rsidR="00A974FF" w:rsidRPr="00980BC4" w:rsidRDefault="00A974FF" w:rsidP="00A974FF">
      <w:pPr>
        <w:rPr>
          <w:kern w:val="44"/>
        </w:rPr>
      </w:pPr>
      <w:r w:rsidRPr="00980BC4">
        <w:br w:type="page"/>
      </w:r>
    </w:p>
    <w:p w:rsidR="002A3304" w:rsidRPr="00980BC4" w:rsidRDefault="00DF4EBF" w:rsidP="00A974FF">
      <w:pPr>
        <w:pStyle w:val="headingh1"/>
        <w:spacing w:before="340" w:after="330" w:line="773" w:lineRule="exact"/>
        <w:jc w:val="center"/>
        <w:rPr>
          <w:rFonts w:ascii="宋体" w:eastAsia="宋体" w:hAnsi="宋体" w:cs="宋体"/>
          <w:b/>
          <w:bCs/>
          <w:sz w:val="32"/>
          <w:szCs w:val="32"/>
        </w:rPr>
      </w:pPr>
      <w:r w:rsidRPr="00980BC4">
        <w:rPr>
          <w:rFonts w:ascii="宋体" w:eastAsia="宋体" w:hAnsi="宋体" w:cs="宋体"/>
          <w:b/>
          <w:bCs/>
          <w:sz w:val="32"/>
          <w:szCs w:val="32"/>
        </w:rPr>
        <w:lastRenderedPageBreak/>
        <w:t>第六节 重要事项</w:t>
      </w:r>
      <w:bookmarkEnd w:id="91"/>
    </w:p>
    <w:p w:rsidR="002A3304" w:rsidRPr="00980BC4" w:rsidRDefault="00DF4EBF" w:rsidP="00CF7B63">
      <w:pPr>
        <w:pStyle w:val="Chapter"/>
        <w:spacing w:before="0" w:after="0" w:line="560" w:lineRule="exact"/>
        <w:ind w:firstLineChars="200" w:firstLine="562"/>
        <w:outlineLvl w:val="1"/>
        <w:rPr>
          <w:bCs w:val="0"/>
          <w:sz w:val="28"/>
          <w:szCs w:val="28"/>
        </w:rPr>
      </w:pPr>
      <w:bookmarkStart w:id="92" w:name="_Toc988981"/>
      <w:r w:rsidRPr="00980BC4">
        <w:rPr>
          <w:bCs w:val="0"/>
          <w:sz w:val="28"/>
          <w:szCs w:val="28"/>
        </w:rPr>
        <w:t>一、承诺事项履行情况</w:t>
      </w:r>
      <w:bookmarkEnd w:id="92"/>
    </w:p>
    <w:p w:rsidR="002A3304" w:rsidRPr="00980BC4" w:rsidRDefault="00DF4EBF" w:rsidP="00CF7B63">
      <w:pPr>
        <w:pStyle w:val="a3"/>
        <w:spacing w:before="0" w:beforeAutospacing="0" w:after="0" w:afterAutospacing="0" w:line="560" w:lineRule="atLeast"/>
        <w:ind w:firstLine="560"/>
        <w:rPr>
          <w:rFonts w:ascii="仿宋" w:eastAsia="仿宋" w:hAnsi="仿宋"/>
          <w:b/>
          <w:sz w:val="28"/>
          <w:szCs w:val="28"/>
        </w:rPr>
      </w:pPr>
      <w:bookmarkStart w:id="93" w:name="_Toc988982"/>
      <w:r w:rsidRPr="00980BC4">
        <w:rPr>
          <w:rFonts w:ascii="仿宋" w:eastAsia="仿宋" w:hAnsi="仿宋"/>
          <w:b/>
          <w:sz w:val="28"/>
          <w:szCs w:val="28"/>
        </w:rPr>
        <w:t>1、公司实际控制人、股东、关联方、收购人以及公司等承诺相关方在报告期内履行完毕及截至报告期末尚未履行完毕的承诺事项</w:t>
      </w:r>
      <w:bookmarkEnd w:id="93"/>
    </w:p>
    <w:p w:rsidR="002A3304" w:rsidRPr="00980BC4" w:rsidRDefault="00DF4EBF" w:rsidP="00CF7B63">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适用 </w:t>
      </w:r>
      <w:r w:rsidR="00CF7B63" w:rsidRPr="00980BC4">
        <w:rPr>
          <w:rFonts w:ascii="仿宋" w:eastAsia="仿宋" w:hAnsi="仿宋" w:hint="eastAsia"/>
          <w:sz w:val="28"/>
          <w:szCs w:val="28"/>
        </w:rPr>
        <w:t xml:space="preserve"> </w:t>
      </w:r>
      <w:r w:rsidRPr="00980BC4">
        <w:rPr>
          <w:rFonts w:ascii="仿宋" w:eastAsia="仿宋" w:hAnsi="仿宋"/>
          <w:sz w:val="28"/>
          <w:szCs w:val="28"/>
        </w:rPr>
        <w:t>□不适用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141"/>
        <w:gridCol w:w="1134"/>
        <w:gridCol w:w="2552"/>
        <w:gridCol w:w="1134"/>
        <w:gridCol w:w="1134"/>
        <w:gridCol w:w="1167"/>
      </w:tblGrid>
      <w:tr w:rsidR="002A3304" w:rsidRPr="00980BC4" w:rsidTr="00CF7B6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jc w:val="center"/>
              <w:rPr>
                <w:rFonts w:ascii="宋体" w:eastAsia="宋体" w:hAnsi="宋体" w:cs="宋体"/>
                <w:sz w:val="18"/>
                <w:szCs w:val="18"/>
              </w:rPr>
            </w:pPr>
            <w:r w:rsidRPr="00980BC4">
              <w:rPr>
                <w:rFonts w:ascii="宋体" w:eastAsia="宋体" w:hAnsi="宋体" w:cs="宋体"/>
                <w:sz w:val="18"/>
                <w:szCs w:val="18"/>
              </w:rPr>
              <w:t>承诺事由</w:t>
            </w:r>
          </w:p>
        </w:tc>
        <w:tc>
          <w:tcPr>
            <w:tcW w:w="114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jc w:val="center"/>
              <w:rPr>
                <w:rFonts w:ascii="宋体" w:eastAsia="宋体" w:hAnsi="宋体" w:cs="宋体"/>
                <w:sz w:val="18"/>
                <w:szCs w:val="18"/>
              </w:rPr>
            </w:pPr>
            <w:r w:rsidRPr="00980BC4">
              <w:rPr>
                <w:rFonts w:ascii="宋体" w:eastAsia="宋体" w:hAnsi="宋体" w:cs="宋体"/>
                <w:sz w:val="18"/>
                <w:szCs w:val="18"/>
              </w:rPr>
              <w:t>承诺方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jc w:val="center"/>
              <w:rPr>
                <w:rFonts w:ascii="宋体" w:eastAsia="宋体" w:hAnsi="宋体" w:cs="宋体"/>
                <w:sz w:val="18"/>
                <w:szCs w:val="18"/>
              </w:rPr>
            </w:pPr>
            <w:r w:rsidRPr="00980BC4">
              <w:rPr>
                <w:rFonts w:ascii="宋体" w:eastAsia="宋体" w:hAnsi="宋体" w:cs="宋体"/>
                <w:sz w:val="18"/>
                <w:szCs w:val="18"/>
              </w:rPr>
              <w:t>承诺类型</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jc w:val="center"/>
              <w:rPr>
                <w:rFonts w:ascii="宋体" w:eastAsia="宋体" w:hAnsi="宋体" w:cs="宋体"/>
                <w:sz w:val="18"/>
                <w:szCs w:val="18"/>
              </w:rPr>
            </w:pPr>
            <w:r w:rsidRPr="00980BC4">
              <w:rPr>
                <w:rFonts w:ascii="宋体" w:eastAsia="宋体" w:hAnsi="宋体" w:cs="宋体"/>
                <w:sz w:val="18"/>
                <w:szCs w:val="18"/>
              </w:rPr>
              <w:t>承诺内容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jc w:val="center"/>
              <w:rPr>
                <w:rFonts w:ascii="宋体" w:eastAsia="宋体" w:hAnsi="宋体" w:cs="宋体"/>
                <w:sz w:val="18"/>
                <w:szCs w:val="18"/>
              </w:rPr>
            </w:pPr>
            <w:r w:rsidRPr="00980BC4">
              <w:rPr>
                <w:rFonts w:ascii="宋体" w:eastAsia="宋体" w:hAnsi="宋体" w:cs="宋体"/>
                <w:sz w:val="18"/>
                <w:szCs w:val="18"/>
              </w:rPr>
              <w:t>承诺时间</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jc w:val="center"/>
              <w:rPr>
                <w:rFonts w:ascii="宋体" w:eastAsia="宋体" w:hAnsi="宋体" w:cs="宋体"/>
                <w:sz w:val="18"/>
                <w:szCs w:val="18"/>
              </w:rPr>
            </w:pPr>
            <w:r w:rsidRPr="00980BC4">
              <w:rPr>
                <w:rFonts w:ascii="宋体" w:eastAsia="宋体" w:hAnsi="宋体" w:cs="宋体"/>
                <w:sz w:val="18"/>
                <w:szCs w:val="18"/>
              </w:rPr>
              <w:t>承诺期限</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jc w:val="center"/>
              <w:rPr>
                <w:rFonts w:ascii="宋体" w:eastAsia="宋体" w:hAnsi="宋体" w:cs="宋体"/>
                <w:sz w:val="18"/>
                <w:szCs w:val="18"/>
              </w:rPr>
            </w:pPr>
            <w:r w:rsidRPr="00980BC4">
              <w:rPr>
                <w:rFonts w:ascii="宋体" w:eastAsia="宋体" w:hAnsi="宋体" w:cs="宋体"/>
                <w:sz w:val="18"/>
                <w:szCs w:val="18"/>
              </w:rPr>
              <w:t>履行情况</w:t>
            </w:r>
          </w:p>
        </w:tc>
      </w:tr>
      <w:tr w:rsidR="002A3304" w:rsidRPr="00980BC4" w:rsidTr="00CF7B6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收购报告书或权益变动报告书中所作承诺</w:t>
            </w:r>
          </w:p>
        </w:tc>
        <w:tc>
          <w:tcPr>
            <w:tcW w:w="11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其他承诺</w:t>
            </w:r>
          </w:p>
        </w:tc>
        <w:tc>
          <w:tcPr>
            <w:tcW w:w="255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德力西集团承诺ST甘化注册地不迁离江门市区。</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2011年02月15日</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作为本公司大股东期间</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正常履行中</w:t>
            </w:r>
          </w:p>
        </w:tc>
      </w:tr>
      <w:tr w:rsidR="002A3304" w:rsidRPr="00980BC4" w:rsidTr="00CF7B6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收购报告书或权益变动报告书中所作承诺</w:t>
            </w:r>
          </w:p>
        </w:tc>
        <w:tc>
          <w:tcPr>
            <w:tcW w:w="11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关于同业竞争、关联交易、资金占用方面的承诺</w:t>
            </w:r>
          </w:p>
        </w:tc>
        <w:tc>
          <w:tcPr>
            <w:tcW w:w="255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德力西集团作为本公司大股东期间，不在任何地域以任何形式，从事法律、法规和规范性法律文件所规定的可能与本公司构成同业竞争的活动；从第三方获得的商业机会如果属于本公司主营业务范围之内的，则将及时告知本公司，并尽可能地协助本公司取得该商业机会；不以任何方式从事任何可能影响本公司经营和发展的业务或活动；不以下列任何方式从事任何可能影响本公司经营和发展的业务或活动：（1）利用现有的社会资源和客户资源阻碍或者限制本公司的独立发展；（2）在社会上散布不利于本公司的消息；（3）利用对本公司控股施加不良影响，造成本公司高管人员、研发人员、技术人员等核心人员的异常变动；（4）从本公司招聘专业技术人员、销售人员、高级管理人员；（5）捏造、散布不利于本公司的消息，损害本公司的商誉。德力西集团如违反以上承诺导致本公司遭受损失，将向本公司进行合理赔偿。</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2011年02月15日</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作为本公司大股东期间</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正常履行中</w:t>
            </w:r>
          </w:p>
        </w:tc>
      </w:tr>
      <w:tr w:rsidR="002A3304" w:rsidRPr="00980BC4" w:rsidTr="00CF7B6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收购报告书或权益变动报告</w:t>
            </w:r>
            <w:r w:rsidRPr="00980BC4">
              <w:rPr>
                <w:rFonts w:ascii="宋体" w:eastAsia="宋体" w:hAnsi="宋体" w:cs="宋体"/>
                <w:sz w:val="18"/>
                <w:szCs w:val="18"/>
              </w:rPr>
              <w:lastRenderedPageBreak/>
              <w:t>书中所作承诺</w:t>
            </w:r>
          </w:p>
        </w:tc>
        <w:tc>
          <w:tcPr>
            <w:tcW w:w="11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lastRenderedPageBreak/>
              <w:t>德力西集团有限公司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关于同业竞争、关联交</w:t>
            </w:r>
            <w:r w:rsidRPr="00980BC4">
              <w:rPr>
                <w:rFonts w:ascii="宋体" w:eastAsia="宋体" w:hAnsi="宋体" w:cs="宋体"/>
                <w:sz w:val="18"/>
                <w:szCs w:val="18"/>
              </w:rPr>
              <w:lastRenderedPageBreak/>
              <w:t>易、资金占用方面的承诺</w:t>
            </w:r>
          </w:p>
        </w:tc>
        <w:tc>
          <w:tcPr>
            <w:tcW w:w="255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lastRenderedPageBreak/>
              <w:t>德力西集团作为本公司大股东期间，将尽可能避免和减</w:t>
            </w:r>
            <w:r w:rsidRPr="00980BC4">
              <w:rPr>
                <w:rFonts w:ascii="宋体" w:eastAsia="宋体" w:hAnsi="宋体" w:cs="宋体"/>
                <w:sz w:val="18"/>
                <w:szCs w:val="18"/>
              </w:rPr>
              <w:lastRenderedPageBreak/>
              <w:t>少与本公司之间的关联交易，对于无法避免或者有合理原因而发生的关联交易，将遵循公正、公平、公开的原则，依法签订协议，履行合法程序，按照有关法律法规、《深圳证券交易所股票上市规则》以及《公司章程》等有关规定履行信息披露义务和办理相关手续，保证不通过关联交易损害本公司及其他股东的合法权益。</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lastRenderedPageBreak/>
              <w:t>2011年02月15日</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作为本公司大股东期间</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正常履行中</w:t>
            </w:r>
          </w:p>
        </w:tc>
      </w:tr>
      <w:tr w:rsidR="002A3304" w:rsidRPr="00980BC4" w:rsidTr="00CF7B6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lastRenderedPageBreak/>
              <w:t>资产重组时所作承诺</w:t>
            </w:r>
          </w:p>
        </w:tc>
        <w:tc>
          <w:tcPr>
            <w:tcW w:w="11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冯骏;彭玫</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关于同业竞争、关联交易、资金占用方面的承诺</w:t>
            </w:r>
          </w:p>
        </w:tc>
        <w:tc>
          <w:tcPr>
            <w:tcW w:w="255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一、本人及本人直接或间接控制的其他企业目前不存在与上市公司从事直接或间接竞争业务的情形。二、自本承诺函签署日，本人及本人直接或间接控制的其他企业将不新增与上市公司产生直接或间接竞争的经营业务。如未来与上市公司构成同业竞争的情形，本人将采取合法有效的措施予以规范或避免。上述承诺自签署之日起生效，对本人具有法律约束力，若违反上述承诺，本人将对由此给上市公司造成的全部损失承担赔偿责任，并对由此造成的其他后果承担相应的法律责任。本承诺持续有效且不可变更或撤销，直至本人不再持有上市公司股份且不在升华电源处任职为止。</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2018年09月17日</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自承诺签署之日起至其不再持有上市公司股份且不在升华电源处任职为止</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正常履行中</w:t>
            </w:r>
          </w:p>
        </w:tc>
      </w:tr>
      <w:tr w:rsidR="002A3304" w:rsidRPr="00980BC4" w:rsidTr="00CF7B6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资产重组时所作承诺</w:t>
            </w:r>
          </w:p>
        </w:tc>
        <w:tc>
          <w:tcPr>
            <w:tcW w:w="11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冯骏;彭玫</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关于同业竞争、关联交易、资金占用方面的承诺</w:t>
            </w:r>
          </w:p>
        </w:tc>
        <w:tc>
          <w:tcPr>
            <w:tcW w:w="255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一、截至本承诺函出具日，本人及本人的关联企业与上市公司不存在法律、法规及规范性文件规定的关联关系。本人及本人的关联企业与上市公司将来不可避免发生关联交易时，本人及本人的关联企业保证遵循市场交易的公平原则及政策的商业条款与上市公司进行交易。如未按照市场交易的公平原则与上市公司进行交易，而给上市公司造成损失或已经造成损失的，由本人依法承担相关责任。二、若本次交</w:t>
            </w:r>
            <w:r w:rsidRPr="00980BC4">
              <w:rPr>
                <w:rFonts w:ascii="宋体" w:eastAsia="宋体" w:hAnsi="宋体" w:cs="宋体"/>
                <w:sz w:val="18"/>
                <w:szCs w:val="18"/>
              </w:rPr>
              <w:lastRenderedPageBreak/>
              <w:t>易完成后，本人成为上市公司股东，本人将善意履行作为上市公司股东的义务，充分尊重上市公司的独立法人地位，保障上市公司独立经营、自主决策。本人及本人的关联企业，将来尽可能避免与上市公司发生关联交易。三、本人及本人的关联企业承诺不以借款、代偿债务、代垫款项或者其他方式占用上市公司资金，也不要求上市公司为本人及本人的关联企业进行违规担保。四、如果上市公司在今后的经营活动中与本人或本人的关联企业发生不可避免的关联交易，本人将促使此等交易严格按照国家有关法律法规、中国证券监督管理委员会、深圳证券交易所的相关规定以及上市公司的章程等内部治理相关制度的规定履行有关程序；在上市公司股东大会对关联交易进行表决时，严格履行回避表决的义务；与上市公司依法签订协议，及时进行信息披露；保证按照正常的商业条件进行，且本人及本人的关联企业将不会要求或接受上市公司给予比任何一项市场公平交易中第三者更优惠的条件，保证不通过关联交易损害上市公司及其他股东的合法权益。五、本人及本人的关联企业将严格和善意地履行与上市公司签订的各种关联交易协议。本人及本人的关联企业将不会向上市公司谋求任何超出上述协议规定之外的利益或收益。六、如违反上述承诺给上市公司造成损失，本人将依法承担相应责任。</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lastRenderedPageBreak/>
              <w:t>2018年09月17日</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本次交易完成后</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正常履行中</w:t>
            </w:r>
          </w:p>
        </w:tc>
      </w:tr>
      <w:tr w:rsidR="002A3304" w:rsidRPr="00980BC4" w:rsidTr="00CF7B6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lastRenderedPageBreak/>
              <w:t>资产重组时所作承诺</w:t>
            </w:r>
          </w:p>
        </w:tc>
        <w:tc>
          <w:tcPr>
            <w:tcW w:w="11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升华共创;升华同享;冯骏;彭玫</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其他承诺</w:t>
            </w:r>
          </w:p>
        </w:tc>
        <w:tc>
          <w:tcPr>
            <w:tcW w:w="255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一、保证上市公司人员独立：1、上市公司的高级管理人员专职在上市公司任职、并在上市公司领取薪酬，不</w:t>
            </w:r>
            <w:r w:rsidRPr="00980BC4">
              <w:rPr>
                <w:rFonts w:ascii="宋体" w:eastAsia="宋体" w:hAnsi="宋体" w:cs="宋体"/>
                <w:sz w:val="18"/>
                <w:szCs w:val="18"/>
              </w:rPr>
              <w:lastRenderedPageBreak/>
              <w:t>会在本人\本企业控制的其他公司、企业或经济组织（以下统称"本人\本企业的关联企业"）任职，继续保持上市公司人员的独立性；2、上市公司具有完整的独立的劳动、人事管理体系，该等体系独立于本人\本企业；3、本人\本企业推荐出任上市公司董事和高级管理人员的人选均通过合法程序进行，本人\本企业不干预上市公司董事会和股东大会已做出的人事任免决定。二、保证上市公司资产独立、完整：1、上市公司具有完整的经营性资产； 2、本人\本企业及本人\本企业的关联企业不违规占用上市公司的资金、资产及其他资源。三、保证上市公司机构独立：1、上市公司依法建立和完善法人治理结构，建立独立、完整的组织机构；2、上市公司与本人\本企业的关联企业之间在办公机构和生产经营场所等方面完全分开。四、保证上市公司业务独立：1、上市公司拥有独立开展经营活动的资产、人员、资质以及具有独立面向市场自主经营的能力，在经营业务方面具有独立运作的能力；2、除通过行使合法的股东权利外，不干预上市公司的经营业务活动；3、依据减少并规范关联交易的原则，采取合法方式减少或消除本人\本企业及本人\本企业的关联企业与上市公司之间的关联交易；对于确有必要存在的关联交易，其关联交易价格按照公平合理及市场化原则确定，确保上市公司及其他股东利益不受到损害并及时履行信息披露义务。五、保证上市公司财务独立：1、上市公司拥有独立的财务会计部门，建立独立的财务核算体系和财务</w:t>
            </w:r>
            <w:r w:rsidRPr="00980BC4">
              <w:rPr>
                <w:rFonts w:ascii="宋体" w:eastAsia="宋体" w:hAnsi="宋体" w:cs="宋体"/>
                <w:sz w:val="18"/>
                <w:szCs w:val="18"/>
              </w:rPr>
              <w:lastRenderedPageBreak/>
              <w:t>管理制度；2、上市公司独立在银行开户，不与本人\本企业及本人\本企业的关联企业共用银行账户；3、上市公司独立作出财务决策，本人\本企业及本人\本企业的关联企业不干预上市公司的资金使用；4、上市公司依法独立纳税；5、上市公司的财务人员独立，不在本人\本企业的关联企业兼职和领取报酬。</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lastRenderedPageBreak/>
              <w:t>2018年09月17日</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本次交易完成后</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正常履行中</w:t>
            </w:r>
          </w:p>
        </w:tc>
      </w:tr>
      <w:tr w:rsidR="002A3304" w:rsidRPr="00980BC4" w:rsidTr="00CF7B6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lastRenderedPageBreak/>
              <w:t>首次公开发行或再融资时所作承诺</w:t>
            </w:r>
          </w:p>
        </w:tc>
        <w:tc>
          <w:tcPr>
            <w:tcW w:w="11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其他承诺</w:t>
            </w:r>
          </w:p>
        </w:tc>
        <w:tc>
          <w:tcPr>
            <w:tcW w:w="255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本次非公开发行完成后，德力西集团将在股东权利范围内，引导本公司向金融机构适度负债经营，保持合理的资产负债率，保证本公司可持续稳健经营。</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2011年02月15日</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本次非公开发行股票完成后</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正常履行中</w:t>
            </w:r>
          </w:p>
        </w:tc>
      </w:tr>
      <w:tr w:rsidR="002A3304" w:rsidRPr="00980BC4" w:rsidTr="00CF7B63">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首次公开发行或再融资时所作承诺</w:t>
            </w:r>
          </w:p>
        </w:tc>
        <w:tc>
          <w:tcPr>
            <w:tcW w:w="114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原控股股东江门市资产管理局</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其他承诺</w:t>
            </w:r>
          </w:p>
        </w:tc>
        <w:tc>
          <w:tcPr>
            <w:tcW w:w="255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本次非公开发行完成后，江门市资产管理局及其关联人不存在占用本公司资金、资产或者由本公司为江门市资产管理局及其关联人提供担保的情形。</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2011年02月15日</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本次非公开发行股票完成后</w:t>
            </w:r>
          </w:p>
        </w:tc>
        <w:tc>
          <w:tcPr>
            <w:tcW w:w="116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正常履行中</w:t>
            </w:r>
          </w:p>
        </w:tc>
      </w:tr>
      <w:tr w:rsidR="002A3304" w:rsidRPr="00980BC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承诺是否按时履行</w:t>
            </w:r>
          </w:p>
        </w:tc>
        <w:tc>
          <w:tcPr>
            <w:tcW w:w="8262" w:type="dxa"/>
            <w:gridSpan w:val="6"/>
            <w:tcBorders>
              <w:top w:val="single" w:sz="2" w:space="0" w:color="auto"/>
              <w:left w:val="single" w:sz="2" w:space="0" w:color="auto"/>
              <w:bottom w:val="single" w:sz="2" w:space="0" w:color="auto"/>
              <w:right w:val="single" w:sz="2" w:space="0" w:color="auto"/>
            </w:tcBorders>
            <w:vAlign w:val="center"/>
          </w:tcPr>
          <w:p w:rsidR="002A3304" w:rsidRPr="00980BC4" w:rsidRDefault="00DF4EBF" w:rsidP="00CF7B63">
            <w:pPr>
              <w:spacing w:line="280" w:lineRule="exact"/>
              <w:rPr>
                <w:rFonts w:ascii="宋体" w:eastAsia="宋体" w:hAnsi="宋体" w:cs="宋体"/>
                <w:sz w:val="18"/>
                <w:szCs w:val="18"/>
              </w:rPr>
            </w:pPr>
            <w:r w:rsidRPr="00980BC4">
              <w:rPr>
                <w:rFonts w:ascii="宋体" w:eastAsia="宋体" w:hAnsi="宋体" w:cs="宋体"/>
                <w:sz w:val="18"/>
                <w:szCs w:val="18"/>
              </w:rPr>
              <w:t>是</w:t>
            </w:r>
          </w:p>
        </w:tc>
      </w:tr>
    </w:tbl>
    <w:p w:rsidR="002A3304" w:rsidRPr="00980BC4" w:rsidRDefault="00DF4EBF" w:rsidP="009F37DF">
      <w:pPr>
        <w:pStyle w:val="a3"/>
        <w:spacing w:before="0" w:beforeAutospacing="0" w:after="0" w:afterAutospacing="0" w:line="560" w:lineRule="atLeast"/>
        <w:ind w:firstLine="560"/>
        <w:rPr>
          <w:rFonts w:ascii="仿宋" w:eastAsia="仿宋" w:hAnsi="仿宋"/>
          <w:b/>
          <w:sz w:val="28"/>
          <w:szCs w:val="28"/>
        </w:rPr>
      </w:pPr>
      <w:bookmarkStart w:id="94" w:name="_Toc988983"/>
      <w:r w:rsidRPr="00980BC4">
        <w:rPr>
          <w:rFonts w:ascii="仿宋" w:eastAsia="仿宋" w:hAnsi="仿宋"/>
          <w:b/>
          <w:sz w:val="28"/>
          <w:szCs w:val="28"/>
        </w:rPr>
        <w:t>2、公司资产或项目存在盈利预测，且报告期仍处在盈利预测期间，公司就资产或项目达到原盈利预测及其原因做出说明</w:t>
      </w:r>
      <w:bookmarkEnd w:id="94"/>
    </w:p>
    <w:p w:rsidR="002A3304" w:rsidRPr="00980BC4" w:rsidRDefault="00DF4EBF" w:rsidP="009F37DF">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t>□适用</w:t>
      </w:r>
      <w:r w:rsidR="009F37DF"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9F37DF">
      <w:pPr>
        <w:pStyle w:val="Chapter"/>
        <w:spacing w:before="0" w:after="0" w:line="560" w:lineRule="exact"/>
        <w:ind w:firstLineChars="200" w:firstLine="562"/>
        <w:outlineLvl w:val="1"/>
        <w:rPr>
          <w:bCs w:val="0"/>
          <w:sz w:val="28"/>
          <w:szCs w:val="28"/>
        </w:rPr>
      </w:pPr>
      <w:bookmarkStart w:id="95" w:name="_Toc988984"/>
      <w:r w:rsidRPr="00980BC4">
        <w:rPr>
          <w:bCs w:val="0"/>
          <w:sz w:val="28"/>
          <w:szCs w:val="28"/>
        </w:rPr>
        <w:t>二、控股股东及其他关联方对上市公司的非经营性占用资金情况</w:t>
      </w:r>
      <w:bookmarkEnd w:id="95"/>
    </w:p>
    <w:p w:rsidR="002A3304" w:rsidRPr="00980BC4" w:rsidRDefault="00DF4EBF" w:rsidP="009F37DF">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t xml:space="preserve">□适用 </w:t>
      </w:r>
      <w:r w:rsidR="009F37DF"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9F37DF">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t>公司报告期不存在控股股东及其他关联方对上市公司的非经营性占用资金。</w:t>
      </w:r>
    </w:p>
    <w:p w:rsidR="002A3304" w:rsidRPr="00980BC4" w:rsidRDefault="00DF4EBF" w:rsidP="009F37DF">
      <w:pPr>
        <w:pStyle w:val="Chapter"/>
        <w:spacing w:before="0" w:after="0" w:line="560" w:lineRule="exact"/>
        <w:ind w:firstLineChars="200" w:firstLine="562"/>
        <w:outlineLvl w:val="1"/>
        <w:rPr>
          <w:bCs w:val="0"/>
          <w:sz w:val="28"/>
          <w:szCs w:val="28"/>
        </w:rPr>
      </w:pPr>
      <w:bookmarkStart w:id="96" w:name="_Toc988985"/>
      <w:r w:rsidRPr="00980BC4">
        <w:rPr>
          <w:bCs w:val="0"/>
          <w:sz w:val="28"/>
          <w:szCs w:val="28"/>
        </w:rPr>
        <w:t>三、违规对外担保情况</w:t>
      </w:r>
      <w:bookmarkEnd w:id="96"/>
    </w:p>
    <w:p w:rsidR="002A3304" w:rsidRPr="00980BC4" w:rsidRDefault="00DF4EBF" w:rsidP="009F37DF">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t>□适用</w:t>
      </w:r>
      <w:r w:rsidR="009F37DF"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9B58C9" w:rsidRPr="00980BC4" w:rsidRDefault="00DF4EBF" w:rsidP="009B58C9">
      <w:pPr>
        <w:pStyle w:val="a3"/>
        <w:widowControl w:val="0"/>
        <w:spacing w:before="0" w:beforeAutospacing="0" w:after="0" w:afterAutospacing="0" w:line="560" w:lineRule="atLeast"/>
        <w:ind w:firstLine="561"/>
        <w:rPr>
          <w:rFonts w:ascii="仿宋" w:eastAsia="仿宋" w:hAnsi="仿宋"/>
          <w:sz w:val="28"/>
          <w:szCs w:val="28"/>
        </w:rPr>
      </w:pPr>
      <w:r w:rsidRPr="00980BC4">
        <w:rPr>
          <w:rFonts w:ascii="仿宋" w:eastAsia="仿宋" w:hAnsi="仿宋"/>
          <w:sz w:val="28"/>
          <w:szCs w:val="28"/>
        </w:rPr>
        <w:t>公司报告期无违规对外担保情况。</w:t>
      </w:r>
      <w:bookmarkStart w:id="97" w:name="_Toc988986"/>
    </w:p>
    <w:p w:rsidR="002A3304" w:rsidRPr="00980BC4" w:rsidRDefault="00DF4EBF" w:rsidP="009B58C9">
      <w:pPr>
        <w:pStyle w:val="a3"/>
        <w:widowControl w:val="0"/>
        <w:spacing w:before="0" w:beforeAutospacing="0" w:after="0" w:afterAutospacing="0" w:line="560" w:lineRule="atLeast"/>
        <w:ind w:firstLine="561"/>
        <w:rPr>
          <w:b/>
          <w:bCs/>
          <w:sz w:val="28"/>
          <w:szCs w:val="28"/>
        </w:rPr>
      </w:pPr>
      <w:r w:rsidRPr="00980BC4">
        <w:rPr>
          <w:b/>
          <w:bCs/>
          <w:sz w:val="28"/>
          <w:szCs w:val="28"/>
        </w:rPr>
        <w:t>四、董事会对最近一期“非标准审计报告”相关情况的说明</w:t>
      </w:r>
      <w:bookmarkEnd w:id="97"/>
    </w:p>
    <w:p w:rsidR="002A3304" w:rsidRPr="00980BC4" w:rsidRDefault="00DF4EBF" w:rsidP="009F37DF">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lastRenderedPageBreak/>
        <w:t>□适用</w:t>
      </w:r>
      <w:r w:rsidR="009F37DF"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9F37DF">
      <w:pPr>
        <w:pStyle w:val="Chapter"/>
        <w:spacing w:before="0" w:after="0" w:line="560" w:lineRule="exact"/>
        <w:ind w:firstLineChars="200" w:firstLine="562"/>
        <w:outlineLvl w:val="1"/>
        <w:rPr>
          <w:bCs w:val="0"/>
          <w:sz w:val="28"/>
          <w:szCs w:val="28"/>
        </w:rPr>
      </w:pPr>
      <w:bookmarkStart w:id="98" w:name="_Toc988987"/>
      <w:r w:rsidRPr="00980BC4">
        <w:rPr>
          <w:bCs w:val="0"/>
          <w:sz w:val="28"/>
          <w:szCs w:val="28"/>
        </w:rPr>
        <w:t>五、董事会、监事会、独立董事（如有）对会计师事务所本报告期</w:t>
      </w:r>
      <w:r w:rsidRPr="00980BC4">
        <w:rPr>
          <w:bCs w:val="0"/>
          <w:sz w:val="28"/>
          <w:szCs w:val="28"/>
        </w:rPr>
        <w:t>“</w:t>
      </w:r>
      <w:r w:rsidRPr="00980BC4">
        <w:rPr>
          <w:bCs w:val="0"/>
          <w:sz w:val="28"/>
          <w:szCs w:val="28"/>
        </w:rPr>
        <w:t>非标准审计报告</w:t>
      </w:r>
      <w:r w:rsidRPr="00980BC4">
        <w:rPr>
          <w:bCs w:val="0"/>
          <w:sz w:val="28"/>
          <w:szCs w:val="28"/>
        </w:rPr>
        <w:t>”</w:t>
      </w:r>
      <w:r w:rsidRPr="00980BC4">
        <w:rPr>
          <w:bCs w:val="0"/>
          <w:sz w:val="28"/>
          <w:szCs w:val="28"/>
        </w:rPr>
        <w:t>的说明</w:t>
      </w:r>
      <w:bookmarkEnd w:id="98"/>
    </w:p>
    <w:p w:rsidR="002A3304" w:rsidRPr="00980BC4" w:rsidRDefault="00DF4EBF" w:rsidP="009F37DF">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t>□适用</w:t>
      </w:r>
      <w:r w:rsidR="009F37DF"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9F37DF">
      <w:pPr>
        <w:pStyle w:val="Chapter"/>
        <w:spacing w:before="0" w:after="0" w:line="560" w:lineRule="exact"/>
        <w:ind w:firstLineChars="200" w:firstLine="562"/>
        <w:outlineLvl w:val="1"/>
        <w:rPr>
          <w:bCs w:val="0"/>
          <w:sz w:val="28"/>
          <w:szCs w:val="28"/>
        </w:rPr>
      </w:pPr>
      <w:bookmarkStart w:id="99" w:name="_Toc988988"/>
      <w:r w:rsidRPr="00980BC4">
        <w:rPr>
          <w:bCs w:val="0"/>
          <w:sz w:val="28"/>
          <w:szCs w:val="28"/>
        </w:rPr>
        <w:t>六、与上年度财务报告相比，会计政策、会计估计变更或重大会计差错更正的情况说明</w:t>
      </w:r>
      <w:r w:rsidRPr="00980BC4">
        <w:rPr>
          <w:bCs w:val="0"/>
          <w:sz w:val="28"/>
          <w:szCs w:val="28"/>
        </w:rPr>
        <w:t xml:space="preserve"> </w:t>
      </w:r>
      <w:bookmarkEnd w:id="99"/>
    </w:p>
    <w:p w:rsidR="002A3304" w:rsidRPr="00980BC4" w:rsidRDefault="00DF4EBF" w:rsidP="009F37DF">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t>□适用</w:t>
      </w:r>
      <w:r w:rsidR="009F37DF"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9F37DF">
      <w:pPr>
        <w:pStyle w:val="a3"/>
        <w:spacing w:before="0" w:beforeAutospacing="0" w:after="0" w:afterAutospacing="0" w:line="560" w:lineRule="atLeast"/>
        <w:ind w:firstLine="560"/>
        <w:rPr>
          <w:rFonts w:ascii="仿宋" w:eastAsia="仿宋" w:hAnsi="仿宋"/>
          <w:sz w:val="28"/>
          <w:szCs w:val="28"/>
        </w:rPr>
      </w:pPr>
      <w:r w:rsidRPr="00980BC4">
        <w:rPr>
          <w:rFonts w:ascii="仿宋" w:eastAsia="仿宋" w:hAnsi="仿宋"/>
          <w:sz w:val="28"/>
          <w:szCs w:val="28"/>
        </w:rPr>
        <w:t>公司报告期无会计政策、会计估计变更或重大会计差错更正的情况。</w:t>
      </w:r>
    </w:p>
    <w:p w:rsidR="002A3304" w:rsidRPr="00980BC4" w:rsidRDefault="00DF4EBF" w:rsidP="00E604D3">
      <w:pPr>
        <w:pStyle w:val="Chapter"/>
        <w:spacing w:before="0" w:after="0" w:line="560" w:lineRule="exact"/>
        <w:ind w:firstLineChars="200" w:firstLine="562"/>
        <w:outlineLvl w:val="1"/>
        <w:rPr>
          <w:bCs w:val="0"/>
          <w:sz w:val="28"/>
          <w:szCs w:val="28"/>
        </w:rPr>
      </w:pPr>
      <w:bookmarkStart w:id="100" w:name="_Toc988989"/>
      <w:r w:rsidRPr="00980BC4">
        <w:rPr>
          <w:bCs w:val="0"/>
          <w:sz w:val="28"/>
          <w:szCs w:val="28"/>
        </w:rPr>
        <w:t>七、与上年度财务报告相比，合并报表范围发生变化的情况说明</w:t>
      </w:r>
      <w:bookmarkEnd w:id="100"/>
    </w:p>
    <w:p w:rsidR="002A3304" w:rsidRPr="00980BC4" w:rsidRDefault="00DF4EBF" w:rsidP="00E604D3">
      <w:pPr>
        <w:pStyle w:val="a3"/>
        <w:spacing w:before="0" w:beforeAutospacing="0" w:after="0" w:afterAutospacing="0" w:line="560" w:lineRule="exact"/>
        <w:ind w:firstLine="560"/>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适用 </w:t>
      </w:r>
      <w:r w:rsidR="009F37DF" w:rsidRPr="00980BC4">
        <w:rPr>
          <w:rFonts w:ascii="仿宋" w:eastAsia="仿宋" w:hAnsi="仿宋" w:hint="eastAsia"/>
          <w:sz w:val="28"/>
          <w:szCs w:val="28"/>
        </w:rPr>
        <w:t xml:space="preserve"> </w:t>
      </w:r>
      <w:r w:rsidRPr="00980BC4">
        <w:rPr>
          <w:rFonts w:ascii="仿宋" w:eastAsia="仿宋" w:hAnsi="仿宋"/>
          <w:sz w:val="28"/>
          <w:szCs w:val="28"/>
        </w:rPr>
        <w:t>□不适用</w:t>
      </w:r>
    </w:p>
    <w:p w:rsidR="002A3304" w:rsidRPr="00980BC4" w:rsidRDefault="002A3304" w:rsidP="00E604D3">
      <w:pPr>
        <w:pStyle w:val="a3"/>
        <w:spacing w:before="0" w:beforeAutospacing="0" w:after="0" w:afterAutospacing="0" w:line="560" w:lineRule="exact"/>
        <w:ind w:firstLine="560"/>
        <w:divId w:val="150760731"/>
        <w:rPr>
          <w:rFonts w:ascii="Times New Roman" w:hAnsi="Times New Roman" w:cs="Times New Roman"/>
          <w:sz w:val="18"/>
          <w:szCs w:val="18"/>
        </w:rPr>
      </w:pPr>
      <w:r w:rsidRPr="00980BC4">
        <w:rPr>
          <w:rFonts w:ascii="仿宋" w:eastAsia="仿宋" w:hAnsi="仿宋" w:cs="Times New Roman" w:hint="eastAsia"/>
          <w:b/>
          <w:sz w:val="28"/>
          <w:szCs w:val="28"/>
        </w:rPr>
        <w:t>本期增加合并单位：</w:t>
      </w:r>
      <w:r w:rsidRPr="00980BC4">
        <w:rPr>
          <w:rFonts w:ascii="仿宋" w:eastAsia="仿宋" w:hAnsi="仿宋" w:cs="Times New Roman" w:hint="eastAsia"/>
          <w:sz w:val="28"/>
          <w:szCs w:val="28"/>
        </w:rPr>
        <w:t>福建</w:t>
      </w:r>
      <w:r w:rsidR="00A05CB7" w:rsidRPr="00980BC4">
        <w:rPr>
          <w:rFonts w:ascii="仿宋" w:eastAsia="仿宋" w:hAnsi="仿宋" w:cs="Times New Roman" w:hint="eastAsia"/>
          <w:sz w:val="28"/>
          <w:szCs w:val="28"/>
        </w:rPr>
        <w:t>卓越</w:t>
      </w:r>
      <w:r w:rsidRPr="00980BC4">
        <w:rPr>
          <w:rFonts w:ascii="仿宋" w:eastAsia="仿宋" w:hAnsi="仿宋" w:cs="Times New Roman" w:hint="eastAsia"/>
          <w:sz w:val="28"/>
          <w:szCs w:val="28"/>
        </w:rPr>
        <w:t>、沈阳非晶</w:t>
      </w:r>
    </w:p>
    <w:p w:rsidR="00E604D3" w:rsidRPr="00980BC4" w:rsidRDefault="00E604D3" w:rsidP="00E604D3">
      <w:pPr>
        <w:pStyle w:val="a3"/>
        <w:spacing w:before="0" w:beforeAutospacing="0" w:after="0" w:afterAutospacing="0" w:line="560" w:lineRule="exact"/>
        <w:ind w:firstLine="560"/>
        <w:divId w:val="150760731"/>
        <w:rPr>
          <w:rFonts w:ascii="仿宋" w:eastAsia="仿宋" w:hAnsi="仿宋"/>
          <w:sz w:val="28"/>
          <w:szCs w:val="28"/>
        </w:rPr>
      </w:pPr>
      <w:r w:rsidRPr="00980BC4">
        <w:rPr>
          <w:rFonts w:ascii="仿宋" w:eastAsia="仿宋" w:hAnsi="仿宋" w:hint="eastAsia"/>
          <w:sz w:val="28"/>
          <w:szCs w:val="28"/>
        </w:rPr>
        <w:t>公司本期通过收购方式取得福建将乐卓越金属材料有限公司100%股权，于2022年7月完成工商变更，本期纳入合并报表范围。</w:t>
      </w:r>
    </w:p>
    <w:p w:rsidR="00E604D3" w:rsidRPr="00980BC4" w:rsidRDefault="00E604D3" w:rsidP="00E604D3">
      <w:pPr>
        <w:pStyle w:val="a3"/>
        <w:spacing w:before="0" w:beforeAutospacing="0" w:after="0" w:afterAutospacing="0" w:line="560" w:lineRule="exact"/>
        <w:ind w:firstLine="560"/>
        <w:divId w:val="150760731"/>
        <w:rPr>
          <w:rFonts w:ascii="仿宋" w:eastAsia="仿宋" w:hAnsi="仿宋"/>
          <w:sz w:val="28"/>
          <w:szCs w:val="28"/>
        </w:rPr>
      </w:pPr>
      <w:r w:rsidRPr="00980BC4">
        <w:rPr>
          <w:rFonts w:ascii="仿宋" w:eastAsia="仿宋" w:hAnsi="仿宋" w:hint="eastAsia"/>
          <w:sz w:val="28"/>
          <w:szCs w:val="28"/>
        </w:rPr>
        <w:t>公司本期通过增资方式取得沈阳非晶金属材料制造有限公司3</w:t>
      </w:r>
      <w:r w:rsidRPr="00980BC4">
        <w:rPr>
          <w:rFonts w:ascii="仿宋" w:eastAsia="仿宋" w:hAnsi="仿宋"/>
          <w:sz w:val="28"/>
          <w:szCs w:val="28"/>
        </w:rPr>
        <w:t>3.34</w:t>
      </w:r>
      <w:r w:rsidRPr="00980BC4">
        <w:rPr>
          <w:rFonts w:ascii="仿宋" w:eastAsia="仿宋" w:hAnsi="仿宋" w:hint="eastAsia"/>
          <w:sz w:val="28"/>
          <w:szCs w:val="28"/>
        </w:rPr>
        <w:t>%股权，通过子公司福建卓越间接持有沈阳非晶2</w:t>
      </w:r>
      <w:r w:rsidRPr="00980BC4">
        <w:rPr>
          <w:rFonts w:ascii="仿宋" w:eastAsia="仿宋" w:hAnsi="仿宋"/>
          <w:sz w:val="28"/>
          <w:szCs w:val="28"/>
        </w:rPr>
        <w:t>3.33</w:t>
      </w:r>
      <w:r w:rsidRPr="00980BC4">
        <w:rPr>
          <w:rFonts w:ascii="仿宋" w:eastAsia="仿宋" w:hAnsi="仿宋" w:hint="eastAsia"/>
          <w:sz w:val="28"/>
          <w:szCs w:val="28"/>
        </w:rPr>
        <w:t>%股权，共计持有沈阳非晶5</w:t>
      </w:r>
      <w:r w:rsidRPr="00980BC4">
        <w:rPr>
          <w:rFonts w:ascii="仿宋" w:eastAsia="仿宋" w:hAnsi="仿宋"/>
          <w:sz w:val="28"/>
          <w:szCs w:val="28"/>
        </w:rPr>
        <w:t>6.67</w:t>
      </w:r>
      <w:r w:rsidRPr="00980BC4">
        <w:rPr>
          <w:rFonts w:ascii="仿宋" w:eastAsia="仿宋" w:hAnsi="仿宋" w:hint="eastAsia"/>
          <w:sz w:val="28"/>
          <w:szCs w:val="28"/>
        </w:rPr>
        <w:t>%股权。沈阳非晶本期纳入合并范围。</w:t>
      </w:r>
    </w:p>
    <w:p w:rsidR="002A3304" w:rsidRPr="00980BC4" w:rsidRDefault="002A3304" w:rsidP="00E604D3">
      <w:pPr>
        <w:pStyle w:val="a3"/>
        <w:spacing w:before="0" w:beforeAutospacing="0" w:after="0" w:afterAutospacing="0" w:line="560" w:lineRule="exact"/>
        <w:ind w:firstLine="560"/>
        <w:divId w:val="150760731"/>
        <w:rPr>
          <w:rFonts w:ascii="Times New Roman" w:hAnsi="Times New Roman" w:cs="Times New Roman"/>
          <w:sz w:val="18"/>
          <w:szCs w:val="18"/>
        </w:rPr>
      </w:pPr>
      <w:r w:rsidRPr="00980BC4">
        <w:rPr>
          <w:rFonts w:ascii="仿宋" w:eastAsia="仿宋" w:hAnsi="仿宋" w:cs="Times New Roman" w:hint="eastAsia"/>
          <w:b/>
          <w:sz w:val="28"/>
          <w:szCs w:val="28"/>
        </w:rPr>
        <w:t>本期减少合并单位：</w:t>
      </w:r>
      <w:r w:rsidRPr="00980BC4">
        <w:rPr>
          <w:rFonts w:ascii="仿宋" w:eastAsia="仿宋" w:hAnsi="仿宋" w:cs="Times New Roman" w:hint="eastAsia"/>
          <w:sz w:val="28"/>
          <w:szCs w:val="28"/>
        </w:rPr>
        <w:t>多普思电源</w:t>
      </w:r>
    </w:p>
    <w:p w:rsidR="002A3304" w:rsidRPr="00980BC4" w:rsidRDefault="002A3304" w:rsidP="00E604D3">
      <w:pPr>
        <w:pStyle w:val="a3"/>
        <w:spacing w:before="0" w:beforeAutospacing="0" w:after="0" w:afterAutospacing="0" w:line="560" w:lineRule="exact"/>
        <w:divId w:val="150760731"/>
        <w:rPr>
          <w:rFonts w:ascii="仿宋" w:eastAsia="仿宋" w:hAnsi="仿宋"/>
          <w:sz w:val="28"/>
          <w:szCs w:val="28"/>
        </w:rPr>
      </w:pPr>
      <w:r w:rsidRPr="00980BC4">
        <w:rPr>
          <w:rFonts w:hint="eastAsia"/>
        </w:rPr>
        <w:t xml:space="preserve">  </w:t>
      </w:r>
      <w:r w:rsidRPr="00980BC4">
        <w:rPr>
          <w:rFonts w:ascii="仿宋" w:eastAsia="仿宋" w:hAnsi="仿宋" w:hint="eastAsia"/>
          <w:sz w:val="28"/>
          <w:szCs w:val="28"/>
        </w:rPr>
        <w:t> </w:t>
      </w:r>
      <w:r w:rsidR="003E7819" w:rsidRPr="00980BC4">
        <w:rPr>
          <w:rFonts w:ascii="仿宋" w:eastAsia="仿宋" w:hAnsi="仿宋" w:hint="eastAsia"/>
          <w:sz w:val="28"/>
          <w:szCs w:val="28"/>
        </w:rPr>
        <w:t>升华电源</w:t>
      </w:r>
      <w:r w:rsidRPr="00980BC4">
        <w:rPr>
          <w:rFonts w:ascii="仿宋" w:eastAsia="仿宋" w:hAnsi="仿宋" w:hint="eastAsia"/>
          <w:sz w:val="28"/>
          <w:szCs w:val="28"/>
        </w:rPr>
        <w:t>子公司上海多普思电源有限责任公司于本期注销，自2022年11月起不纳入合并范围。</w:t>
      </w:r>
    </w:p>
    <w:p w:rsidR="009F37DF" w:rsidRPr="00980BC4" w:rsidRDefault="00DF4EBF" w:rsidP="009F37DF">
      <w:pPr>
        <w:pStyle w:val="Chapter"/>
        <w:spacing w:before="0" w:after="0" w:line="560" w:lineRule="exact"/>
        <w:ind w:firstLineChars="200" w:firstLine="562"/>
        <w:outlineLvl w:val="1"/>
        <w:rPr>
          <w:bCs w:val="0"/>
          <w:sz w:val="28"/>
          <w:szCs w:val="28"/>
        </w:rPr>
      </w:pPr>
      <w:bookmarkStart w:id="101" w:name="_Toc988990"/>
      <w:r w:rsidRPr="00980BC4">
        <w:rPr>
          <w:bCs w:val="0"/>
          <w:sz w:val="28"/>
          <w:szCs w:val="28"/>
        </w:rPr>
        <w:t>八、聘任、解聘会计师事务所情况</w:t>
      </w:r>
      <w:bookmarkEnd w:id="101"/>
    </w:p>
    <w:p w:rsidR="002A3304" w:rsidRPr="00980BC4" w:rsidRDefault="00DF4EBF" w:rsidP="009F37DF">
      <w:pPr>
        <w:pStyle w:val="Chapter"/>
        <w:spacing w:before="0" w:after="0" w:line="560" w:lineRule="exact"/>
        <w:ind w:firstLineChars="200" w:firstLine="562"/>
        <w:outlineLvl w:val="1"/>
        <w:rPr>
          <w:bCs w:val="0"/>
          <w:sz w:val="28"/>
          <w:szCs w:val="28"/>
        </w:rPr>
      </w:pPr>
      <w:r w:rsidRPr="00980BC4">
        <w:rPr>
          <w:rFonts w:ascii="仿宋" w:eastAsia="仿宋" w:hAnsi="仿宋" w:cs="宋体"/>
          <w:sz w:val="28"/>
          <w:szCs w:val="28"/>
        </w:rPr>
        <w:t>现聘任的会计师事务所</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境内会计师事务所名称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广东司农会计师事务所（特殊普通合伙）</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境内会计师事务所报酬（万元）</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3E7819" w:rsidP="009F65A5">
            <w:pPr>
              <w:spacing w:line="240" w:lineRule="exact"/>
              <w:rPr>
                <w:rFonts w:ascii="宋体" w:eastAsia="宋体" w:hAnsi="宋体" w:cs="宋体"/>
                <w:sz w:val="18"/>
                <w:szCs w:val="18"/>
              </w:rPr>
            </w:pPr>
            <w:r w:rsidRPr="00980BC4">
              <w:rPr>
                <w:rFonts w:ascii="宋体" w:eastAsia="宋体" w:hAnsi="宋体" w:cs="宋体"/>
                <w:sz w:val="18"/>
                <w:szCs w:val="18"/>
              </w:rPr>
              <w:t>80</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境内会计师事务所审计服务的连续年限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1</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境内会计师事务所注册会计师姓名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rPr>
                <w:rFonts w:ascii="宋体" w:eastAsia="宋体" w:hAnsi="宋体" w:cs="宋体"/>
                <w:sz w:val="18"/>
                <w:szCs w:val="18"/>
              </w:rPr>
            </w:pPr>
            <w:r w:rsidRPr="00980BC4">
              <w:rPr>
                <w:rFonts w:ascii="宋体" w:eastAsia="宋体" w:hAnsi="宋体" w:cs="宋体"/>
                <w:sz w:val="18"/>
                <w:szCs w:val="18"/>
              </w:rPr>
              <w:t>陈皓淳、梁剑云</w:t>
            </w:r>
          </w:p>
        </w:tc>
      </w:tr>
      <w:tr w:rsidR="002A3304" w:rsidRPr="00980BC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境内会计师事务所注册会计师审计服务的连续年限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8B44E8">
            <w:pPr>
              <w:spacing w:line="240" w:lineRule="exact"/>
              <w:rPr>
                <w:rFonts w:ascii="宋体" w:eastAsia="宋体" w:hAnsi="宋体" w:cs="宋体"/>
                <w:sz w:val="18"/>
                <w:szCs w:val="18"/>
              </w:rPr>
            </w:pPr>
            <w:r w:rsidRPr="00980BC4">
              <w:rPr>
                <w:rFonts w:ascii="宋体" w:eastAsia="宋体" w:hAnsi="宋体" w:cs="宋体"/>
                <w:sz w:val="18"/>
                <w:szCs w:val="18"/>
              </w:rPr>
              <w:t>陈皓淳</w:t>
            </w:r>
            <w:r w:rsidR="008B44E8" w:rsidRPr="00980BC4">
              <w:rPr>
                <w:rFonts w:ascii="宋体" w:eastAsia="宋体" w:hAnsi="宋体" w:cs="宋体" w:hint="eastAsia"/>
                <w:sz w:val="18"/>
                <w:szCs w:val="18"/>
              </w:rPr>
              <w:t>5</w:t>
            </w:r>
            <w:r w:rsidRPr="00980BC4">
              <w:rPr>
                <w:rFonts w:ascii="宋体" w:eastAsia="宋体" w:hAnsi="宋体" w:cs="宋体"/>
                <w:sz w:val="18"/>
                <w:szCs w:val="18"/>
              </w:rPr>
              <w:t>年、梁剑云1年</w:t>
            </w:r>
          </w:p>
        </w:tc>
      </w:tr>
    </w:tbl>
    <w:p w:rsidR="002A3304" w:rsidRPr="00980BC4" w:rsidRDefault="00DF4EBF" w:rsidP="009F37DF">
      <w:pPr>
        <w:pStyle w:val="Chapter"/>
        <w:spacing w:before="0" w:after="0" w:line="560" w:lineRule="exact"/>
        <w:ind w:firstLineChars="200" w:firstLine="562"/>
        <w:outlineLvl w:val="1"/>
        <w:rPr>
          <w:rFonts w:ascii="仿宋" w:eastAsia="仿宋" w:hAnsi="仿宋" w:cs="宋体"/>
          <w:sz w:val="28"/>
          <w:szCs w:val="28"/>
        </w:rPr>
      </w:pPr>
      <w:r w:rsidRPr="00980BC4">
        <w:rPr>
          <w:rFonts w:ascii="仿宋" w:eastAsia="仿宋" w:hAnsi="仿宋" w:cs="宋体"/>
          <w:sz w:val="28"/>
          <w:szCs w:val="28"/>
        </w:rPr>
        <w:lastRenderedPageBreak/>
        <w:t>当期是否改聘会计师事务所</w:t>
      </w:r>
    </w:p>
    <w:p w:rsidR="002A3304" w:rsidRPr="00980BC4" w:rsidRDefault="00DF4EBF" w:rsidP="009F37DF">
      <w:pPr>
        <w:pStyle w:val="a3"/>
        <w:spacing w:before="0" w:beforeAutospacing="0" w:after="0" w:afterAutospacing="0" w:line="560" w:lineRule="exact"/>
        <w:ind w:firstLineChars="200" w:firstLine="560"/>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是</w:t>
      </w:r>
      <w:r w:rsidR="009F37DF" w:rsidRPr="00980BC4">
        <w:rPr>
          <w:rFonts w:ascii="仿宋" w:eastAsia="仿宋" w:hAnsi="仿宋" w:hint="eastAsia"/>
          <w:sz w:val="28"/>
          <w:szCs w:val="28"/>
        </w:rPr>
        <w:t xml:space="preserve"> </w:t>
      </w:r>
      <w:r w:rsidRPr="00980BC4">
        <w:rPr>
          <w:rFonts w:ascii="仿宋" w:eastAsia="仿宋" w:hAnsi="仿宋"/>
          <w:sz w:val="28"/>
          <w:szCs w:val="28"/>
        </w:rPr>
        <w:t xml:space="preserve"> □否</w:t>
      </w:r>
    </w:p>
    <w:p w:rsidR="002A3304" w:rsidRPr="00980BC4" w:rsidRDefault="00DF4EBF" w:rsidP="009F37DF">
      <w:pPr>
        <w:pStyle w:val="a3"/>
        <w:spacing w:before="0" w:beforeAutospacing="0" w:after="0" w:afterAutospacing="0" w:line="560" w:lineRule="exact"/>
        <w:ind w:firstLineChars="200" w:firstLine="562"/>
        <w:rPr>
          <w:rFonts w:ascii="仿宋" w:eastAsia="仿宋" w:hAnsi="仿宋"/>
          <w:b/>
          <w:sz w:val="28"/>
          <w:szCs w:val="28"/>
        </w:rPr>
      </w:pPr>
      <w:r w:rsidRPr="00980BC4">
        <w:rPr>
          <w:rFonts w:ascii="仿宋" w:eastAsia="仿宋" w:hAnsi="仿宋"/>
          <w:b/>
          <w:sz w:val="28"/>
          <w:szCs w:val="28"/>
        </w:rPr>
        <w:t>是否在审计期间改聘会计师事务所</w:t>
      </w:r>
    </w:p>
    <w:p w:rsidR="002A3304" w:rsidRPr="00980BC4" w:rsidRDefault="00DF4EBF" w:rsidP="009F37DF">
      <w:pPr>
        <w:pStyle w:val="a3"/>
        <w:spacing w:before="0" w:beforeAutospacing="0" w:after="0" w:afterAutospacing="0" w:line="560" w:lineRule="exact"/>
        <w:ind w:firstLineChars="200" w:firstLine="560"/>
        <w:rPr>
          <w:rFonts w:ascii="仿宋" w:eastAsia="仿宋" w:hAnsi="仿宋"/>
          <w:sz w:val="28"/>
          <w:szCs w:val="28"/>
        </w:rPr>
      </w:pPr>
      <w:r w:rsidRPr="00980BC4">
        <w:rPr>
          <w:rFonts w:ascii="仿宋" w:eastAsia="仿宋" w:hAnsi="仿宋"/>
          <w:sz w:val="28"/>
          <w:szCs w:val="28"/>
        </w:rPr>
        <w:t>□是</w:t>
      </w:r>
      <w:r w:rsidR="009F37DF"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否</w:t>
      </w:r>
    </w:p>
    <w:p w:rsidR="002A3304" w:rsidRPr="00980BC4" w:rsidRDefault="00DF4EBF" w:rsidP="009F37DF">
      <w:pPr>
        <w:pStyle w:val="Chapter"/>
        <w:spacing w:before="0" w:after="0" w:line="560" w:lineRule="exact"/>
        <w:ind w:firstLineChars="200" w:firstLine="562"/>
        <w:outlineLvl w:val="1"/>
        <w:rPr>
          <w:rFonts w:ascii="仿宋" w:eastAsia="仿宋" w:hAnsi="仿宋" w:cs="宋体"/>
          <w:sz w:val="28"/>
          <w:szCs w:val="28"/>
        </w:rPr>
      </w:pPr>
      <w:r w:rsidRPr="00980BC4">
        <w:rPr>
          <w:rFonts w:ascii="仿宋" w:eastAsia="仿宋" w:hAnsi="仿宋" w:cs="宋体"/>
          <w:sz w:val="28"/>
          <w:szCs w:val="28"/>
        </w:rPr>
        <w:t>更换会计师事务所是否履行审批程序</w:t>
      </w:r>
    </w:p>
    <w:p w:rsidR="002A3304" w:rsidRPr="00980BC4" w:rsidRDefault="00DF4EBF" w:rsidP="009F37DF">
      <w:pPr>
        <w:pStyle w:val="Chapter"/>
        <w:spacing w:before="0" w:after="0" w:line="560" w:lineRule="exact"/>
        <w:ind w:firstLineChars="200" w:firstLine="560"/>
        <w:outlineLvl w:val="1"/>
        <w:rPr>
          <w:rFonts w:ascii="仿宋" w:eastAsia="仿宋" w:hAnsi="仿宋" w:cs="宋体"/>
          <w:b w:val="0"/>
          <w:sz w:val="28"/>
          <w:szCs w:val="28"/>
        </w:rPr>
      </w:pPr>
      <w:r w:rsidRPr="00980BC4">
        <w:rPr>
          <w:rFonts w:ascii="仿宋" w:eastAsia="仿宋" w:hAnsi="仿宋" w:cs="宋体"/>
          <w:b w:val="0"/>
          <w:sz w:val="28"/>
          <w:szCs w:val="28"/>
        </w:rPr>
        <w:sym w:font="Wingdings 2" w:char="F052"/>
      </w:r>
      <w:r w:rsidRPr="00980BC4">
        <w:rPr>
          <w:rFonts w:ascii="仿宋" w:eastAsia="仿宋" w:hAnsi="仿宋" w:cs="宋体"/>
          <w:b w:val="0"/>
          <w:sz w:val="28"/>
          <w:szCs w:val="28"/>
        </w:rPr>
        <w:t>是</w:t>
      </w:r>
      <w:r w:rsidR="009F37DF" w:rsidRPr="00980BC4">
        <w:rPr>
          <w:rFonts w:ascii="仿宋" w:eastAsia="仿宋" w:hAnsi="仿宋" w:cs="宋体" w:hint="eastAsia"/>
          <w:b w:val="0"/>
          <w:sz w:val="28"/>
          <w:szCs w:val="28"/>
        </w:rPr>
        <w:t xml:space="preserve"> </w:t>
      </w:r>
      <w:r w:rsidRPr="00980BC4">
        <w:rPr>
          <w:rFonts w:ascii="仿宋" w:eastAsia="仿宋" w:hAnsi="仿宋" w:cs="宋体"/>
          <w:b w:val="0"/>
          <w:sz w:val="28"/>
          <w:szCs w:val="28"/>
        </w:rPr>
        <w:t xml:space="preserve"> □否</w:t>
      </w:r>
    </w:p>
    <w:p w:rsidR="002A3304" w:rsidRPr="00980BC4" w:rsidRDefault="00DF4EBF" w:rsidP="009F37DF">
      <w:pPr>
        <w:pStyle w:val="Chapter"/>
        <w:spacing w:before="0" w:after="0" w:line="560" w:lineRule="exact"/>
        <w:ind w:firstLineChars="200" w:firstLine="562"/>
        <w:outlineLvl w:val="1"/>
        <w:rPr>
          <w:rFonts w:ascii="仿宋" w:eastAsia="仿宋" w:hAnsi="仿宋" w:cs="宋体"/>
          <w:sz w:val="28"/>
          <w:szCs w:val="28"/>
        </w:rPr>
      </w:pPr>
      <w:r w:rsidRPr="00980BC4">
        <w:rPr>
          <w:rFonts w:ascii="仿宋" w:eastAsia="仿宋" w:hAnsi="仿宋" w:cs="宋体"/>
          <w:sz w:val="28"/>
          <w:szCs w:val="28"/>
        </w:rPr>
        <w:t>对改聘、变更会计师事务所情况的详细说明</w:t>
      </w:r>
    </w:p>
    <w:p w:rsidR="002A3304" w:rsidRPr="00980BC4" w:rsidRDefault="002A3304" w:rsidP="009F37DF">
      <w:pPr>
        <w:pStyle w:val="a3"/>
        <w:spacing w:before="0" w:beforeAutospacing="0" w:after="0" w:afterAutospacing="0" w:line="560" w:lineRule="exact"/>
        <w:ind w:firstLine="560"/>
        <w:jc w:val="both"/>
        <w:divId w:val="559290037"/>
        <w:rPr>
          <w:rFonts w:ascii="Times New Roman" w:hAnsi="Times New Roman" w:cs="Times New Roman"/>
          <w:sz w:val="21"/>
          <w:szCs w:val="21"/>
        </w:rPr>
      </w:pPr>
      <w:r w:rsidRPr="00980BC4">
        <w:rPr>
          <w:rFonts w:ascii="仿宋" w:eastAsia="仿宋" w:hAnsi="仿宋" w:cs="Times New Roman" w:hint="eastAsia"/>
          <w:sz w:val="28"/>
          <w:szCs w:val="28"/>
        </w:rPr>
        <w:t>鉴于公司前任会计师事务所容诚会计师事务所（特殊普通合伙）负责公司审计的团队加入拟变更的会计师事务所，综合考虑公司的业务现状和发展需要</w:t>
      </w:r>
      <w:r w:rsidRPr="00980BC4">
        <w:rPr>
          <w:rFonts w:ascii="仿宋" w:eastAsia="仿宋" w:hAnsi="仿宋" w:cs="Times New Roman" w:hint="eastAsia"/>
          <w:color w:val="000000"/>
          <w:sz w:val="28"/>
          <w:szCs w:val="28"/>
        </w:rPr>
        <w:t>，</w:t>
      </w:r>
      <w:r w:rsidRPr="00980BC4">
        <w:rPr>
          <w:rFonts w:ascii="仿宋" w:eastAsia="仿宋" w:hAnsi="仿宋" w:cs="Times New Roman" w:hint="eastAsia"/>
          <w:sz w:val="28"/>
          <w:szCs w:val="28"/>
        </w:rPr>
        <w:t>经过广泛了解、审慎决策，以及第十届董事会第二十次会议及2023年第一次临时股东大会审议通过，公司将2022年度审计机构变更为广东司农会计师事务所(特殊普通合伙)，负责公司2022年度财务审计及内部控制审计工作，聘期1年。</w:t>
      </w:r>
    </w:p>
    <w:p w:rsidR="002A3304" w:rsidRPr="00980BC4" w:rsidRDefault="00DF4EBF" w:rsidP="009F37DF">
      <w:pPr>
        <w:pStyle w:val="Chapter"/>
        <w:spacing w:before="0" w:after="0" w:line="560" w:lineRule="exact"/>
        <w:ind w:firstLineChars="200" w:firstLine="562"/>
        <w:outlineLvl w:val="1"/>
        <w:rPr>
          <w:rFonts w:ascii="仿宋" w:eastAsia="仿宋" w:hAnsi="仿宋" w:cs="宋体"/>
          <w:sz w:val="28"/>
          <w:szCs w:val="28"/>
        </w:rPr>
      </w:pPr>
      <w:r w:rsidRPr="00980BC4">
        <w:rPr>
          <w:rFonts w:ascii="仿宋" w:eastAsia="仿宋" w:hAnsi="仿宋" w:cs="宋体"/>
          <w:sz w:val="28"/>
          <w:szCs w:val="28"/>
        </w:rPr>
        <w:t>聘请内部控制审计会计师事务所、财务顾问或保荐人情况</w:t>
      </w:r>
    </w:p>
    <w:p w:rsidR="002A3304" w:rsidRPr="00980BC4" w:rsidRDefault="00DF4EBF" w:rsidP="009F37DF">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 xml:space="preserve">□适用 </w:t>
      </w:r>
      <w:r w:rsidR="009F37DF"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B23EAC">
      <w:pPr>
        <w:pStyle w:val="Chapter"/>
        <w:spacing w:before="0" w:after="0" w:line="560" w:lineRule="exact"/>
        <w:ind w:firstLineChars="200" w:firstLine="562"/>
        <w:outlineLvl w:val="1"/>
        <w:rPr>
          <w:bCs w:val="0"/>
          <w:sz w:val="28"/>
          <w:szCs w:val="28"/>
        </w:rPr>
      </w:pPr>
      <w:bookmarkStart w:id="102" w:name="_Toc988991"/>
      <w:r w:rsidRPr="00980BC4">
        <w:rPr>
          <w:bCs w:val="0"/>
          <w:sz w:val="28"/>
          <w:szCs w:val="28"/>
        </w:rPr>
        <w:t>九、年度报告披露后面临退市情况</w:t>
      </w:r>
      <w:bookmarkEnd w:id="102"/>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□适用</w:t>
      </w:r>
      <w:r w:rsidR="00B23EAC"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B23EAC">
      <w:pPr>
        <w:pStyle w:val="Chapter"/>
        <w:spacing w:before="0" w:after="0" w:line="560" w:lineRule="exact"/>
        <w:ind w:firstLineChars="200" w:firstLine="562"/>
        <w:outlineLvl w:val="1"/>
        <w:rPr>
          <w:bCs w:val="0"/>
          <w:sz w:val="28"/>
          <w:szCs w:val="28"/>
        </w:rPr>
      </w:pPr>
      <w:bookmarkStart w:id="103" w:name="_Toc988992"/>
      <w:r w:rsidRPr="00980BC4">
        <w:rPr>
          <w:bCs w:val="0"/>
          <w:sz w:val="28"/>
          <w:szCs w:val="28"/>
        </w:rPr>
        <w:t>十、破产重整相关事项</w:t>
      </w:r>
      <w:bookmarkEnd w:id="103"/>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 xml:space="preserve">□适用 </w:t>
      </w:r>
      <w:r w:rsidR="00B23EAC"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公司报告期未发生破产重整相关事项。</w:t>
      </w:r>
    </w:p>
    <w:p w:rsidR="002A3304" w:rsidRPr="00980BC4" w:rsidRDefault="00DF4EBF" w:rsidP="00B23EAC">
      <w:pPr>
        <w:pStyle w:val="Chapter"/>
        <w:spacing w:before="0" w:after="0" w:line="560" w:lineRule="exact"/>
        <w:ind w:firstLineChars="200" w:firstLine="562"/>
        <w:outlineLvl w:val="1"/>
        <w:rPr>
          <w:bCs w:val="0"/>
          <w:sz w:val="28"/>
          <w:szCs w:val="28"/>
        </w:rPr>
      </w:pPr>
      <w:bookmarkStart w:id="104" w:name="_Toc988993"/>
      <w:r w:rsidRPr="00980BC4">
        <w:rPr>
          <w:bCs w:val="0"/>
          <w:sz w:val="28"/>
          <w:szCs w:val="28"/>
        </w:rPr>
        <w:t>十一、重大诉讼、仲裁事项</w:t>
      </w:r>
      <w:bookmarkEnd w:id="104"/>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 xml:space="preserve">适用 </w:t>
      </w:r>
      <w:r w:rsidR="00B23EAC"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242"/>
        <w:gridCol w:w="993"/>
        <w:gridCol w:w="1134"/>
        <w:gridCol w:w="1450"/>
        <w:gridCol w:w="1205"/>
        <w:gridCol w:w="1205"/>
        <w:gridCol w:w="1205"/>
        <w:gridCol w:w="1205"/>
      </w:tblGrid>
      <w:tr w:rsidR="002A3304" w:rsidRPr="00980BC4" w:rsidTr="00B23EAC">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B23EA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诉讼(仲裁)基本情况</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B23EA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涉案金额（万元）</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B23EA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是否形成预计负债</w:t>
            </w:r>
          </w:p>
        </w:tc>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B23EA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诉讼(仲裁)进展</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B23EA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诉讼(仲裁)审理结果及影响</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B23EA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诉讼(仲裁)判决执行情况</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B23EA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披露日期</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B23EA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披露索引</w:t>
            </w:r>
          </w:p>
        </w:tc>
      </w:tr>
      <w:tr w:rsidR="002A3304" w:rsidRPr="00980BC4" w:rsidTr="00B23EAC">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t>原告广东甘化科工股份</w:t>
            </w:r>
            <w:r w:rsidRPr="00980BC4">
              <w:rPr>
                <w:rFonts w:ascii="宋体" w:eastAsia="宋体" w:hAnsi="宋体" w:cs="宋体"/>
                <w:sz w:val="18"/>
                <w:szCs w:val="18"/>
              </w:rPr>
              <w:lastRenderedPageBreak/>
              <w:t>有限公司与被告一江门市人民政府国有资产监督管理委员会、被告二江门市自然资源局诉讼土地补偿款纠纷。原告请求：1、判令被告一继续履行《江门甘蔗化工厂（集团）股份有限公司本部厂区"三旧"改造协议书》，立即支付原告土地补偿款余款9678.066434万元；2、判令被告一赔偿原告利息损失2909385.80元（从2020年8月22日起暂计至2021年6月3日止，实际损失计算至付清补偿款之日止，计算方式：96780664.34*285天*3.85%/365天=2909385.80元）；3、判令被告二与被告一共同承担上述第1、2项诉讼请求的付款义务；4、本</w:t>
            </w:r>
            <w:r w:rsidRPr="00980BC4">
              <w:rPr>
                <w:rFonts w:ascii="宋体" w:eastAsia="宋体" w:hAnsi="宋体" w:cs="宋体"/>
                <w:sz w:val="18"/>
                <w:szCs w:val="18"/>
              </w:rPr>
              <w:lastRenderedPageBreak/>
              <w:t>案诉讼费由被告一和被告二承担。</w:t>
            </w:r>
          </w:p>
        </w:tc>
        <w:tc>
          <w:tcPr>
            <w:tcW w:w="99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jc w:val="right"/>
              <w:rPr>
                <w:rFonts w:ascii="宋体" w:eastAsia="宋体" w:hAnsi="宋体" w:cs="宋体"/>
                <w:sz w:val="18"/>
                <w:szCs w:val="18"/>
              </w:rPr>
            </w:pPr>
            <w:r w:rsidRPr="00980BC4">
              <w:rPr>
                <w:rFonts w:ascii="宋体" w:eastAsia="宋体" w:hAnsi="宋体" w:cs="宋体"/>
                <w:sz w:val="18"/>
                <w:szCs w:val="18"/>
              </w:rPr>
              <w:lastRenderedPageBreak/>
              <w:t>9,969.01</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45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t>2022年4月21日案件在江门</w:t>
            </w:r>
            <w:r w:rsidRPr="00980BC4">
              <w:rPr>
                <w:rFonts w:ascii="宋体" w:eastAsia="宋体" w:hAnsi="宋体" w:cs="宋体"/>
                <w:sz w:val="18"/>
                <w:szCs w:val="18"/>
              </w:rPr>
              <w:lastRenderedPageBreak/>
              <w:t>市江海区法院一审开庭，未有判决结果。2022年7月18日收到法院延期半年审查通知书。</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lastRenderedPageBreak/>
              <w:t>暂无法预计本次诉讼对</w:t>
            </w:r>
            <w:r w:rsidRPr="00980BC4">
              <w:rPr>
                <w:rFonts w:ascii="宋体" w:eastAsia="宋体" w:hAnsi="宋体" w:cs="宋体"/>
                <w:sz w:val="18"/>
                <w:szCs w:val="18"/>
              </w:rPr>
              <w:lastRenderedPageBreak/>
              <w:t>公司本期利润或期后利润的影响</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BA10EA" w:rsidP="00B23EAC">
            <w:pPr>
              <w:spacing w:line="280" w:lineRule="exact"/>
              <w:rPr>
                <w:rFonts w:ascii="宋体" w:eastAsia="宋体" w:hAnsi="宋体" w:cs="宋体"/>
                <w:sz w:val="18"/>
                <w:szCs w:val="18"/>
              </w:rPr>
            </w:pPr>
            <w:r w:rsidRPr="00980BC4">
              <w:rPr>
                <w:rFonts w:ascii="宋体" w:eastAsia="宋体" w:hAnsi="宋体" w:cs="宋体"/>
                <w:sz w:val="18"/>
                <w:szCs w:val="18"/>
              </w:rPr>
              <w:lastRenderedPageBreak/>
              <w:t>截至</w:t>
            </w:r>
            <w:r w:rsidRPr="00980BC4">
              <w:rPr>
                <w:rFonts w:ascii="宋体" w:eastAsia="宋体" w:hAnsi="宋体" w:cs="宋体" w:hint="eastAsia"/>
                <w:sz w:val="18"/>
                <w:szCs w:val="18"/>
              </w:rPr>
              <w:t>报告期末</w:t>
            </w:r>
            <w:r w:rsidR="00DF4EBF" w:rsidRPr="00980BC4">
              <w:rPr>
                <w:rFonts w:ascii="宋体" w:eastAsia="宋体" w:hAnsi="宋体" w:cs="宋体"/>
                <w:sz w:val="18"/>
                <w:szCs w:val="18"/>
              </w:rPr>
              <w:t>尚未判决</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t>2021年07月06日</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t>《中国证券报》、《证券</w:t>
            </w:r>
            <w:r w:rsidRPr="00980BC4">
              <w:rPr>
                <w:rFonts w:ascii="宋体" w:eastAsia="宋体" w:hAnsi="宋体" w:cs="宋体"/>
                <w:sz w:val="18"/>
                <w:szCs w:val="18"/>
              </w:rPr>
              <w:lastRenderedPageBreak/>
              <w:t>时报》、《证券日报》、《上海证券报》及巨潮资讯网（http://www.cninfo.com.cn)披露的《关于收到广东省江门市江海区人民法院&lt;受理案件通知书&gt;的公告》（2021-65）</w:t>
            </w:r>
          </w:p>
        </w:tc>
      </w:tr>
      <w:tr w:rsidR="002A3304" w:rsidRPr="00980BC4" w:rsidTr="00B23EAC">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lastRenderedPageBreak/>
              <w:t>其他未达重大诉讼披露标准案件合计</w:t>
            </w:r>
          </w:p>
        </w:tc>
        <w:tc>
          <w:tcPr>
            <w:tcW w:w="99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jc w:val="right"/>
              <w:rPr>
                <w:rFonts w:ascii="宋体" w:eastAsia="宋体" w:hAnsi="宋体" w:cs="宋体"/>
                <w:sz w:val="18"/>
                <w:szCs w:val="18"/>
              </w:rPr>
            </w:pPr>
            <w:r w:rsidRPr="00980BC4">
              <w:rPr>
                <w:rFonts w:ascii="宋体" w:eastAsia="宋体" w:hAnsi="宋体" w:cs="宋体"/>
                <w:sz w:val="18"/>
                <w:szCs w:val="18"/>
              </w:rPr>
              <w:t>336.83</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t>-</w:t>
            </w:r>
          </w:p>
        </w:tc>
        <w:tc>
          <w:tcPr>
            <w:tcW w:w="145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B23EAC">
            <w:pPr>
              <w:spacing w:line="280" w:lineRule="exact"/>
              <w:rPr>
                <w:rFonts w:ascii="宋体" w:eastAsia="宋体" w:hAnsi="宋体" w:cs="宋体"/>
                <w:sz w:val="18"/>
                <w:szCs w:val="18"/>
              </w:rPr>
            </w:pPr>
            <w:r w:rsidRPr="00980BC4">
              <w:rPr>
                <w:rFonts w:ascii="宋体" w:eastAsia="宋体" w:hAnsi="宋体" w:cs="宋体"/>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B23EAC">
            <w:pPr>
              <w:spacing w:line="28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B23EAC">
            <w:pPr>
              <w:spacing w:line="280" w:lineRule="exact"/>
              <w:rPr>
                <w:rFonts w:ascii="宋体" w:eastAsia="宋体" w:hAnsi="宋体" w:cs="宋体"/>
                <w:sz w:val="18"/>
                <w:szCs w:val="18"/>
              </w:rPr>
            </w:pPr>
          </w:p>
        </w:tc>
      </w:tr>
    </w:tbl>
    <w:p w:rsidR="009D6013" w:rsidRPr="00980BC4" w:rsidRDefault="00856F25" w:rsidP="00650A6A">
      <w:pPr>
        <w:snapToGrid w:val="0"/>
        <w:spacing w:line="520" w:lineRule="exact"/>
        <w:ind w:firstLineChars="200" w:firstLine="480"/>
        <w:rPr>
          <w:rFonts w:ascii="仿宋" w:eastAsia="仿宋" w:hAnsi="仿宋" w:cs="Times New Roman"/>
          <w:sz w:val="24"/>
          <w:szCs w:val="24"/>
        </w:rPr>
      </w:pPr>
      <w:bookmarkStart w:id="105" w:name="_Toc988994"/>
      <w:r w:rsidRPr="00980BC4">
        <w:rPr>
          <w:rFonts w:ascii="仿宋" w:eastAsia="仿宋" w:hAnsi="仿宋" w:cs="Times New Roman"/>
          <w:sz w:val="24"/>
          <w:szCs w:val="24"/>
        </w:rPr>
        <w:t>注：</w:t>
      </w:r>
      <w:r w:rsidR="00C65883" w:rsidRPr="00980BC4">
        <w:rPr>
          <w:rFonts w:ascii="仿宋" w:eastAsia="仿宋" w:hAnsi="仿宋" w:cs="Times New Roman" w:hint="eastAsia"/>
          <w:sz w:val="24"/>
          <w:szCs w:val="24"/>
        </w:rPr>
        <w:t>2023年2月，公司收到广东省江门市江海区人民法院的《行政判决书》，</w:t>
      </w:r>
      <w:r w:rsidR="009D6013" w:rsidRPr="00980BC4">
        <w:rPr>
          <w:rFonts w:ascii="仿宋" w:eastAsia="仿宋" w:hAnsi="仿宋" w:cs="Times New Roman" w:hint="eastAsia"/>
          <w:sz w:val="24"/>
          <w:szCs w:val="24"/>
        </w:rPr>
        <w:t>驳回</w:t>
      </w:r>
      <w:r w:rsidR="00B973FF" w:rsidRPr="00980BC4">
        <w:rPr>
          <w:rFonts w:ascii="仿宋" w:eastAsia="仿宋" w:hAnsi="仿宋" w:cs="Times New Roman" w:hint="eastAsia"/>
          <w:sz w:val="24"/>
          <w:szCs w:val="24"/>
        </w:rPr>
        <w:t>了</w:t>
      </w:r>
      <w:r w:rsidR="009D6013" w:rsidRPr="00980BC4">
        <w:rPr>
          <w:rFonts w:ascii="仿宋" w:eastAsia="仿宋" w:hAnsi="仿宋" w:cs="Times New Roman" w:hint="eastAsia"/>
          <w:sz w:val="24"/>
          <w:szCs w:val="24"/>
        </w:rPr>
        <w:t>公司</w:t>
      </w:r>
      <w:r w:rsidR="00B973FF" w:rsidRPr="00980BC4">
        <w:rPr>
          <w:rFonts w:ascii="仿宋" w:eastAsia="仿宋" w:hAnsi="仿宋" w:cs="Times New Roman" w:hint="eastAsia"/>
          <w:sz w:val="24"/>
          <w:szCs w:val="24"/>
        </w:rPr>
        <w:t>对被告一</w:t>
      </w:r>
      <w:r w:rsidR="00B973FF" w:rsidRPr="00980BC4">
        <w:rPr>
          <w:rFonts w:ascii="仿宋" w:eastAsia="仿宋" w:hAnsi="仿宋" w:cs="Times New Roman"/>
          <w:sz w:val="24"/>
          <w:szCs w:val="24"/>
        </w:rPr>
        <w:t>江门市人民政府国有资产监督管理委员会、被告二江门市自然资源局</w:t>
      </w:r>
      <w:r w:rsidR="009D6013" w:rsidRPr="00980BC4">
        <w:rPr>
          <w:rFonts w:ascii="仿宋" w:eastAsia="仿宋" w:hAnsi="仿宋" w:cs="Times New Roman" w:hint="eastAsia"/>
          <w:sz w:val="24"/>
          <w:szCs w:val="24"/>
        </w:rPr>
        <w:t>的诉讼请求</w:t>
      </w:r>
      <w:r w:rsidR="00650A6A" w:rsidRPr="00980BC4">
        <w:rPr>
          <w:rFonts w:ascii="仿宋" w:eastAsia="仿宋" w:hAnsi="仿宋" w:cs="Times New Roman" w:hint="eastAsia"/>
          <w:sz w:val="24"/>
          <w:szCs w:val="24"/>
        </w:rPr>
        <w:t>。</w:t>
      </w:r>
      <w:r w:rsidR="00AC63D7" w:rsidRPr="00980BC4">
        <w:rPr>
          <w:rFonts w:ascii="仿宋" w:eastAsia="仿宋" w:hAnsi="仿宋" w:cs="Times New Roman" w:hint="eastAsia"/>
          <w:sz w:val="24"/>
          <w:szCs w:val="24"/>
        </w:rPr>
        <w:t>详情请参阅</w:t>
      </w:r>
      <w:r w:rsidR="00650A6A" w:rsidRPr="00980BC4">
        <w:rPr>
          <w:rFonts w:ascii="仿宋" w:eastAsia="仿宋" w:hAnsi="仿宋" w:cs="Times New Roman" w:hint="eastAsia"/>
          <w:sz w:val="24"/>
          <w:szCs w:val="24"/>
        </w:rPr>
        <w:t>公司2023年2月17日在《证券时报》《中国证券报》《证券日报》《上海证券报》及巨潮资讯网（http://www.cninfo.com.cn）上刊载的《关于收到广东省江门市江海区人民法院&lt;行政判决书&gt;的公告》（2023-06）</w:t>
      </w:r>
    </w:p>
    <w:p w:rsidR="002A3304" w:rsidRPr="00980BC4" w:rsidRDefault="00DF4EBF" w:rsidP="00B23EAC">
      <w:pPr>
        <w:pStyle w:val="Chapter"/>
        <w:spacing w:before="0" w:after="0" w:line="560" w:lineRule="exact"/>
        <w:ind w:firstLineChars="200" w:firstLine="562"/>
        <w:outlineLvl w:val="1"/>
        <w:rPr>
          <w:bCs w:val="0"/>
          <w:sz w:val="28"/>
          <w:szCs w:val="28"/>
        </w:rPr>
      </w:pPr>
      <w:r w:rsidRPr="00980BC4">
        <w:rPr>
          <w:bCs w:val="0"/>
          <w:sz w:val="28"/>
          <w:szCs w:val="28"/>
        </w:rPr>
        <w:t>十二、处罚及整改情况</w:t>
      </w:r>
      <w:bookmarkEnd w:id="105"/>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□适用</w:t>
      </w:r>
      <w:r w:rsidR="00B23EAC"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公司报告期不存在处罚及整改情况。</w:t>
      </w:r>
    </w:p>
    <w:p w:rsidR="002A3304" w:rsidRPr="00980BC4" w:rsidRDefault="00DF4EBF" w:rsidP="00B23EAC">
      <w:pPr>
        <w:pStyle w:val="Chapter"/>
        <w:spacing w:before="0" w:after="0" w:line="560" w:lineRule="exact"/>
        <w:ind w:firstLineChars="200" w:firstLine="562"/>
        <w:outlineLvl w:val="1"/>
        <w:rPr>
          <w:bCs w:val="0"/>
          <w:sz w:val="28"/>
          <w:szCs w:val="28"/>
        </w:rPr>
      </w:pPr>
      <w:bookmarkStart w:id="106" w:name="_Toc988995"/>
      <w:r w:rsidRPr="00980BC4">
        <w:rPr>
          <w:bCs w:val="0"/>
          <w:sz w:val="28"/>
          <w:szCs w:val="28"/>
        </w:rPr>
        <w:t>十三、公司及其控股股东、实际控制人的诚信状况</w:t>
      </w:r>
      <w:bookmarkEnd w:id="106"/>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□适用</w:t>
      </w:r>
      <w:r w:rsidR="00B23EAC"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B23EAC">
      <w:pPr>
        <w:pStyle w:val="Chapter"/>
        <w:spacing w:before="0" w:after="0" w:line="560" w:lineRule="exact"/>
        <w:ind w:firstLineChars="200" w:firstLine="562"/>
        <w:outlineLvl w:val="1"/>
        <w:rPr>
          <w:bCs w:val="0"/>
          <w:sz w:val="28"/>
          <w:szCs w:val="28"/>
        </w:rPr>
      </w:pPr>
      <w:bookmarkStart w:id="107" w:name="_Toc988996"/>
      <w:r w:rsidRPr="00980BC4">
        <w:rPr>
          <w:bCs w:val="0"/>
          <w:sz w:val="28"/>
          <w:szCs w:val="28"/>
        </w:rPr>
        <w:t>十四、重大关联交易</w:t>
      </w:r>
      <w:bookmarkEnd w:id="107"/>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b/>
          <w:sz w:val="28"/>
          <w:szCs w:val="28"/>
        </w:rPr>
      </w:pPr>
      <w:bookmarkStart w:id="108" w:name="_Toc988997"/>
      <w:r w:rsidRPr="00980BC4">
        <w:rPr>
          <w:rFonts w:ascii="仿宋" w:eastAsia="仿宋" w:hAnsi="仿宋" w:cs="Times New Roman"/>
          <w:b/>
          <w:sz w:val="28"/>
          <w:szCs w:val="28"/>
        </w:rPr>
        <w:t>1、与日常经营相关的关联交易</w:t>
      </w:r>
      <w:bookmarkEnd w:id="108"/>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 xml:space="preserve">□适用 </w:t>
      </w:r>
      <w:r w:rsidR="00B23EAC"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公司报告期未发生与日常经营相关的关联交易。</w:t>
      </w:r>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b/>
          <w:sz w:val="28"/>
          <w:szCs w:val="28"/>
        </w:rPr>
      </w:pPr>
      <w:bookmarkStart w:id="109" w:name="_Toc988998"/>
      <w:r w:rsidRPr="00980BC4">
        <w:rPr>
          <w:rFonts w:ascii="仿宋" w:eastAsia="仿宋" w:hAnsi="仿宋" w:cs="Times New Roman"/>
          <w:b/>
          <w:sz w:val="28"/>
          <w:szCs w:val="28"/>
        </w:rPr>
        <w:t>2、资产或股权收购、出售发生的关联交易</w:t>
      </w:r>
      <w:bookmarkEnd w:id="109"/>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 xml:space="preserve">□适用 </w:t>
      </w:r>
      <w:r w:rsidR="00B23EAC"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公司报告期未发生资产或股权收购、出售的关联交易。</w:t>
      </w:r>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b/>
          <w:sz w:val="28"/>
          <w:szCs w:val="28"/>
        </w:rPr>
      </w:pPr>
      <w:bookmarkStart w:id="110" w:name="_Toc988999"/>
      <w:r w:rsidRPr="00980BC4">
        <w:rPr>
          <w:rFonts w:ascii="仿宋" w:eastAsia="仿宋" w:hAnsi="仿宋" w:cs="Times New Roman"/>
          <w:b/>
          <w:sz w:val="28"/>
          <w:szCs w:val="28"/>
        </w:rPr>
        <w:t>3、共同对外投资的关联交易</w:t>
      </w:r>
      <w:bookmarkEnd w:id="110"/>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□适用</w:t>
      </w:r>
      <w:r w:rsidR="00B23EAC"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B23EAC">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公司报告期未发生共同对外投资的关联交易。</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b/>
          <w:sz w:val="28"/>
          <w:szCs w:val="28"/>
        </w:rPr>
      </w:pPr>
      <w:bookmarkStart w:id="111" w:name="_Toc989000"/>
      <w:r w:rsidRPr="00980BC4">
        <w:rPr>
          <w:rFonts w:ascii="仿宋" w:eastAsia="仿宋" w:hAnsi="仿宋" w:cs="Times New Roman"/>
          <w:b/>
          <w:sz w:val="28"/>
          <w:szCs w:val="28"/>
        </w:rPr>
        <w:t>4、关联债权债务往来</w:t>
      </w:r>
      <w:bookmarkEnd w:id="111"/>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lastRenderedPageBreak/>
        <w:t xml:space="preserve">□适用 </w:t>
      </w:r>
      <w:r w:rsidR="006971D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公司报告期不存在关联债权债务往来。</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b/>
          <w:sz w:val="28"/>
          <w:szCs w:val="28"/>
        </w:rPr>
      </w:pPr>
      <w:bookmarkStart w:id="112" w:name="_Toc989001"/>
      <w:r w:rsidRPr="00980BC4">
        <w:rPr>
          <w:rFonts w:ascii="仿宋" w:eastAsia="仿宋" w:hAnsi="仿宋" w:cs="Times New Roman"/>
          <w:b/>
          <w:sz w:val="28"/>
          <w:szCs w:val="28"/>
        </w:rPr>
        <w:t>5、与存在关联关系的财务公司的往来情况</w:t>
      </w:r>
      <w:bookmarkEnd w:id="112"/>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□适用</w:t>
      </w:r>
      <w:r w:rsidR="006971D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公司与存在关联关系的财务公司与关联方之间不存在存款、贷款、授信或其他金融业务。</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b/>
          <w:sz w:val="28"/>
          <w:szCs w:val="28"/>
        </w:rPr>
      </w:pPr>
      <w:bookmarkStart w:id="113" w:name="_Toc989002"/>
      <w:r w:rsidRPr="00980BC4">
        <w:rPr>
          <w:rFonts w:ascii="仿宋" w:eastAsia="仿宋" w:hAnsi="仿宋" w:cs="Times New Roman"/>
          <w:b/>
          <w:sz w:val="28"/>
          <w:szCs w:val="28"/>
        </w:rPr>
        <w:t>6、公司控股的财务公司与关联方的往来情况</w:t>
      </w:r>
      <w:bookmarkEnd w:id="113"/>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 xml:space="preserve">□适用 </w:t>
      </w:r>
      <w:r w:rsidR="006971D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公司控股的财务公司与关联方之间不存在存款、贷款、授信或其他金融业务。</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b/>
          <w:sz w:val="28"/>
          <w:szCs w:val="28"/>
        </w:rPr>
      </w:pPr>
      <w:bookmarkStart w:id="114" w:name="_Toc989003"/>
      <w:r w:rsidRPr="00980BC4">
        <w:rPr>
          <w:rFonts w:ascii="仿宋" w:eastAsia="仿宋" w:hAnsi="仿宋" w:cs="Times New Roman"/>
          <w:b/>
          <w:sz w:val="28"/>
          <w:szCs w:val="28"/>
        </w:rPr>
        <w:t>7、其他重大关联交易</w:t>
      </w:r>
      <w:bookmarkEnd w:id="114"/>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 xml:space="preserve">□适用 </w:t>
      </w:r>
      <w:r w:rsidR="006971D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公司报告期无其他重大关联交易。</w:t>
      </w:r>
    </w:p>
    <w:p w:rsidR="002A3304" w:rsidRPr="00980BC4" w:rsidRDefault="00DF4EBF" w:rsidP="006971D3">
      <w:pPr>
        <w:pStyle w:val="Chapter"/>
        <w:spacing w:before="0" w:after="0" w:line="560" w:lineRule="exact"/>
        <w:ind w:firstLineChars="200" w:firstLine="562"/>
        <w:outlineLvl w:val="1"/>
        <w:rPr>
          <w:bCs w:val="0"/>
          <w:sz w:val="28"/>
          <w:szCs w:val="28"/>
        </w:rPr>
      </w:pPr>
      <w:bookmarkStart w:id="115" w:name="_Toc989004"/>
      <w:r w:rsidRPr="00980BC4">
        <w:rPr>
          <w:bCs w:val="0"/>
          <w:sz w:val="28"/>
          <w:szCs w:val="28"/>
        </w:rPr>
        <w:t>十五、重大合同及其履行情况</w:t>
      </w:r>
      <w:bookmarkEnd w:id="115"/>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b/>
          <w:sz w:val="28"/>
          <w:szCs w:val="28"/>
        </w:rPr>
      </w:pPr>
      <w:bookmarkStart w:id="116" w:name="_Toc989005"/>
      <w:r w:rsidRPr="00980BC4">
        <w:rPr>
          <w:rFonts w:ascii="仿宋" w:eastAsia="仿宋" w:hAnsi="仿宋" w:cs="Times New Roman"/>
          <w:b/>
          <w:sz w:val="28"/>
          <w:szCs w:val="28"/>
        </w:rPr>
        <w:t>1、托管、承包、租赁事项情况</w:t>
      </w:r>
      <w:bookmarkEnd w:id="116"/>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b/>
          <w:sz w:val="28"/>
          <w:szCs w:val="28"/>
        </w:rPr>
      </w:pPr>
      <w:bookmarkStart w:id="117" w:name="_Toc989006"/>
      <w:r w:rsidRPr="00980BC4">
        <w:rPr>
          <w:rFonts w:ascii="仿宋" w:eastAsia="仿宋" w:hAnsi="仿宋" w:cs="Times New Roman"/>
          <w:b/>
          <w:sz w:val="28"/>
          <w:szCs w:val="28"/>
        </w:rPr>
        <w:t>（1） 托管情况</w:t>
      </w:r>
      <w:bookmarkEnd w:id="117"/>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 xml:space="preserve">□适用 </w:t>
      </w:r>
      <w:r w:rsidR="006971D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公司报告期不存在托管情况。</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b/>
          <w:sz w:val="28"/>
          <w:szCs w:val="28"/>
        </w:rPr>
      </w:pPr>
      <w:bookmarkStart w:id="118" w:name="_Toc989007"/>
      <w:r w:rsidRPr="00980BC4">
        <w:rPr>
          <w:rFonts w:ascii="仿宋" w:eastAsia="仿宋" w:hAnsi="仿宋" w:cs="Times New Roman"/>
          <w:b/>
          <w:sz w:val="28"/>
          <w:szCs w:val="28"/>
        </w:rPr>
        <w:t>（2） 承包情况</w:t>
      </w:r>
      <w:bookmarkEnd w:id="118"/>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 xml:space="preserve">□适用 </w:t>
      </w:r>
      <w:r w:rsidR="006971D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t>公司报告期不存在承包情况。</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b/>
          <w:sz w:val="28"/>
          <w:szCs w:val="28"/>
        </w:rPr>
      </w:pPr>
      <w:bookmarkStart w:id="119" w:name="_Toc989008"/>
      <w:r w:rsidRPr="00980BC4">
        <w:rPr>
          <w:rFonts w:ascii="仿宋" w:eastAsia="仿宋" w:hAnsi="仿宋" w:cs="Times New Roman"/>
          <w:b/>
          <w:sz w:val="28"/>
          <w:szCs w:val="28"/>
        </w:rPr>
        <w:t>（3） 租赁情况</w:t>
      </w:r>
      <w:bookmarkEnd w:id="119"/>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sz w:val="28"/>
          <w:szCs w:val="28"/>
        </w:rPr>
      </w:pP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 xml:space="preserve">适用 </w:t>
      </w:r>
      <w:r w:rsidR="006971D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□不适用</w:t>
      </w:r>
    </w:p>
    <w:p w:rsidR="002A3304" w:rsidRPr="00980BC4" w:rsidRDefault="00DF4EBF" w:rsidP="006971D3">
      <w:pPr>
        <w:pStyle w:val="a3"/>
        <w:spacing w:before="0" w:beforeAutospacing="0" w:after="0" w:afterAutospacing="0" w:line="560" w:lineRule="exact"/>
        <w:ind w:firstLine="560"/>
        <w:jc w:val="both"/>
        <w:rPr>
          <w:rFonts w:ascii="仿宋" w:eastAsia="仿宋" w:hAnsi="仿宋" w:cs="Times New Roman"/>
          <w:b/>
          <w:sz w:val="28"/>
          <w:szCs w:val="28"/>
        </w:rPr>
      </w:pPr>
      <w:r w:rsidRPr="00980BC4">
        <w:rPr>
          <w:rFonts w:ascii="仿宋" w:eastAsia="仿宋" w:hAnsi="仿宋" w:cs="Times New Roman"/>
          <w:b/>
          <w:sz w:val="28"/>
          <w:szCs w:val="28"/>
        </w:rPr>
        <w:t>租赁情况说明</w:t>
      </w:r>
    </w:p>
    <w:p w:rsidR="002A3304" w:rsidRPr="00980BC4" w:rsidRDefault="002A3304">
      <w:pPr>
        <w:pStyle w:val="a3"/>
        <w:spacing w:before="0" w:beforeAutospacing="0" w:after="0" w:afterAutospacing="0" w:line="360" w:lineRule="auto"/>
        <w:ind w:firstLine="560"/>
        <w:jc w:val="both"/>
        <w:divId w:val="1282876650"/>
      </w:pPr>
      <w:r w:rsidRPr="00980BC4">
        <w:rPr>
          <w:rFonts w:ascii="仿宋" w:eastAsia="仿宋" w:hAnsi="仿宋" w:hint="eastAsia"/>
          <w:sz w:val="28"/>
          <w:szCs w:val="28"/>
        </w:rPr>
        <w:lastRenderedPageBreak/>
        <w:t>经公司第九届董事会第三十六次会议及2021年第一次临时股东大会审议通过，公司全资子公司升华电源与四川升华巨能科技有限公司签署《工业用房租赁合同》，承租成都市成华区成致路的“工业用房及配套设施一期（1号楼）建设”项目的房屋作为生产经营场所，租赁期自2021年9月30日至2039年3月14日。详情请参阅公司分别于2020年12月30日、2021年1月9</w:t>
      </w:r>
      <w:r w:rsidR="00A02B84" w:rsidRPr="00980BC4">
        <w:rPr>
          <w:rFonts w:ascii="仿宋" w:eastAsia="仿宋" w:hAnsi="仿宋" w:hint="eastAsia"/>
          <w:sz w:val="28"/>
          <w:szCs w:val="28"/>
        </w:rPr>
        <w:t>日在《中国证券报》《证券时报》《证券日报》</w:t>
      </w:r>
      <w:r w:rsidRPr="00980BC4">
        <w:rPr>
          <w:rFonts w:ascii="仿宋" w:eastAsia="仿宋" w:hAnsi="仿宋" w:hint="eastAsia"/>
          <w:sz w:val="28"/>
          <w:szCs w:val="28"/>
        </w:rPr>
        <w:t>《上海证券报》及巨潮资讯网（http://www.cninfo.com.cn）披露的《关于全资子公司四川升华电源科技有限公司工业用房租赁暨关联交易的公告》(2020-63)、《2021年第一次临时股东大会决议公告》（2021-05）。</w:t>
      </w:r>
    </w:p>
    <w:p w:rsidR="002A3304" w:rsidRPr="00980BC4" w:rsidRDefault="002A3304">
      <w:pPr>
        <w:pStyle w:val="a3"/>
        <w:spacing w:before="0" w:beforeAutospacing="0" w:after="0" w:afterAutospacing="0" w:line="360" w:lineRule="auto"/>
        <w:ind w:firstLine="560"/>
        <w:jc w:val="both"/>
        <w:divId w:val="1282876650"/>
      </w:pPr>
      <w:r w:rsidRPr="00980BC4">
        <w:rPr>
          <w:rFonts w:ascii="仿宋" w:eastAsia="仿宋" w:hAnsi="仿宋" w:hint="eastAsia"/>
          <w:sz w:val="28"/>
          <w:szCs w:val="28"/>
        </w:rPr>
        <w:t>除上述事项外，公司未发生、也无以前期间发生但延续到报告期的重大租赁事项。</w:t>
      </w:r>
    </w:p>
    <w:p w:rsidR="002A3304" w:rsidRPr="00980BC4" w:rsidRDefault="00DF4EBF" w:rsidP="006971D3">
      <w:pPr>
        <w:pStyle w:val="a3"/>
        <w:spacing w:before="0" w:beforeAutospacing="0" w:after="0" w:afterAutospacing="0" w:line="360" w:lineRule="auto"/>
        <w:ind w:firstLine="560"/>
        <w:jc w:val="both"/>
        <w:rPr>
          <w:rFonts w:ascii="仿宋" w:eastAsia="仿宋" w:hAnsi="仿宋"/>
          <w:b/>
          <w:sz w:val="28"/>
          <w:szCs w:val="28"/>
        </w:rPr>
      </w:pPr>
      <w:r w:rsidRPr="00980BC4">
        <w:rPr>
          <w:rFonts w:ascii="仿宋" w:eastAsia="仿宋" w:hAnsi="仿宋"/>
          <w:b/>
          <w:sz w:val="28"/>
          <w:szCs w:val="28"/>
        </w:rPr>
        <w:t>为公司带来的损益达到公司报告期利润总额10%以上的项目</w:t>
      </w:r>
    </w:p>
    <w:p w:rsidR="002A3304" w:rsidRPr="00980BC4" w:rsidRDefault="00DF4EBF" w:rsidP="006971D3">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t xml:space="preserve">□适用 </w:t>
      </w:r>
      <w:r w:rsidR="006971D3"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6971D3">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t>公司报告期不存在为公司带来的损益达到公司报告期利润总额10%以上的租赁项目。</w:t>
      </w:r>
    </w:p>
    <w:p w:rsidR="002A3304" w:rsidRPr="00980BC4" w:rsidRDefault="00DF4EBF" w:rsidP="001B3D40">
      <w:pPr>
        <w:pStyle w:val="a3"/>
        <w:spacing w:before="0" w:beforeAutospacing="0" w:after="0" w:afterAutospacing="0" w:line="360" w:lineRule="auto"/>
        <w:ind w:firstLine="560"/>
        <w:jc w:val="both"/>
        <w:rPr>
          <w:rFonts w:ascii="仿宋" w:eastAsia="仿宋" w:hAnsi="仿宋"/>
          <w:b/>
          <w:sz w:val="28"/>
          <w:szCs w:val="28"/>
        </w:rPr>
      </w:pPr>
      <w:bookmarkStart w:id="120" w:name="_Toc989009"/>
      <w:r w:rsidRPr="00980BC4">
        <w:rPr>
          <w:rFonts w:ascii="仿宋" w:eastAsia="仿宋" w:hAnsi="仿宋"/>
          <w:b/>
          <w:sz w:val="28"/>
          <w:szCs w:val="28"/>
        </w:rPr>
        <w:t>2、重大担保</w:t>
      </w:r>
      <w:bookmarkEnd w:id="120"/>
    </w:p>
    <w:p w:rsidR="002A3304" w:rsidRPr="00980BC4" w:rsidRDefault="00DF4EBF" w:rsidP="001B3D40">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t xml:space="preserve">□适用 </w:t>
      </w:r>
      <w:r w:rsidR="001B3D40"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1B3D40">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t>公司报告期不存在重大担保情况。</w:t>
      </w:r>
    </w:p>
    <w:p w:rsidR="002A3304" w:rsidRPr="00980BC4" w:rsidRDefault="00DF4EBF" w:rsidP="001B3D40">
      <w:pPr>
        <w:pStyle w:val="a3"/>
        <w:spacing w:before="0" w:beforeAutospacing="0" w:after="0" w:afterAutospacing="0" w:line="360" w:lineRule="auto"/>
        <w:ind w:firstLine="560"/>
        <w:jc w:val="both"/>
        <w:rPr>
          <w:rFonts w:ascii="仿宋" w:eastAsia="仿宋" w:hAnsi="仿宋"/>
          <w:b/>
          <w:sz w:val="28"/>
          <w:szCs w:val="28"/>
        </w:rPr>
      </w:pPr>
      <w:bookmarkStart w:id="121" w:name="_Toc989010"/>
      <w:r w:rsidRPr="00980BC4">
        <w:rPr>
          <w:rFonts w:ascii="仿宋" w:eastAsia="仿宋" w:hAnsi="仿宋"/>
          <w:b/>
          <w:sz w:val="28"/>
          <w:szCs w:val="28"/>
        </w:rPr>
        <w:t>3、委托他人进行现金资产管理情况</w:t>
      </w:r>
      <w:bookmarkEnd w:id="121"/>
    </w:p>
    <w:p w:rsidR="002A3304" w:rsidRPr="00980BC4" w:rsidRDefault="00DF4EBF" w:rsidP="001B3D40">
      <w:pPr>
        <w:pStyle w:val="a3"/>
        <w:spacing w:before="0" w:beforeAutospacing="0" w:after="0" w:afterAutospacing="0" w:line="360" w:lineRule="auto"/>
        <w:ind w:firstLine="560"/>
        <w:jc w:val="both"/>
        <w:rPr>
          <w:rFonts w:ascii="仿宋" w:eastAsia="仿宋" w:hAnsi="仿宋"/>
          <w:b/>
          <w:sz w:val="28"/>
          <w:szCs w:val="28"/>
        </w:rPr>
      </w:pPr>
      <w:bookmarkStart w:id="122" w:name="_Toc989011"/>
      <w:r w:rsidRPr="00980BC4">
        <w:rPr>
          <w:rFonts w:ascii="仿宋" w:eastAsia="仿宋" w:hAnsi="仿宋"/>
          <w:b/>
          <w:sz w:val="28"/>
          <w:szCs w:val="28"/>
        </w:rPr>
        <w:t>（1） 委托理财情况</w:t>
      </w:r>
      <w:bookmarkEnd w:id="122"/>
    </w:p>
    <w:p w:rsidR="002A3304" w:rsidRPr="00980BC4" w:rsidRDefault="00DF4EBF" w:rsidP="001B3D40">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适用</w:t>
      </w:r>
      <w:r w:rsidR="001B3D40" w:rsidRPr="00980BC4">
        <w:rPr>
          <w:rFonts w:ascii="仿宋" w:eastAsia="仿宋" w:hAnsi="仿宋" w:hint="eastAsia"/>
          <w:sz w:val="28"/>
          <w:szCs w:val="28"/>
        </w:rPr>
        <w:t xml:space="preserve"> </w:t>
      </w:r>
      <w:r w:rsidRPr="00980BC4">
        <w:rPr>
          <w:rFonts w:ascii="仿宋" w:eastAsia="仿宋" w:hAnsi="仿宋"/>
          <w:sz w:val="28"/>
          <w:szCs w:val="28"/>
        </w:rPr>
        <w:t xml:space="preserve"> □不适用</w:t>
      </w:r>
    </w:p>
    <w:p w:rsidR="002A3304" w:rsidRPr="00980BC4" w:rsidRDefault="00DF4EBF" w:rsidP="001B3D40">
      <w:pPr>
        <w:pStyle w:val="a3"/>
        <w:spacing w:before="0" w:beforeAutospacing="0" w:after="0" w:afterAutospacing="0" w:line="360" w:lineRule="auto"/>
        <w:ind w:firstLine="560"/>
        <w:jc w:val="both"/>
        <w:rPr>
          <w:rFonts w:ascii="仿宋" w:eastAsia="仿宋" w:hAnsi="仿宋"/>
          <w:b/>
          <w:sz w:val="28"/>
          <w:szCs w:val="28"/>
        </w:rPr>
      </w:pPr>
      <w:r w:rsidRPr="00980BC4">
        <w:rPr>
          <w:rFonts w:ascii="仿宋" w:eastAsia="仿宋" w:hAnsi="仿宋"/>
          <w:b/>
          <w:sz w:val="28"/>
          <w:szCs w:val="28"/>
        </w:rPr>
        <w:t>报告期内委托理财概况</w:t>
      </w:r>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lastRenderedPageBreak/>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7"/>
        <w:gridCol w:w="1608"/>
        <w:gridCol w:w="1606"/>
        <w:gridCol w:w="1606"/>
        <w:gridCol w:w="1606"/>
        <w:gridCol w:w="1606"/>
      </w:tblGrid>
      <w:tr w:rsidR="002A3304" w:rsidRPr="00980BC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1B3D4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1B3D4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1B3D4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1B3D4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1B3D4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1B3D4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逾期未收回理财已计提减值金额</w:t>
            </w:r>
          </w:p>
        </w:tc>
      </w:tr>
      <w:tr w:rsidR="002A3304" w:rsidRPr="00980BC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1B3D40">
            <w:pPr>
              <w:spacing w:line="280" w:lineRule="exact"/>
              <w:rPr>
                <w:rFonts w:ascii="宋体" w:eastAsia="宋体" w:hAnsi="宋体" w:cs="宋体"/>
                <w:sz w:val="18"/>
                <w:szCs w:val="18"/>
              </w:rPr>
            </w:pPr>
            <w:r w:rsidRPr="00980BC4">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1B3D40">
            <w:pPr>
              <w:spacing w:line="280" w:lineRule="exact"/>
              <w:rPr>
                <w:rFonts w:ascii="宋体" w:eastAsia="宋体" w:hAnsi="宋体" w:cs="宋体"/>
                <w:sz w:val="18"/>
                <w:szCs w:val="18"/>
              </w:rPr>
            </w:pPr>
            <w:r w:rsidRPr="00980BC4">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1B3D40">
            <w:pPr>
              <w:spacing w:line="280" w:lineRule="exact"/>
              <w:jc w:val="right"/>
              <w:rPr>
                <w:rFonts w:ascii="宋体" w:eastAsia="宋体" w:hAnsi="宋体" w:cs="宋体"/>
                <w:sz w:val="18"/>
                <w:szCs w:val="18"/>
              </w:rPr>
            </w:pPr>
            <w:r w:rsidRPr="00980BC4">
              <w:rPr>
                <w:rFonts w:ascii="宋体" w:eastAsia="宋体" w:hAnsi="宋体" w:cs="宋体"/>
                <w:sz w:val="18"/>
                <w:szCs w:val="18"/>
              </w:rPr>
              <w:t>48,140</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1B3D40">
            <w:pPr>
              <w:spacing w:line="280" w:lineRule="exact"/>
              <w:jc w:val="right"/>
              <w:rPr>
                <w:rFonts w:ascii="宋体" w:eastAsia="宋体" w:hAnsi="宋体" w:cs="宋体"/>
                <w:sz w:val="18"/>
                <w:szCs w:val="18"/>
              </w:rPr>
            </w:pPr>
            <w:r w:rsidRPr="00980BC4">
              <w:rPr>
                <w:rFonts w:ascii="宋体" w:eastAsia="宋体" w:hAnsi="宋体" w:cs="宋体"/>
                <w:sz w:val="18"/>
                <w:szCs w:val="18"/>
              </w:rPr>
              <w:t>28,840</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1B3D40">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1B3D40">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r>
      <w:tr w:rsidR="002A3304" w:rsidRPr="00980BC4">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1B3D4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1B3D40">
            <w:pPr>
              <w:spacing w:line="280" w:lineRule="exact"/>
              <w:jc w:val="right"/>
              <w:rPr>
                <w:rFonts w:ascii="宋体" w:eastAsia="宋体" w:hAnsi="宋体" w:cs="宋体"/>
                <w:sz w:val="18"/>
                <w:szCs w:val="18"/>
              </w:rPr>
            </w:pPr>
            <w:r w:rsidRPr="00980BC4">
              <w:rPr>
                <w:rFonts w:ascii="宋体" w:eastAsia="宋体" w:hAnsi="宋体" w:cs="宋体"/>
                <w:sz w:val="18"/>
                <w:szCs w:val="18"/>
              </w:rPr>
              <w:t>48,140</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1B3D40">
            <w:pPr>
              <w:spacing w:line="280" w:lineRule="exact"/>
              <w:jc w:val="right"/>
              <w:rPr>
                <w:rFonts w:ascii="宋体" w:eastAsia="宋体" w:hAnsi="宋体" w:cs="宋体"/>
                <w:sz w:val="18"/>
                <w:szCs w:val="18"/>
              </w:rPr>
            </w:pPr>
            <w:r w:rsidRPr="00980BC4">
              <w:rPr>
                <w:rFonts w:ascii="宋体" w:eastAsia="宋体" w:hAnsi="宋体" w:cs="宋体"/>
                <w:sz w:val="18"/>
                <w:szCs w:val="18"/>
              </w:rPr>
              <w:t>28,840</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1B3D40">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1B3D40">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r>
    </w:tbl>
    <w:p w:rsidR="002A3304" w:rsidRPr="00980BC4" w:rsidRDefault="00DF4EBF" w:rsidP="001B3D40">
      <w:pPr>
        <w:pStyle w:val="a3"/>
        <w:spacing w:before="0" w:beforeAutospacing="0" w:after="0" w:afterAutospacing="0" w:line="360" w:lineRule="auto"/>
        <w:ind w:firstLine="560"/>
        <w:jc w:val="both"/>
        <w:rPr>
          <w:rFonts w:ascii="仿宋" w:eastAsia="仿宋" w:hAnsi="仿宋"/>
          <w:b/>
          <w:sz w:val="28"/>
          <w:szCs w:val="28"/>
        </w:rPr>
      </w:pPr>
      <w:r w:rsidRPr="00980BC4">
        <w:rPr>
          <w:rFonts w:ascii="仿宋" w:eastAsia="仿宋" w:hAnsi="仿宋"/>
          <w:b/>
          <w:sz w:val="28"/>
          <w:szCs w:val="28"/>
        </w:rPr>
        <w:t>单项金额重大或安全性较低、流动性较差的高风险委托理财具体情况</w:t>
      </w:r>
    </w:p>
    <w:p w:rsidR="002A3304" w:rsidRPr="00980BC4" w:rsidRDefault="00DF4EBF" w:rsidP="001B3D40">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t>□适用</w:t>
      </w:r>
      <w:r w:rsidR="001B3D40"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1B3D40">
      <w:pPr>
        <w:pStyle w:val="a3"/>
        <w:spacing w:before="0" w:beforeAutospacing="0" w:after="0" w:afterAutospacing="0" w:line="360" w:lineRule="auto"/>
        <w:ind w:firstLine="560"/>
        <w:jc w:val="both"/>
        <w:rPr>
          <w:rFonts w:ascii="仿宋" w:eastAsia="仿宋" w:hAnsi="仿宋"/>
          <w:b/>
          <w:sz w:val="28"/>
          <w:szCs w:val="28"/>
        </w:rPr>
      </w:pPr>
      <w:r w:rsidRPr="00980BC4">
        <w:rPr>
          <w:rFonts w:ascii="仿宋" w:eastAsia="仿宋" w:hAnsi="仿宋"/>
          <w:b/>
          <w:sz w:val="28"/>
          <w:szCs w:val="28"/>
        </w:rPr>
        <w:t>委托理财出现预期无法收回本金或存在其他可能导致减值的情形</w:t>
      </w:r>
    </w:p>
    <w:p w:rsidR="002A3304" w:rsidRPr="00980BC4" w:rsidRDefault="00DF4EBF" w:rsidP="001B3D40">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t>□适用</w:t>
      </w:r>
      <w:r w:rsidR="001B3D40"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1B3D40">
      <w:pPr>
        <w:pStyle w:val="a3"/>
        <w:spacing w:before="0" w:beforeAutospacing="0" w:after="0" w:afterAutospacing="0" w:line="360" w:lineRule="auto"/>
        <w:ind w:firstLine="560"/>
        <w:jc w:val="both"/>
        <w:rPr>
          <w:rFonts w:ascii="仿宋" w:eastAsia="仿宋" w:hAnsi="仿宋"/>
          <w:b/>
          <w:sz w:val="28"/>
          <w:szCs w:val="28"/>
        </w:rPr>
      </w:pPr>
      <w:bookmarkStart w:id="123" w:name="_Toc989012"/>
      <w:r w:rsidRPr="00980BC4">
        <w:rPr>
          <w:rFonts w:ascii="仿宋" w:eastAsia="仿宋" w:hAnsi="仿宋"/>
          <w:b/>
          <w:sz w:val="28"/>
          <w:szCs w:val="28"/>
        </w:rPr>
        <w:t>（2） 委托贷款情况</w:t>
      </w:r>
      <w:bookmarkEnd w:id="123"/>
    </w:p>
    <w:p w:rsidR="002A3304" w:rsidRPr="00980BC4" w:rsidRDefault="00DF4EBF" w:rsidP="001B3D40">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t>□适用</w:t>
      </w:r>
      <w:r w:rsidR="001B3D40" w:rsidRPr="00980BC4">
        <w:rPr>
          <w:rFonts w:ascii="仿宋" w:eastAsia="仿宋" w:hAnsi="仿宋" w:hint="eastAsia"/>
          <w:sz w:val="28"/>
          <w:szCs w:val="28"/>
        </w:rPr>
        <w:t xml:space="preserve"> </w:t>
      </w:r>
      <w:r w:rsidRPr="00980BC4">
        <w:rPr>
          <w:rFonts w:ascii="仿宋" w:eastAsia="仿宋" w:hAnsi="仿宋"/>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1B3D40">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t>公司报告期不存在委托贷款。</w:t>
      </w:r>
    </w:p>
    <w:p w:rsidR="002A3304" w:rsidRPr="00980BC4" w:rsidRDefault="00DF4EBF" w:rsidP="001B3D40">
      <w:pPr>
        <w:pStyle w:val="a3"/>
        <w:spacing w:before="0" w:beforeAutospacing="0" w:after="0" w:afterAutospacing="0" w:line="360" w:lineRule="auto"/>
        <w:ind w:firstLine="560"/>
        <w:jc w:val="both"/>
        <w:rPr>
          <w:rFonts w:ascii="仿宋" w:eastAsia="仿宋" w:hAnsi="仿宋"/>
          <w:b/>
          <w:sz w:val="28"/>
          <w:szCs w:val="28"/>
        </w:rPr>
      </w:pPr>
      <w:bookmarkStart w:id="124" w:name="_Toc989013"/>
      <w:r w:rsidRPr="00980BC4">
        <w:rPr>
          <w:rFonts w:ascii="仿宋" w:eastAsia="仿宋" w:hAnsi="仿宋"/>
          <w:b/>
          <w:sz w:val="28"/>
          <w:szCs w:val="28"/>
        </w:rPr>
        <w:t>4、其他重大合同</w:t>
      </w:r>
      <w:bookmarkEnd w:id="124"/>
    </w:p>
    <w:p w:rsidR="002A3304" w:rsidRPr="00980BC4" w:rsidRDefault="00DF4EBF" w:rsidP="001B3D40">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t xml:space="preserve">□适用 </w:t>
      </w:r>
      <w:r w:rsidR="001B3D40" w:rsidRPr="00980BC4">
        <w:rPr>
          <w:rFonts w:ascii="仿宋" w:eastAsia="仿宋" w:hAnsi="仿宋" w:hint="eastAsia"/>
          <w:sz w:val="28"/>
          <w:szCs w:val="28"/>
        </w:rPr>
        <w:t xml:space="preserve"> </w:t>
      </w:r>
      <w:r w:rsidRPr="00980BC4">
        <w:rPr>
          <w:rFonts w:ascii="仿宋" w:eastAsia="仿宋" w:hAnsi="仿宋"/>
          <w:sz w:val="28"/>
          <w:szCs w:val="28"/>
        </w:rPr>
        <w:sym w:font="Wingdings 2" w:char="F052"/>
      </w:r>
      <w:r w:rsidRPr="00980BC4">
        <w:rPr>
          <w:rFonts w:ascii="仿宋" w:eastAsia="仿宋" w:hAnsi="仿宋"/>
          <w:sz w:val="28"/>
          <w:szCs w:val="28"/>
        </w:rPr>
        <w:t>不适用</w:t>
      </w:r>
    </w:p>
    <w:p w:rsidR="002A3304" w:rsidRPr="00980BC4" w:rsidRDefault="00DF4EBF" w:rsidP="001B3D40">
      <w:pPr>
        <w:pStyle w:val="a3"/>
        <w:spacing w:before="0" w:beforeAutospacing="0" w:after="0" w:afterAutospacing="0" w:line="360" w:lineRule="auto"/>
        <w:ind w:firstLine="560"/>
        <w:jc w:val="both"/>
        <w:rPr>
          <w:rFonts w:ascii="仿宋" w:eastAsia="仿宋" w:hAnsi="仿宋"/>
          <w:sz w:val="28"/>
          <w:szCs w:val="28"/>
        </w:rPr>
      </w:pPr>
      <w:r w:rsidRPr="00980BC4">
        <w:rPr>
          <w:rFonts w:ascii="仿宋" w:eastAsia="仿宋" w:hAnsi="仿宋"/>
          <w:sz w:val="28"/>
          <w:szCs w:val="28"/>
        </w:rPr>
        <w:t>公司报告期不存在其他重大合同。</w:t>
      </w:r>
    </w:p>
    <w:p w:rsidR="002A3304" w:rsidRPr="00980BC4" w:rsidRDefault="00DF4EBF" w:rsidP="009F65A5">
      <w:pPr>
        <w:pStyle w:val="Chapter"/>
        <w:spacing w:before="0" w:after="0" w:line="560" w:lineRule="exact"/>
        <w:ind w:firstLineChars="200" w:firstLine="562"/>
        <w:outlineLvl w:val="1"/>
        <w:rPr>
          <w:bCs w:val="0"/>
          <w:sz w:val="28"/>
          <w:szCs w:val="28"/>
        </w:rPr>
      </w:pPr>
      <w:bookmarkStart w:id="125" w:name="_Toc989014"/>
      <w:r w:rsidRPr="00980BC4">
        <w:rPr>
          <w:bCs w:val="0"/>
          <w:sz w:val="28"/>
          <w:szCs w:val="28"/>
        </w:rPr>
        <w:t>十六、其他重大事项的说明</w:t>
      </w:r>
      <w:bookmarkEnd w:id="125"/>
    </w:p>
    <w:p w:rsidR="002A3304" w:rsidRPr="00980BC4" w:rsidRDefault="00DF4EBF" w:rsidP="009F65A5">
      <w:pPr>
        <w:pStyle w:val="a3"/>
        <w:spacing w:before="0" w:beforeAutospacing="0" w:after="0" w:afterAutospacing="0" w:line="560" w:lineRule="exact"/>
        <w:ind w:firstLine="560"/>
        <w:jc w:val="both"/>
        <w:rPr>
          <w:rFonts w:ascii="仿宋" w:eastAsia="仿宋" w:hAnsi="仿宋"/>
          <w:sz w:val="28"/>
          <w:szCs w:val="28"/>
        </w:rPr>
      </w:pPr>
      <w:r w:rsidRPr="00980BC4">
        <w:rPr>
          <w:rFonts w:ascii="仿宋" w:eastAsia="仿宋" w:hAnsi="仿宋"/>
          <w:sz w:val="28"/>
          <w:szCs w:val="28"/>
        </w:rPr>
        <w:sym w:font="Wingdings 2" w:char="F052"/>
      </w:r>
      <w:r w:rsidRPr="00980BC4">
        <w:rPr>
          <w:rFonts w:ascii="仿宋" w:eastAsia="仿宋" w:hAnsi="仿宋"/>
          <w:sz w:val="28"/>
          <w:szCs w:val="28"/>
        </w:rPr>
        <w:t xml:space="preserve">适用 </w:t>
      </w:r>
      <w:r w:rsidR="001B3D40" w:rsidRPr="00980BC4">
        <w:rPr>
          <w:rFonts w:ascii="仿宋" w:eastAsia="仿宋" w:hAnsi="仿宋" w:hint="eastAsia"/>
          <w:sz w:val="28"/>
          <w:szCs w:val="28"/>
        </w:rPr>
        <w:t xml:space="preserve"> </w:t>
      </w:r>
      <w:r w:rsidRPr="00980BC4">
        <w:rPr>
          <w:rFonts w:ascii="仿宋" w:eastAsia="仿宋" w:hAnsi="仿宋"/>
          <w:sz w:val="28"/>
          <w:szCs w:val="28"/>
        </w:rPr>
        <w:t>□不适用</w:t>
      </w:r>
    </w:p>
    <w:p w:rsidR="00A02B84" w:rsidRPr="00980BC4" w:rsidRDefault="004473BC" w:rsidP="00A02B84">
      <w:pPr>
        <w:pStyle w:val="a3"/>
        <w:spacing w:before="0" w:beforeAutospacing="0" w:after="0" w:afterAutospacing="0" w:line="560" w:lineRule="exact"/>
        <w:ind w:firstLineChars="200" w:firstLine="560"/>
        <w:jc w:val="both"/>
        <w:divId w:val="986201869"/>
        <w:rPr>
          <w:rFonts w:ascii="仿宋" w:eastAsia="仿宋" w:hAnsi="仿宋"/>
          <w:color w:val="FF0000"/>
          <w:sz w:val="28"/>
          <w:szCs w:val="28"/>
        </w:rPr>
      </w:pPr>
      <w:r w:rsidRPr="00980BC4">
        <w:rPr>
          <w:rFonts w:ascii="仿宋" w:eastAsia="仿宋" w:hAnsi="仿宋" w:hint="eastAsia"/>
          <w:bCs/>
          <w:sz w:val="28"/>
          <w:szCs w:val="28"/>
        </w:rPr>
        <w:t>1、</w:t>
      </w:r>
      <w:r w:rsidR="00364534" w:rsidRPr="00980BC4">
        <w:rPr>
          <w:rFonts w:ascii="仿宋" w:eastAsia="仿宋" w:hAnsi="仿宋" w:hint="eastAsia"/>
          <w:bCs/>
          <w:sz w:val="28"/>
          <w:szCs w:val="28"/>
        </w:rPr>
        <w:t>2022年9月，</w:t>
      </w:r>
      <w:r w:rsidR="0055302C" w:rsidRPr="00980BC4">
        <w:rPr>
          <w:rFonts w:ascii="仿宋" w:eastAsia="仿宋" w:hAnsi="仿宋" w:hint="eastAsia"/>
          <w:bCs/>
          <w:sz w:val="28"/>
          <w:szCs w:val="28"/>
        </w:rPr>
        <w:t>公司董事长胡煜鐄先生的直系亲属、公司实际控制人胡成中先生</w:t>
      </w:r>
      <w:r w:rsidR="00A31576" w:rsidRPr="00980BC4">
        <w:rPr>
          <w:rFonts w:ascii="仿宋" w:eastAsia="仿宋" w:hAnsi="仿宋" w:hint="eastAsia"/>
          <w:bCs/>
          <w:sz w:val="28"/>
          <w:szCs w:val="28"/>
        </w:rPr>
        <w:t>因误操作</w:t>
      </w:r>
      <w:r w:rsidR="008C1030" w:rsidRPr="00980BC4">
        <w:rPr>
          <w:rFonts w:ascii="仿宋" w:eastAsia="仿宋" w:hAnsi="仿宋" w:hint="eastAsia"/>
          <w:bCs/>
          <w:sz w:val="28"/>
          <w:szCs w:val="28"/>
        </w:rPr>
        <w:t>买入</w:t>
      </w:r>
      <w:r w:rsidR="00A31576" w:rsidRPr="00980BC4">
        <w:rPr>
          <w:rFonts w:ascii="仿宋" w:eastAsia="仿宋" w:hAnsi="仿宋" w:hint="eastAsia"/>
          <w:bCs/>
          <w:sz w:val="28"/>
          <w:szCs w:val="28"/>
        </w:rPr>
        <w:t>10万股公司股票导致短线交易，</w:t>
      </w:r>
      <w:r w:rsidR="00C379F5" w:rsidRPr="00980BC4">
        <w:rPr>
          <w:rFonts w:ascii="仿宋" w:eastAsia="仿宋" w:hAnsi="仿宋" w:hint="eastAsia"/>
          <w:bCs/>
          <w:sz w:val="28"/>
          <w:szCs w:val="28"/>
        </w:rPr>
        <w:t>由此产生的收益</w:t>
      </w:r>
      <w:r w:rsidR="0046619B" w:rsidRPr="00980BC4">
        <w:rPr>
          <w:rFonts w:ascii="仿宋" w:eastAsia="仿宋" w:hAnsi="仿宋" w:hint="eastAsia"/>
          <w:bCs/>
          <w:sz w:val="28"/>
          <w:szCs w:val="28"/>
        </w:rPr>
        <w:t>将</w:t>
      </w:r>
      <w:r w:rsidR="00C379F5" w:rsidRPr="00980BC4">
        <w:rPr>
          <w:rFonts w:ascii="仿宋" w:eastAsia="仿宋" w:hAnsi="仿宋" w:hint="eastAsia"/>
          <w:bCs/>
          <w:sz w:val="28"/>
          <w:szCs w:val="28"/>
        </w:rPr>
        <w:t>全部上缴给公司</w:t>
      </w:r>
      <w:r w:rsidR="0046619B" w:rsidRPr="00980BC4">
        <w:rPr>
          <w:rFonts w:ascii="仿宋" w:eastAsia="仿宋" w:hAnsi="仿宋" w:hint="eastAsia"/>
          <w:bCs/>
          <w:sz w:val="28"/>
          <w:szCs w:val="28"/>
        </w:rPr>
        <w:t>，详见公司于</w:t>
      </w:r>
      <w:r w:rsidR="0046619B" w:rsidRPr="00980BC4">
        <w:rPr>
          <w:rFonts w:ascii="仿宋" w:eastAsia="仿宋" w:hAnsi="仿宋"/>
          <w:bCs/>
          <w:sz w:val="28"/>
          <w:szCs w:val="28"/>
        </w:rPr>
        <w:t>202</w:t>
      </w:r>
      <w:r w:rsidR="0046619B" w:rsidRPr="00980BC4">
        <w:rPr>
          <w:rFonts w:ascii="仿宋" w:eastAsia="仿宋" w:hAnsi="仿宋" w:hint="eastAsia"/>
          <w:bCs/>
          <w:sz w:val="28"/>
          <w:szCs w:val="28"/>
        </w:rPr>
        <w:t>2年9月10日刊登于《中国证券报》《证券时报》《上海证券报》《证券日报》</w:t>
      </w:r>
      <w:r w:rsidR="009F65A5" w:rsidRPr="00980BC4">
        <w:rPr>
          <w:rFonts w:ascii="仿宋" w:eastAsia="仿宋" w:hAnsi="仿宋" w:hint="eastAsia"/>
          <w:bCs/>
          <w:sz w:val="28"/>
          <w:szCs w:val="28"/>
        </w:rPr>
        <w:t>及巨潮资讯网</w:t>
      </w:r>
      <w:r w:rsidR="00A02B84" w:rsidRPr="00980BC4">
        <w:rPr>
          <w:rFonts w:ascii="仿宋" w:eastAsia="仿宋" w:hAnsi="仿宋" w:hint="eastAsia"/>
          <w:sz w:val="28"/>
          <w:szCs w:val="28"/>
        </w:rPr>
        <w:t>（http://www.cninfo.com.cn）</w:t>
      </w:r>
      <w:r w:rsidR="0046619B" w:rsidRPr="00980BC4">
        <w:rPr>
          <w:rFonts w:ascii="仿宋" w:eastAsia="仿宋" w:hAnsi="仿宋" w:hint="eastAsia"/>
          <w:bCs/>
          <w:sz w:val="28"/>
          <w:szCs w:val="28"/>
        </w:rPr>
        <w:t>的《</w:t>
      </w:r>
      <w:r w:rsidR="00753C0D" w:rsidRPr="00980BC4">
        <w:rPr>
          <w:rFonts w:ascii="仿宋" w:eastAsia="仿宋" w:hAnsi="仿宋" w:hint="eastAsia"/>
          <w:bCs/>
          <w:sz w:val="28"/>
          <w:szCs w:val="28"/>
        </w:rPr>
        <w:t>关于公司实际控制人因误操作导致短线交易的公告</w:t>
      </w:r>
      <w:r w:rsidR="0046619B" w:rsidRPr="00980BC4">
        <w:rPr>
          <w:rFonts w:ascii="仿宋" w:eastAsia="仿宋" w:hAnsi="仿宋" w:hint="eastAsia"/>
          <w:bCs/>
          <w:sz w:val="28"/>
          <w:szCs w:val="28"/>
        </w:rPr>
        <w:t>》（202</w:t>
      </w:r>
      <w:r w:rsidR="00753C0D" w:rsidRPr="00980BC4">
        <w:rPr>
          <w:rFonts w:ascii="仿宋" w:eastAsia="仿宋" w:hAnsi="仿宋" w:hint="eastAsia"/>
          <w:bCs/>
          <w:sz w:val="28"/>
          <w:szCs w:val="28"/>
        </w:rPr>
        <w:t>2</w:t>
      </w:r>
      <w:r w:rsidR="0046619B" w:rsidRPr="00980BC4">
        <w:rPr>
          <w:rFonts w:ascii="仿宋" w:eastAsia="仿宋" w:hAnsi="仿宋" w:hint="eastAsia"/>
          <w:bCs/>
          <w:sz w:val="28"/>
          <w:szCs w:val="28"/>
        </w:rPr>
        <w:t>-4</w:t>
      </w:r>
      <w:r w:rsidR="00753C0D" w:rsidRPr="00980BC4">
        <w:rPr>
          <w:rFonts w:ascii="仿宋" w:eastAsia="仿宋" w:hAnsi="仿宋" w:hint="eastAsia"/>
          <w:bCs/>
          <w:sz w:val="28"/>
          <w:szCs w:val="28"/>
        </w:rPr>
        <w:t>3</w:t>
      </w:r>
      <w:r w:rsidR="0046619B" w:rsidRPr="00980BC4">
        <w:rPr>
          <w:rFonts w:ascii="仿宋" w:eastAsia="仿宋" w:hAnsi="仿宋" w:hint="eastAsia"/>
          <w:bCs/>
          <w:sz w:val="28"/>
          <w:szCs w:val="28"/>
        </w:rPr>
        <w:t>）。报告期内，公司已收到其上交的全部收益</w:t>
      </w:r>
      <w:r w:rsidR="00787A73" w:rsidRPr="00980BC4">
        <w:rPr>
          <w:rFonts w:ascii="仿宋" w:eastAsia="仿宋" w:hAnsi="仿宋" w:hint="eastAsia"/>
          <w:bCs/>
          <w:sz w:val="28"/>
          <w:szCs w:val="28"/>
        </w:rPr>
        <w:t>55</w:t>
      </w:r>
      <w:r w:rsidR="0046619B" w:rsidRPr="00980BC4">
        <w:rPr>
          <w:rFonts w:ascii="仿宋" w:eastAsia="仿宋" w:hAnsi="仿宋" w:hint="eastAsia"/>
          <w:bCs/>
          <w:sz w:val="28"/>
          <w:szCs w:val="28"/>
        </w:rPr>
        <w:t>,</w:t>
      </w:r>
      <w:r w:rsidR="00787A73" w:rsidRPr="00980BC4">
        <w:rPr>
          <w:rFonts w:ascii="仿宋" w:eastAsia="仿宋" w:hAnsi="仿宋" w:hint="eastAsia"/>
          <w:bCs/>
          <w:sz w:val="28"/>
          <w:szCs w:val="28"/>
        </w:rPr>
        <w:t>2</w:t>
      </w:r>
      <w:r w:rsidR="0046619B" w:rsidRPr="00980BC4">
        <w:rPr>
          <w:rFonts w:ascii="仿宋" w:eastAsia="仿宋" w:hAnsi="仿宋" w:hint="eastAsia"/>
          <w:bCs/>
          <w:sz w:val="28"/>
          <w:szCs w:val="28"/>
        </w:rPr>
        <w:t>00元。</w:t>
      </w:r>
      <w:r w:rsidR="00C2141A" w:rsidRPr="00980BC4">
        <w:rPr>
          <w:rFonts w:ascii="仿宋" w:eastAsia="仿宋" w:hAnsi="仿宋" w:hint="eastAsia"/>
          <w:sz w:val="28"/>
          <w:szCs w:val="28"/>
        </w:rPr>
        <w:t>公司将继续要求全体董事、监事和高级管理人员进一步加强相关法律法</w:t>
      </w:r>
      <w:r w:rsidR="00C2141A" w:rsidRPr="00980BC4">
        <w:rPr>
          <w:rFonts w:ascii="仿宋" w:eastAsia="仿宋" w:hAnsi="仿宋" w:hint="eastAsia"/>
          <w:sz w:val="28"/>
          <w:szCs w:val="28"/>
        </w:rPr>
        <w:lastRenderedPageBreak/>
        <w:t>规的学习，严格遵循相关规定，规范本人及近亲属买卖公司股票的行为，自觉维护证券市场次序，杜绝此类情况的再次发生。</w:t>
      </w:r>
    </w:p>
    <w:p w:rsidR="002A3304" w:rsidRPr="00980BC4" w:rsidRDefault="00856F25" w:rsidP="00A02B84">
      <w:pPr>
        <w:pStyle w:val="a3"/>
        <w:spacing w:before="0" w:beforeAutospacing="0" w:after="0" w:afterAutospacing="0" w:line="560" w:lineRule="exact"/>
        <w:ind w:firstLineChars="200" w:firstLine="560"/>
        <w:jc w:val="both"/>
        <w:divId w:val="986201869"/>
        <w:rPr>
          <w:rFonts w:ascii="仿宋" w:eastAsia="仿宋" w:hAnsi="仿宋"/>
          <w:color w:val="FF0000"/>
          <w:sz w:val="28"/>
          <w:szCs w:val="28"/>
        </w:rPr>
      </w:pPr>
      <w:r w:rsidRPr="00980BC4">
        <w:rPr>
          <w:rFonts w:ascii="仿宋" w:eastAsia="仿宋" w:hAnsi="仿宋" w:hint="eastAsia"/>
          <w:sz w:val="28"/>
          <w:szCs w:val="28"/>
        </w:rPr>
        <w:t>2、</w:t>
      </w:r>
      <w:r w:rsidR="002A3304" w:rsidRPr="00980BC4">
        <w:rPr>
          <w:rFonts w:ascii="仿宋" w:eastAsia="仿宋" w:hAnsi="仿宋" w:hint="eastAsia"/>
          <w:sz w:val="28"/>
          <w:szCs w:val="28"/>
        </w:rPr>
        <w:t>报告期内，公司所有重要事项信息披露均发布在《中国证券报》《证券时报》《证券日报》《上海证券报》及巨潮资讯网（http://www.cninfo.com.cn）上，刊登的信息如下：</w:t>
      </w:r>
    </w:p>
    <w:tbl>
      <w:tblPr>
        <w:tblW w:w="92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022"/>
        <w:gridCol w:w="3241"/>
        <w:gridCol w:w="1276"/>
        <w:gridCol w:w="3685"/>
      </w:tblGrid>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hint="eastAsia"/>
                <w:color w:val="000000"/>
                <w:sz w:val="18"/>
                <w:szCs w:val="18"/>
              </w:rPr>
              <w:t>公告编号</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hint="eastAsia"/>
                <w:color w:val="000000"/>
                <w:sz w:val="18"/>
                <w:szCs w:val="18"/>
              </w:rPr>
              <w:t>公告名称</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hint="eastAsia"/>
                <w:color w:val="000000"/>
                <w:sz w:val="18"/>
                <w:szCs w:val="18"/>
              </w:rPr>
              <w:t>公告时间</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ind w:firstLine="360"/>
              <w:jc w:val="center"/>
            </w:pPr>
            <w:r w:rsidRPr="00980BC4">
              <w:rPr>
                <w:rFonts w:hint="eastAsia"/>
                <w:color w:val="000000"/>
                <w:sz w:val="18"/>
                <w:szCs w:val="18"/>
              </w:rPr>
              <w:t>披露主体</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2022-01</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2021年度业绩预告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2022-1-27</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B021</w:t>
            </w:r>
            <w:r w:rsidRPr="00980BC4">
              <w:rPr>
                <w:rFonts w:hint="eastAsia"/>
                <w:color w:val="000000"/>
                <w:sz w:val="18"/>
                <w:szCs w:val="18"/>
              </w:rPr>
              <w:t>版、证券时报</w:t>
            </w:r>
            <w:r w:rsidRPr="00980BC4">
              <w:rPr>
                <w:rFonts w:ascii="Times New Roman" w:hAnsi="Times New Roman" w:cs="Times New Roman"/>
                <w:color w:val="000000"/>
                <w:sz w:val="18"/>
                <w:szCs w:val="18"/>
              </w:rPr>
              <w:t>B44</w:t>
            </w:r>
            <w:r w:rsidRPr="00980BC4">
              <w:rPr>
                <w:rFonts w:hint="eastAsia"/>
                <w:color w:val="000000"/>
                <w:sz w:val="18"/>
                <w:szCs w:val="18"/>
              </w:rPr>
              <w:t>版、证券日报</w:t>
            </w:r>
            <w:r w:rsidRPr="00980BC4">
              <w:rPr>
                <w:rFonts w:ascii="Times New Roman" w:hAnsi="Times New Roman" w:cs="Times New Roman"/>
                <w:color w:val="000000"/>
                <w:sz w:val="18"/>
                <w:szCs w:val="18"/>
              </w:rPr>
              <w:t>D20</w:t>
            </w:r>
            <w:r w:rsidRPr="00980BC4">
              <w:rPr>
                <w:rFonts w:hint="eastAsia"/>
                <w:color w:val="000000"/>
                <w:sz w:val="18"/>
                <w:szCs w:val="18"/>
              </w:rPr>
              <w:t>版、上海证券报</w:t>
            </w:r>
            <w:r w:rsidRPr="00980BC4">
              <w:rPr>
                <w:rFonts w:ascii="Times New Roman" w:hAnsi="Times New Roman" w:cs="Times New Roman"/>
                <w:color w:val="000000"/>
                <w:sz w:val="18"/>
                <w:szCs w:val="18"/>
              </w:rPr>
              <w:t>111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2022-02</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第十届董事会第十一次会议决议公告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2022-1-29</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B055</w:t>
            </w:r>
            <w:r w:rsidRPr="00980BC4">
              <w:rPr>
                <w:rFonts w:hint="eastAsia"/>
                <w:color w:val="000000"/>
                <w:sz w:val="18"/>
                <w:szCs w:val="18"/>
              </w:rPr>
              <w:t>版、证券时报</w:t>
            </w:r>
            <w:r w:rsidRPr="00980BC4">
              <w:rPr>
                <w:rFonts w:ascii="Times New Roman" w:hAnsi="Times New Roman" w:cs="Times New Roman"/>
                <w:color w:val="000000"/>
                <w:sz w:val="18"/>
                <w:szCs w:val="18"/>
              </w:rPr>
              <w:t>B32</w:t>
            </w:r>
            <w:r w:rsidRPr="00980BC4">
              <w:rPr>
                <w:rFonts w:hint="eastAsia"/>
                <w:color w:val="000000"/>
                <w:sz w:val="18"/>
                <w:szCs w:val="18"/>
              </w:rPr>
              <w:t>版、证券日报</w:t>
            </w:r>
            <w:r w:rsidRPr="00980BC4">
              <w:rPr>
                <w:rFonts w:ascii="Times New Roman" w:hAnsi="Times New Roman" w:cs="Times New Roman"/>
                <w:color w:val="000000"/>
                <w:sz w:val="18"/>
                <w:szCs w:val="18"/>
              </w:rPr>
              <w:t>C35</w:t>
            </w:r>
            <w:r w:rsidRPr="00980BC4">
              <w:rPr>
                <w:rFonts w:hint="eastAsia"/>
                <w:color w:val="000000"/>
                <w:sz w:val="18"/>
                <w:szCs w:val="18"/>
              </w:rPr>
              <w:t>版、上海证券报</w:t>
            </w:r>
            <w:r w:rsidRPr="00980BC4">
              <w:rPr>
                <w:rFonts w:ascii="Times New Roman" w:hAnsi="Times New Roman" w:cs="Times New Roman"/>
                <w:color w:val="000000"/>
                <w:sz w:val="18"/>
                <w:szCs w:val="18"/>
              </w:rPr>
              <w:t>50</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2022-03</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第十届监事会第九次会议决议公告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2022-1-29</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B055</w:t>
            </w:r>
            <w:r w:rsidRPr="00980BC4">
              <w:rPr>
                <w:rFonts w:hint="eastAsia"/>
                <w:color w:val="000000"/>
                <w:sz w:val="18"/>
                <w:szCs w:val="18"/>
              </w:rPr>
              <w:t>版、证券时报</w:t>
            </w:r>
            <w:r w:rsidRPr="00980BC4">
              <w:rPr>
                <w:rFonts w:ascii="Times New Roman" w:hAnsi="Times New Roman" w:cs="Times New Roman"/>
                <w:color w:val="000000"/>
                <w:sz w:val="18"/>
                <w:szCs w:val="18"/>
              </w:rPr>
              <w:t>B32</w:t>
            </w:r>
            <w:r w:rsidRPr="00980BC4">
              <w:rPr>
                <w:rFonts w:hint="eastAsia"/>
                <w:color w:val="000000"/>
                <w:sz w:val="18"/>
                <w:szCs w:val="18"/>
              </w:rPr>
              <w:t>版、证券日报</w:t>
            </w:r>
            <w:r w:rsidRPr="00980BC4">
              <w:rPr>
                <w:rFonts w:ascii="Times New Roman" w:hAnsi="Times New Roman" w:cs="Times New Roman"/>
                <w:color w:val="000000"/>
                <w:sz w:val="18"/>
                <w:szCs w:val="18"/>
              </w:rPr>
              <w:t>C35</w:t>
            </w:r>
            <w:r w:rsidRPr="00980BC4">
              <w:rPr>
                <w:rFonts w:hint="eastAsia"/>
                <w:color w:val="000000"/>
                <w:sz w:val="18"/>
                <w:szCs w:val="18"/>
              </w:rPr>
              <w:t>版、上海证券报</w:t>
            </w:r>
            <w:r w:rsidRPr="00980BC4">
              <w:rPr>
                <w:rFonts w:ascii="Times New Roman" w:hAnsi="Times New Roman" w:cs="Times New Roman"/>
                <w:color w:val="000000"/>
                <w:sz w:val="18"/>
                <w:szCs w:val="18"/>
              </w:rPr>
              <w:t>50</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2022-04</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关于公司 2021 年限制性股票激励计划预留授予激励对象名单的核查意见</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2022-1-29</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B055</w:t>
            </w:r>
            <w:r w:rsidRPr="00980BC4">
              <w:rPr>
                <w:rFonts w:hint="eastAsia"/>
                <w:color w:val="000000"/>
                <w:sz w:val="18"/>
                <w:szCs w:val="18"/>
              </w:rPr>
              <w:t>版、证券时报</w:t>
            </w:r>
            <w:r w:rsidRPr="00980BC4">
              <w:rPr>
                <w:rFonts w:ascii="Times New Roman" w:hAnsi="Times New Roman" w:cs="Times New Roman"/>
                <w:color w:val="000000"/>
                <w:sz w:val="18"/>
                <w:szCs w:val="18"/>
              </w:rPr>
              <w:t>B32</w:t>
            </w:r>
            <w:r w:rsidRPr="00980BC4">
              <w:rPr>
                <w:rFonts w:hint="eastAsia"/>
                <w:color w:val="000000"/>
                <w:sz w:val="18"/>
                <w:szCs w:val="18"/>
              </w:rPr>
              <w:t>版、证券日报</w:t>
            </w:r>
            <w:r w:rsidRPr="00980BC4">
              <w:rPr>
                <w:rFonts w:ascii="Times New Roman" w:hAnsi="Times New Roman" w:cs="Times New Roman"/>
                <w:color w:val="000000"/>
                <w:sz w:val="18"/>
                <w:szCs w:val="18"/>
              </w:rPr>
              <w:t>C35</w:t>
            </w:r>
            <w:r w:rsidRPr="00980BC4">
              <w:rPr>
                <w:rFonts w:hint="eastAsia"/>
                <w:color w:val="000000"/>
                <w:sz w:val="18"/>
                <w:szCs w:val="18"/>
              </w:rPr>
              <w:t>版、上海证券报</w:t>
            </w:r>
            <w:r w:rsidRPr="00980BC4">
              <w:rPr>
                <w:rFonts w:ascii="Times New Roman" w:hAnsi="Times New Roman" w:cs="Times New Roman"/>
                <w:color w:val="000000"/>
                <w:sz w:val="18"/>
                <w:szCs w:val="18"/>
              </w:rPr>
              <w:t>50</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2022-05</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关于向激励对象授予预留限制性股票的公告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2022-1-29</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B055</w:t>
            </w:r>
            <w:r w:rsidRPr="00980BC4">
              <w:rPr>
                <w:rFonts w:hint="eastAsia"/>
                <w:color w:val="000000"/>
                <w:sz w:val="18"/>
                <w:szCs w:val="18"/>
              </w:rPr>
              <w:t>版、证券时报</w:t>
            </w:r>
            <w:r w:rsidRPr="00980BC4">
              <w:rPr>
                <w:rFonts w:ascii="Times New Roman" w:hAnsi="Times New Roman" w:cs="Times New Roman"/>
                <w:color w:val="000000"/>
                <w:sz w:val="18"/>
                <w:szCs w:val="18"/>
              </w:rPr>
              <w:t>B32</w:t>
            </w:r>
            <w:r w:rsidRPr="00980BC4">
              <w:rPr>
                <w:rFonts w:hint="eastAsia"/>
                <w:color w:val="000000"/>
                <w:sz w:val="18"/>
                <w:szCs w:val="18"/>
              </w:rPr>
              <w:t>版、证券日报</w:t>
            </w:r>
            <w:r w:rsidRPr="00980BC4">
              <w:rPr>
                <w:rFonts w:ascii="Times New Roman" w:hAnsi="Times New Roman" w:cs="Times New Roman"/>
                <w:color w:val="000000"/>
                <w:sz w:val="18"/>
                <w:szCs w:val="18"/>
              </w:rPr>
              <w:t>C35</w:t>
            </w:r>
            <w:r w:rsidRPr="00980BC4">
              <w:rPr>
                <w:rFonts w:hint="eastAsia"/>
                <w:color w:val="000000"/>
                <w:sz w:val="18"/>
                <w:szCs w:val="18"/>
              </w:rPr>
              <w:t>版、上海证券报</w:t>
            </w:r>
            <w:r w:rsidRPr="00980BC4">
              <w:rPr>
                <w:rFonts w:ascii="Times New Roman" w:hAnsi="Times New Roman" w:cs="Times New Roman"/>
                <w:color w:val="000000"/>
                <w:sz w:val="18"/>
                <w:szCs w:val="18"/>
              </w:rPr>
              <w:t>50</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2022-06</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关于公司2021年限制性股票激励计划预留授予激励对象名单的审核意见及公示情况说明</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2022-2-11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B025</w:t>
            </w:r>
            <w:r w:rsidRPr="00980BC4">
              <w:rPr>
                <w:rFonts w:hint="eastAsia"/>
                <w:color w:val="000000"/>
                <w:sz w:val="18"/>
                <w:szCs w:val="18"/>
              </w:rPr>
              <w:t>版、证券时报</w:t>
            </w:r>
            <w:r w:rsidRPr="00980BC4">
              <w:rPr>
                <w:rFonts w:ascii="Times New Roman" w:hAnsi="Times New Roman" w:cs="Times New Roman"/>
                <w:color w:val="000000"/>
                <w:sz w:val="18"/>
                <w:szCs w:val="18"/>
              </w:rPr>
              <w:t>B02</w:t>
            </w:r>
            <w:r w:rsidRPr="00980BC4">
              <w:rPr>
                <w:rFonts w:hint="eastAsia"/>
                <w:color w:val="000000"/>
                <w:sz w:val="18"/>
                <w:szCs w:val="18"/>
              </w:rPr>
              <w:t>版、证券日报</w:t>
            </w:r>
            <w:r w:rsidRPr="00980BC4">
              <w:rPr>
                <w:rFonts w:ascii="Times New Roman" w:hAnsi="Times New Roman" w:cs="Times New Roman"/>
                <w:color w:val="000000"/>
                <w:sz w:val="18"/>
                <w:szCs w:val="18"/>
              </w:rPr>
              <w:t>D22</w:t>
            </w:r>
            <w:r w:rsidRPr="00980BC4">
              <w:rPr>
                <w:rFonts w:hint="eastAsia"/>
                <w:color w:val="000000"/>
                <w:sz w:val="18"/>
                <w:szCs w:val="18"/>
              </w:rPr>
              <w:t>版、上海证券报</w:t>
            </w:r>
            <w:r w:rsidRPr="00980BC4">
              <w:rPr>
                <w:rFonts w:ascii="Times New Roman" w:hAnsi="Times New Roman" w:cs="Times New Roman"/>
                <w:color w:val="000000"/>
                <w:sz w:val="18"/>
                <w:szCs w:val="18"/>
              </w:rPr>
              <w:t>46</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2022-07</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关于控股股东部分股份质押的公告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2022-2-17</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B002</w:t>
            </w:r>
            <w:r w:rsidRPr="00980BC4">
              <w:rPr>
                <w:rFonts w:hint="eastAsia"/>
                <w:color w:val="000000"/>
                <w:sz w:val="18"/>
                <w:szCs w:val="18"/>
              </w:rPr>
              <w:t>版、证券时报</w:t>
            </w:r>
            <w:r w:rsidRPr="00980BC4">
              <w:rPr>
                <w:rFonts w:ascii="Times New Roman" w:hAnsi="Times New Roman" w:cs="Times New Roman"/>
                <w:color w:val="000000"/>
                <w:sz w:val="18"/>
                <w:szCs w:val="18"/>
              </w:rPr>
              <w:t>B33</w:t>
            </w:r>
            <w:r w:rsidRPr="00980BC4">
              <w:rPr>
                <w:rFonts w:hint="eastAsia"/>
                <w:color w:val="000000"/>
                <w:sz w:val="18"/>
                <w:szCs w:val="18"/>
              </w:rPr>
              <w:t>版、证券日报</w:t>
            </w:r>
            <w:r w:rsidRPr="00980BC4">
              <w:rPr>
                <w:rFonts w:ascii="Times New Roman" w:hAnsi="Times New Roman" w:cs="Times New Roman"/>
                <w:color w:val="000000"/>
                <w:sz w:val="18"/>
                <w:szCs w:val="18"/>
              </w:rPr>
              <w:t>D24</w:t>
            </w:r>
            <w:r w:rsidRPr="00980BC4">
              <w:rPr>
                <w:rFonts w:hint="eastAsia"/>
                <w:color w:val="000000"/>
                <w:sz w:val="18"/>
                <w:szCs w:val="18"/>
              </w:rPr>
              <w:t>版、上海证券报</w:t>
            </w:r>
            <w:r w:rsidRPr="00980BC4">
              <w:rPr>
                <w:rFonts w:ascii="Times New Roman" w:hAnsi="Times New Roman" w:cs="Times New Roman"/>
                <w:color w:val="000000"/>
                <w:sz w:val="18"/>
                <w:szCs w:val="18"/>
              </w:rPr>
              <w:t>54</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2022-08</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关于2021年限制性股票激励计划预留部分授予登记完成的公告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2022-3-3</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B051</w:t>
            </w:r>
            <w:r w:rsidRPr="00980BC4">
              <w:rPr>
                <w:rFonts w:hint="eastAsia"/>
                <w:color w:val="000000"/>
                <w:sz w:val="18"/>
                <w:szCs w:val="18"/>
              </w:rPr>
              <w:t>版、证券时报</w:t>
            </w:r>
            <w:r w:rsidRPr="00980BC4">
              <w:rPr>
                <w:rFonts w:ascii="Times New Roman" w:hAnsi="Times New Roman" w:cs="Times New Roman"/>
                <w:color w:val="000000"/>
                <w:sz w:val="18"/>
                <w:szCs w:val="18"/>
              </w:rPr>
              <w:t>B12</w:t>
            </w:r>
            <w:r w:rsidRPr="00980BC4">
              <w:rPr>
                <w:rFonts w:hint="eastAsia"/>
                <w:color w:val="000000"/>
                <w:sz w:val="18"/>
                <w:szCs w:val="18"/>
              </w:rPr>
              <w:t>版、证券日报</w:t>
            </w:r>
            <w:r w:rsidRPr="00980BC4">
              <w:rPr>
                <w:rFonts w:ascii="Times New Roman" w:hAnsi="Times New Roman" w:cs="Times New Roman"/>
                <w:color w:val="000000"/>
                <w:sz w:val="18"/>
                <w:szCs w:val="18"/>
              </w:rPr>
              <w:t>D34</w:t>
            </w:r>
            <w:r w:rsidRPr="00980BC4">
              <w:rPr>
                <w:rFonts w:hint="eastAsia"/>
                <w:color w:val="000000"/>
                <w:sz w:val="18"/>
                <w:szCs w:val="18"/>
              </w:rPr>
              <w:t>版、上海证券报</w:t>
            </w:r>
            <w:r w:rsidRPr="00980BC4">
              <w:rPr>
                <w:rFonts w:ascii="Times New Roman" w:hAnsi="Times New Roman" w:cs="Times New Roman"/>
                <w:color w:val="000000"/>
                <w:sz w:val="18"/>
                <w:szCs w:val="18"/>
              </w:rPr>
              <w:t>70</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2022-09</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关于控股股东增持公司股份计划时间过半的进展公告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2022-3-5</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B047</w:t>
            </w:r>
            <w:r w:rsidRPr="00980BC4">
              <w:rPr>
                <w:rFonts w:hint="eastAsia"/>
                <w:color w:val="000000"/>
                <w:sz w:val="18"/>
                <w:szCs w:val="18"/>
              </w:rPr>
              <w:t>版、证券时报</w:t>
            </w:r>
            <w:r w:rsidRPr="00980BC4">
              <w:rPr>
                <w:rFonts w:ascii="Times New Roman" w:hAnsi="Times New Roman" w:cs="Times New Roman"/>
                <w:color w:val="000000"/>
                <w:sz w:val="18"/>
                <w:szCs w:val="18"/>
              </w:rPr>
              <w:t>B49</w:t>
            </w:r>
            <w:r w:rsidRPr="00980BC4">
              <w:rPr>
                <w:rFonts w:hint="eastAsia"/>
                <w:color w:val="000000"/>
                <w:sz w:val="18"/>
                <w:szCs w:val="18"/>
              </w:rPr>
              <w:t>版、证券日报</w:t>
            </w:r>
            <w:r w:rsidRPr="00980BC4">
              <w:rPr>
                <w:rFonts w:ascii="Times New Roman" w:hAnsi="Times New Roman" w:cs="Times New Roman"/>
                <w:color w:val="000000"/>
                <w:sz w:val="18"/>
                <w:szCs w:val="18"/>
              </w:rPr>
              <w:t>C13</w:t>
            </w:r>
            <w:r w:rsidRPr="00980BC4">
              <w:rPr>
                <w:rFonts w:hint="eastAsia"/>
                <w:color w:val="000000"/>
                <w:sz w:val="18"/>
                <w:szCs w:val="18"/>
              </w:rPr>
              <w:t>版、上海证券报</w:t>
            </w:r>
            <w:r w:rsidRPr="00980BC4">
              <w:rPr>
                <w:rFonts w:ascii="Times New Roman" w:hAnsi="Times New Roman" w:cs="Times New Roman"/>
                <w:color w:val="000000"/>
                <w:sz w:val="18"/>
                <w:szCs w:val="18"/>
              </w:rPr>
              <w:t>42</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2022-10</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第十届董事会第十二次会议决议公告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2022-4-9</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B047</w:t>
            </w:r>
            <w:r w:rsidRPr="00980BC4">
              <w:rPr>
                <w:rFonts w:hint="eastAsia"/>
                <w:color w:val="000000"/>
                <w:sz w:val="18"/>
                <w:szCs w:val="18"/>
              </w:rPr>
              <w:t>版、证券时报</w:t>
            </w:r>
            <w:r w:rsidRPr="00980BC4">
              <w:rPr>
                <w:rFonts w:ascii="Times New Roman" w:hAnsi="Times New Roman" w:cs="Times New Roman"/>
                <w:color w:val="000000"/>
                <w:sz w:val="18"/>
                <w:szCs w:val="18"/>
              </w:rPr>
              <w:t>B41</w:t>
            </w:r>
            <w:r w:rsidRPr="00980BC4">
              <w:rPr>
                <w:rFonts w:hint="eastAsia"/>
                <w:color w:val="000000"/>
                <w:sz w:val="18"/>
                <w:szCs w:val="18"/>
              </w:rPr>
              <w:t>版、证券日报</w:t>
            </w:r>
            <w:r w:rsidRPr="00980BC4">
              <w:rPr>
                <w:rFonts w:ascii="Times New Roman" w:hAnsi="Times New Roman" w:cs="Times New Roman"/>
                <w:color w:val="000000"/>
                <w:sz w:val="18"/>
                <w:szCs w:val="18"/>
              </w:rPr>
              <w:t>C48</w:t>
            </w:r>
            <w:r w:rsidRPr="00980BC4">
              <w:rPr>
                <w:rFonts w:hint="eastAsia"/>
                <w:color w:val="000000"/>
                <w:sz w:val="18"/>
                <w:szCs w:val="18"/>
              </w:rPr>
              <w:t>版、上海证券报</w:t>
            </w:r>
            <w:r w:rsidRPr="00980BC4">
              <w:rPr>
                <w:rFonts w:ascii="Times New Roman" w:hAnsi="Times New Roman" w:cs="Times New Roman"/>
                <w:color w:val="000000"/>
                <w:sz w:val="18"/>
                <w:szCs w:val="18"/>
              </w:rPr>
              <w:t>45</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2022-11</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第十届监事会第十次会议决议公告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2022-4-9</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B047</w:t>
            </w:r>
            <w:r w:rsidRPr="00980BC4">
              <w:rPr>
                <w:rFonts w:hint="eastAsia"/>
                <w:color w:val="000000"/>
                <w:sz w:val="18"/>
                <w:szCs w:val="18"/>
              </w:rPr>
              <w:t>版、证券时报</w:t>
            </w:r>
            <w:r w:rsidRPr="00980BC4">
              <w:rPr>
                <w:rFonts w:ascii="Times New Roman" w:hAnsi="Times New Roman" w:cs="Times New Roman"/>
                <w:color w:val="000000"/>
                <w:sz w:val="18"/>
                <w:szCs w:val="18"/>
              </w:rPr>
              <w:t>B41</w:t>
            </w:r>
            <w:r w:rsidRPr="00980BC4">
              <w:rPr>
                <w:rFonts w:hint="eastAsia"/>
                <w:color w:val="000000"/>
                <w:sz w:val="18"/>
                <w:szCs w:val="18"/>
              </w:rPr>
              <w:t>版、证券日报</w:t>
            </w:r>
            <w:r w:rsidRPr="00980BC4">
              <w:rPr>
                <w:rFonts w:ascii="Times New Roman" w:hAnsi="Times New Roman" w:cs="Times New Roman"/>
                <w:color w:val="000000"/>
                <w:sz w:val="18"/>
                <w:szCs w:val="18"/>
              </w:rPr>
              <w:t>C48</w:t>
            </w:r>
            <w:r w:rsidRPr="00980BC4">
              <w:rPr>
                <w:rFonts w:hint="eastAsia"/>
                <w:color w:val="000000"/>
                <w:sz w:val="18"/>
                <w:szCs w:val="18"/>
              </w:rPr>
              <w:t>版、上海证券报</w:t>
            </w:r>
            <w:r w:rsidRPr="00980BC4">
              <w:rPr>
                <w:rFonts w:ascii="Times New Roman" w:hAnsi="Times New Roman" w:cs="Times New Roman"/>
                <w:color w:val="000000"/>
                <w:sz w:val="18"/>
                <w:szCs w:val="18"/>
              </w:rPr>
              <w:t>45</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lastRenderedPageBreak/>
              <w:t>2022-12</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2021年年度报告摘要</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2022-4-9</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B047</w:t>
            </w:r>
            <w:r w:rsidRPr="00980BC4">
              <w:rPr>
                <w:rFonts w:hint="eastAsia"/>
                <w:color w:val="000000"/>
                <w:sz w:val="18"/>
                <w:szCs w:val="18"/>
              </w:rPr>
              <w:t>版、证券时报</w:t>
            </w:r>
            <w:r w:rsidRPr="00980BC4">
              <w:rPr>
                <w:rFonts w:ascii="Times New Roman" w:hAnsi="Times New Roman" w:cs="Times New Roman"/>
                <w:color w:val="000000"/>
                <w:sz w:val="18"/>
                <w:szCs w:val="18"/>
              </w:rPr>
              <w:t>B41</w:t>
            </w:r>
            <w:r w:rsidRPr="00980BC4">
              <w:rPr>
                <w:rFonts w:hint="eastAsia"/>
                <w:color w:val="000000"/>
                <w:sz w:val="18"/>
                <w:szCs w:val="18"/>
              </w:rPr>
              <w:t>版、证券日报</w:t>
            </w:r>
            <w:r w:rsidRPr="00980BC4">
              <w:rPr>
                <w:rFonts w:ascii="Times New Roman" w:hAnsi="Times New Roman" w:cs="Times New Roman"/>
                <w:color w:val="000000"/>
                <w:sz w:val="18"/>
                <w:szCs w:val="18"/>
              </w:rPr>
              <w:t>C48</w:t>
            </w:r>
            <w:r w:rsidRPr="00980BC4">
              <w:rPr>
                <w:rFonts w:hint="eastAsia"/>
                <w:color w:val="000000"/>
                <w:sz w:val="18"/>
                <w:szCs w:val="18"/>
              </w:rPr>
              <w:t>版、上海证券报</w:t>
            </w:r>
            <w:r w:rsidRPr="00980BC4">
              <w:rPr>
                <w:rFonts w:ascii="Times New Roman" w:hAnsi="Times New Roman" w:cs="Times New Roman"/>
                <w:color w:val="000000"/>
                <w:sz w:val="18"/>
                <w:szCs w:val="18"/>
              </w:rPr>
              <w:t>45</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2022-13</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关于计提商誉减值准备的公告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2022-4-9</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B047</w:t>
            </w:r>
            <w:r w:rsidRPr="00980BC4">
              <w:rPr>
                <w:rFonts w:hint="eastAsia"/>
                <w:color w:val="000000"/>
                <w:sz w:val="18"/>
                <w:szCs w:val="18"/>
              </w:rPr>
              <w:t>版、证券时报</w:t>
            </w:r>
            <w:r w:rsidRPr="00980BC4">
              <w:rPr>
                <w:rFonts w:ascii="Times New Roman" w:hAnsi="Times New Roman" w:cs="Times New Roman"/>
                <w:color w:val="000000"/>
                <w:sz w:val="18"/>
                <w:szCs w:val="18"/>
              </w:rPr>
              <w:t>B41</w:t>
            </w:r>
            <w:r w:rsidRPr="00980BC4">
              <w:rPr>
                <w:rFonts w:hint="eastAsia"/>
                <w:color w:val="000000"/>
                <w:sz w:val="18"/>
                <w:szCs w:val="18"/>
              </w:rPr>
              <w:t>版、证券日报</w:t>
            </w:r>
            <w:r w:rsidRPr="00980BC4">
              <w:rPr>
                <w:rFonts w:ascii="Times New Roman" w:hAnsi="Times New Roman" w:cs="Times New Roman"/>
                <w:color w:val="000000"/>
                <w:sz w:val="18"/>
                <w:szCs w:val="18"/>
              </w:rPr>
              <w:t>C48</w:t>
            </w:r>
            <w:r w:rsidRPr="00980BC4">
              <w:rPr>
                <w:rFonts w:hint="eastAsia"/>
                <w:color w:val="000000"/>
                <w:sz w:val="18"/>
                <w:szCs w:val="18"/>
              </w:rPr>
              <w:t>版、上海证券报</w:t>
            </w:r>
            <w:r w:rsidRPr="00980BC4">
              <w:rPr>
                <w:rFonts w:ascii="Times New Roman" w:hAnsi="Times New Roman" w:cs="Times New Roman"/>
                <w:color w:val="000000"/>
                <w:sz w:val="18"/>
                <w:szCs w:val="18"/>
              </w:rPr>
              <w:t>45</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2022-14</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2022年第一季度报告全文</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2022-4-30</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B146</w:t>
            </w:r>
            <w:r w:rsidRPr="00980BC4">
              <w:rPr>
                <w:rFonts w:hint="eastAsia"/>
                <w:color w:val="000000"/>
                <w:sz w:val="18"/>
                <w:szCs w:val="18"/>
              </w:rPr>
              <w:t>版、证券时报</w:t>
            </w:r>
            <w:r w:rsidRPr="00980BC4">
              <w:rPr>
                <w:rFonts w:ascii="Times New Roman" w:hAnsi="Times New Roman" w:cs="Times New Roman"/>
                <w:color w:val="000000"/>
                <w:sz w:val="18"/>
                <w:szCs w:val="18"/>
              </w:rPr>
              <w:t>B280</w:t>
            </w:r>
            <w:r w:rsidRPr="00980BC4">
              <w:rPr>
                <w:rFonts w:hint="eastAsia"/>
                <w:color w:val="000000"/>
                <w:sz w:val="18"/>
                <w:szCs w:val="18"/>
              </w:rPr>
              <w:t>版、证券日报</w:t>
            </w:r>
            <w:r w:rsidRPr="00980BC4">
              <w:rPr>
                <w:rFonts w:ascii="Times New Roman" w:hAnsi="Times New Roman" w:cs="Times New Roman"/>
                <w:color w:val="000000"/>
                <w:sz w:val="18"/>
                <w:szCs w:val="18"/>
              </w:rPr>
              <w:t>C94</w:t>
            </w:r>
            <w:r w:rsidRPr="00980BC4">
              <w:rPr>
                <w:rFonts w:hint="eastAsia"/>
                <w:color w:val="000000"/>
                <w:sz w:val="18"/>
                <w:szCs w:val="18"/>
              </w:rPr>
              <w:t>版、上海证券报</w:t>
            </w:r>
            <w:r w:rsidRPr="00980BC4">
              <w:rPr>
                <w:rFonts w:ascii="Times New Roman" w:hAnsi="Times New Roman" w:cs="Times New Roman"/>
                <w:color w:val="000000"/>
                <w:sz w:val="18"/>
                <w:szCs w:val="18"/>
              </w:rPr>
              <w:t>114</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2022-15</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第十届董事会第十四次会议决议公告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2022-5-12</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B025</w:t>
            </w:r>
            <w:r w:rsidRPr="00980BC4">
              <w:rPr>
                <w:rFonts w:hint="eastAsia"/>
                <w:color w:val="000000"/>
                <w:sz w:val="18"/>
                <w:szCs w:val="18"/>
              </w:rPr>
              <w:t>版、证券时报</w:t>
            </w:r>
            <w:r w:rsidRPr="00980BC4">
              <w:rPr>
                <w:rFonts w:ascii="Times New Roman" w:hAnsi="Times New Roman" w:cs="Times New Roman"/>
                <w:color w:val="000000"/>
                <w:sz w:val="18"/>
                <w:szCs w:val="18"/>
              </w:rPr>
              <w:t>B25</w:t>
            </w:r>
            <w:r w:rsidRPr="00980BC4">
              <w:rPr>
                <w:rFonts w:hint="eastAsia"/>
                <w:color w:val="000000"/>
                <w:sz w:val="18"/>
                <w:szCs w:val="18"/>
              </w:rPr>
              <w:t>版、证券日报</w:t>
            </w:r>
            <w:r w:rsidRPr="00980BC4">
              <w:rPr>
                <w:rFonts w:ascii="Times New Roman" w:hAnsi="Times New Roman" w:cs="Times New Roman"/>
                <w:color w:val="000000"/>
                <w:sz w:val="18"/>
                <w:szCs w:val="18"/>
              </w:rPr>
              <w:t>D7</w:t>
            </w:r>
            <w:r w:rsidRPr="00980BC4">
              <w:rPr>
                <w:rFonts w:hint="eastAsia"/>
                <w:color w:val="000000"/>
                <w:sz w:val="18"/>
                <w:szCs w:val="18"/>
              </w:rPr>
              <w:t>版、上海证券报</w:t>
            </w:r>
            <w:r w:rsidRPr="00980BC4">
              <w:rPr>
                <w:rFonts w:ascii="Times New Roman" w:hAnsi="Times New Roman" w:cs="Times New Roman"/>
                <w:color w:val="000000"/>
                <w:sz w:val="18"/>
                <w:szCs w:val="18"/>
              </w:rPr>
              <w:t>46</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2022-16</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关于停止开展食糖类业务的公告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2022-5-12</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B025</w:t>
            </w:r>
            <w:r w:rsidRPr="00980BC4">
              <w:rPr>
                <w:rFonts w:hint="eastAsia"/>
                <w:color w:val="000000"/>
                <w:sz w:val="18"/>
                <w:szCs w:val="18"/>
              </w:rPr>
              <w:t>版、证券时报</w:t>
            </w:r>
            <w:r w:rsidRPr="00980BC4">
              <w:rPr>
                <w:rFonts w:ascii="Times New Roman" w:hAnsi="Times New Roman" w:cs="Times New Roman"/>
                <w:color w:val="000000"/>
                <w:sz w:val="18"/>
                <w:szCs w:val="18"/>
              </w:rPr>
              <w:t>B25</w:t>
            </w:r>
            <w:r w:rsidRPr="00980BC4">
              <w:rPr>
                <w:rFonts w:hint="eastAsia"/>
                <w:color w:val="000000"/>
                <w:sz w:val="18"/>
                <w:szCs w:val="18"/>
              </w:rPr>
              <w:t>版、证券日报</w:t>
            </w:r>
            <w:r w:rsidRPr="00980BC4">
              <w:rPr>
                <w:rFonts w:ascii="Times New Roman" w:hAnsi="Times New Roman" w:cs="Times New Roman"/>
                <w:color w:val="000000"/>
                <w:sz w:val="18"/>
                <w:szCs w:val="18"/>
              </w:rPr>
              <w:t>D7</w:t>
            </w:r>
            <w:r w:rsidRPr="00980BC4">
              <w:rPr>
                <w:rFonts w:hint="eastAsia"/>
                <w:color w:val="000000"/>
                <w:sz w:val="18"/>
                <w:szCs w:val="18"/>
              </w:rPr>
              <w:t>版、上海证券报</w:t>
            </w:r>
            <w:r w:rsidRPr="00980BC4">
              <w:rPr>
                <w:rFonts w:ascii="Times New Roman" w:hAnsi="Times New Roman" w:cs="Times New Roman"/>
                <w:color w:val="000000"/>
                <w:sz w:val="18"/>
                <w:szCs w:val="18"/>
              </w:rPr>
              <w:t>46</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2022-17</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第十届董事会第十五次会议决议公告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2022-5-21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B079</w:t>
            </w:r>
            <w:r w:rsidRPr="00980BC4">
              <w:rPr>
                <w:rFonts w:hint="eastAsia"/>
                <w:color w:val="000000"/>
                <w:sz w:val="18"/>
                <w:szCs w:val="18"/>
              </w:rPr>
              <w:t>版、证券时报</w:t>
            </w:r>
            <w:r w:rsidRPr="00980BC4">
              <w:rPr>
                <w:rFonts w:ascii="Times New Roman" w:hAnsi="Times New Roman" w:cs="Times New Roman"/>
                <w:color w:val="000000"/>
                <w:sz w:val="18"/>
                <w:szCs w:val="18"/>
              </w:rPr>
              <w:t>B112</w:t>
            </w:r>
            <w:r w:rsidRPr="00980BC4">
              <w:rPr>
                <w:rFonts w:hint="eastAsia"/>
                <w:color w:val="000000"/>
                <w:sz w:val="18"/>
                <w:szCs w:val="18"/>
              </w:rPr>
              <w:t>版、证券日报</w:t>
            </w:r>
            <w:r w:rsidRPr="00980BC4">
              <w:rPr>
                <w:rFonts w:ascii="Times New Roman" w:hAnsi="Times New Roman" w:cs="Times New Roman"/>
                <w:color w:val="000000"/>
                <w:sz w:val="18"/>
                <w:szCs w:val="18"/>
              </w:rPr>
              <w:t>C51</w:t>
            </w:r>
            <w:r w:rsidRPr="00980BC4">
              <w:rPr>
                <w:rFonts w:hint="eastAsia"/>
                <w:color w:val="000000"/>
                <w:sz w:val="18"/>
                <w:szCs w:val="18"/>
              </w:rPr>
              <w:t>版、上海证券报</w:t>
            </w:r>
            <w:r w:rsidRPr="00980BC4">
              <w:rPr>
                <w:rFonts w:ascii="Times New Roman" w:hAnsi="Times New Roman" w:cs="Times New Roman"/>
                <w:color w:val="000000"/>
                <w:sz w:val="18"/>
                <w:szCs w:val="18"/>
              </w:rPr>
              <w:t>91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2022-18</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第十届监事会第十二次会议决议公告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2022-5-21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B079</w:t>
            </w:r>
            <w:r w:rsidRPr="00980BC4">
              <w:rPr>
                <w:rFonts w:hint="eastAsia"/>
                <w:color w:val="000000"/>
                <w:sz w:val="18"/>
                <w:szCs w:val="18"/>
              </w:rPr>
              <w:t>版、证券时报</w:t>
            </w:r>
            <w:r w:rsidRPr="00980BC4">
              <w:rPr>
                <w:rFonts w:ascii="Times New Roman" w:hAnsi="Times New Roman" w:cs="Times New Roman"/>
                <w:color w:val="000000"/>
                <w:sz w:val="18"/>
                <w:szCs w:val="18"/>
              </w:rPr>
              <w:t>B112</w:t>
            </w:r>
            <w:r w:rsidRPr="00980BC4">
              <w:rPr>
                <w:rFonts w:hint="eastAsia"/>
                <w:color w:val="000000"/>
                <w:sz w:val="18"/>
                <w:szCs w:val="18"/>
              </w:rPr>
              <w:t>版、证券日报</w:t>
            </w:r>
            <w:r w:rsidRPr="00980BC4">
              <w:rPr>
                <w:rFonts w:ascii="Times New Roman" w:hAnsi="Times New Roman" w:cs="Times New Roman"/>
                <w:color w:val="000000"/>
                <w:sz w:val="18"/>
                <w:szCs w:val="18"/>
              </w:rPr>
              <w:t>C51</w:t>
            </w:r>
            <w:r w:rsidRPr="00980BC4">
              <w:rPr>
                <w:rFonts w:hint="eastAsia"/>
                <w:color w:val="000000"/>
                <w:sz w:val="18"/>
                <w:szCs w:val="18"/>
              </w:rPr>
              <w:t>版、上海证券报</w:t>
            </w:r>
            <w:r w:rsidRPr="00980BC4">
              <w:rPr>
                <w:rFonts w:ascii="Times New Roman" w:hAnsi="Times New Roman" w:cs="Times New Roman"/>
                <w:color w:val="000000"/>
                <w:sz w:val="18"/>
                <w:szCs w:val="18"/>
              </w:rPr>
              <w:t>91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2022-19</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关于公司2021年限制性股票激励计划首次授予第一个解除限售期解除限售条件成就的公告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2022-5-21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B079</w:t>
            </w:r>
            <w:r w:rsidRPr="00980BC4">
              <w:rPr>
                <w:rFonts w:hint="eastAsia"/>
                <w:color w:val="000000"/>
                <w:sz w:val="18"/>
                <w:szCs w:val="18"/>
              </w:rPr>
              <w:t>版、证券时报</w:t>
            </w:r>
            <w:r w:rsidRPr="00980BC4">
              <w:rPr>
                <w:rFonts w:ascii="Times New Roman" w:hAnsi="Times New Roman" w:cs="Times New Roman"/>
                <w:color w:val="000000"/>
                <w:sz w:val="18"/>
                <w:szCs w:val="18"/>
              </w:rPr>
              <w:t>B112</w:t>
            </w:r>
            <w:r w:rsidRPr="00980BC4">
              <w:rPr>
                <w:rFonts w:hint="eastAsia"/>
                <w:color w:val="000000"/>
                <w:sz w:val="18"/>
                <w:szCs w:val="18"/>
              </w:rPr>
              <w:t>版、证券日报</w:t>
            </w:r>
            <w:r w:rsidRPr="00980BC4">
              <w:rPr>
                <w:rFonts w:ascii="Times New Roman" w:hAnsi="Times New Roman" w:cs="Times New Roman"/>
                <w:color w:val="000000"/>
                <w:sz w:val="18"/>
                <w:szCs w:val="18"/>
              </w:rPr>
              <w:t>C51</w:t>
            </w:r>
            <w:r w:rsidRPr="00980BC4">
              <w:rPr>
                <w:rFonts w:hint="eastAsia"/>
                <w:color w:val="000000"/>
                <w:sz w:val="18"/>
                <w:szCs w:val="18"/>
              </w:rPr>
              <w:t>版、上海证券报</w:t>
            </w:r>
            <w:r w:rsidRPr="00980BC4">
              <w:rPr>
                <w:rFonts w:ascii="Times New Roman" w:hAnsi="Times New Roman" w:cs="Times New Roman"/>
                <w:color w:val="000000"/>
                <w:sz w:val="18"/>
                <w:szCs w:val="18"/>
              </w:rPr>
              <w:t>91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2022-20</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关于回购注销公司</w:t>
            </w:r>
            <w:r w:rsidRPr="00980BC4">
              <w:rPr>
                <w:rFonts w:ascii="Times New Roman" w:hAnsi="Times New Roman" w:cs="Times New Roman"/>
                <w:color w:val="000000"/>
                <w:sz w:val="18"/>
                <w:szCs w:val="18"/>
              </w:rPr>
              <w:t>2021</w:t>
            </w:r>
            <w:r w:rsidRPr="00980BC4">
              <w:rPr>
                <w:rFonts w:hint="eastAsia"/>
                <w:color w:val="000000"/>
                <w:sz w:val="18"/>
                <w:szCs w:val="18"/>
              </w:rPr>
              <w:t>年限制性股票激励计划部分首次授予限制性股票的公告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2022-5-21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B079</w:t>
            </w:r>
            <w:r w:rsidRPr="00980BC4">
              <w:rPr>
                <w:rFonts w:hint="eastAsia"/>
                <w:color w:val="000000"/>
                <w:sz w:val="18"/>
                <w:szCs w:val="18"/>
              </w:rPr>
              <w:t>版、证券时报</w:t>
            </w:r>
            <w:r w:rsidRPr="00980BC4">
              <w:rPr>
                <w:rFonts w:ascii="Times New Roman" w:hAnsi="Times New Roman" w:cs="Times New Roman"/>
                <w:color w:val="000000"/>
                <w:sz w:val="18"/>
                <w:szCs w:val="18"/>
              </w:rPr>
              <w:t>B112</w:t>
            </w:r>
            <w:r w:rsidRPr="00980BC4">
              <w:rPr>
                <w:rFonts w:hint="eastAsia"/>
                <w:color w:val="000000"/>
                <w:sz w:val="18"/>
                <w:szCs w:val="18"/>
              </w:rPr>
              <w:t>版、证券日报</w:t>
            </w:r>
            <w:r w:rsidRPr="00980BC4">
              <w:rPr>
                <w:rFonts w:ascii="Times New Roman" w:hAnsi="Times New Roman" w:cs="Times New Roman"/>
                <w:color w:val="000000"/>
                <w:sz w:val="18"/>
                <w:szCs w:val="18"/>
              </w:rPr>
              <w:t>C51</w:t>
            </w:r>
            <w:r w:rsidRPr="00980BC4">
              <w:rPr>
                <w:rFonts w:hint="eastAsia"/>
                <w:color w:val="000000"/>
                <w:sz w:val="18"/>
                <w:szCs w:val="18"/>
              </w:rPr>
              <w:t>版、上海证券报</w:t>
            </w:r>
            <w:r w:rsidRPr="00980BC4">
              <w:rPr>
                <w:rFonts w:ascii="Times New Roman" w:hAnsi="Times New Roman" w:cs="Times New Roman"/>
                <w:color w:val="000000"/>
                <w:sz w:val="18"/>
                <w:szCs w:val="18"/>
              </w:rPr>
              <w:t>91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2022-21</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关于控股股东增持股份计划实施完成的公告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2022-5-25</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B020</w:t>
            </w:r>
            <w:r w:rsidRPr="00980BC4">
              <w:rPr>
                <w:rFonts w:hint="eastAsia"/>
                <w:color w:val="000000"/>
                <w:sz w:val="18"/>
                <w:szCs w:val="18"/>
              </w:rPr>
              <w:t>版、证券时报</w:t>
            </w:r>
            <w:r w:rsidRPr="00980BC4">
              <w:rPr>
                <w:rFonts w:ascii="Times New Roman" w:hAnsi="Times New Roman" w:cs="Times New Roman"/>
                <w:color w:val="000000"/>
                <w:sz w:val="18"/>
                <w:szCs w:val="18"/>
              </w:rPr>
              <w:t>B82</w:t>
            </w:r>
            <w:r w:rsidRPr="00980BC4">
              <w:rPr>
                <w:rFonts w:hint="eastAsia"/>
                <w:color w:val="000000"/>
                <w:sz w:val="18"/>
                <w:szCs w:val="18"/>
              </w:rPr>
              <w:t>版、证券日报</w:t>
            </w:r>
            <w:r w:rsidRPr="00980BC4">
              <w:rPr>
                <w:rFonts w:ascii="Times New Roman" w:hAnsi="Times New Roman" w:cs="Times New Roman"/>
                <w:color w:val="000000"/>
                <w:sz w:val="18"/>
                <w:szCs w:val="18"/>
              </w:rPr>
              <w:t>D39</w:t>
            </w:r>
            <w:r w:rsidRPr="00980BC4">
              <w:rPr>
                <w:rFonts w:hint="eastAsia"/>
                <w:color w:val="000000"/>
                <w:sz w:val="18"/>
                <w:szCs w:val="18"/>
              </w:rPr>
              <w:t>版、上海证券报</w:t>
            </w:r>
            <w:r w:rsidRPr="00980BC4">
              <w:rPr>
                <w:rFonts w:ascii="Times New Roman" w:hAnsi="Times New Roman" w:cs="Times New Roman"/>
                <w:color w:val="000000"/>
                <w:sz w:val="18"/>
                <w:szCs w:val="18"/>
              </w:rPr>
              <w:t>39</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2022-22</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关于公司2021年限制性股票激励计划首次授予第一个解除限售期解除限售股份上市流通的提示性公告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2022-5-26</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B029</w:t>
            </w:r>
            <w:r w:rsidRPr="00980BC4">
              <w:rPr>
                <w:rFonts w:hint="eastAsia"/>
                <w:color w:val="000000"/>
                <w:sz w:val="18"/>
                <w:szCs w:val="18"/>
              </w:rPr>
              <w:t>版、证券时报</w:t>
            </w:r>
            <w:r w:rsidRPr="00980BC4">
              <w:rPr>
                <w:rFonts w:ascii="Times New Roman" w:hAnsi="Times New Roman" w:cs="Times New Roman"/>
                <w:color w:val="000000"/>
                <w:sz w:val="18"/>
                <w:szCs w:val="18"/>
              </w:rPr>
              <w:t>B51</w:t>
            </w:r>
            <w:r w:rsidRPr="00980BC4">
              <w:rPr>
                <w:rFonts w:hint="eastAsia"/>
                <w:color w:val="000000"/>
                <w:sz w:val="18"/>
                <w:szCs w:val="18"/>
              </w:rPr>
              <w:t>版、证券日报</w:t>
            </w:r>
            <w:r w:rsidRPr="00980BC4">
              <w:rPr>
                <w:rFonts w:ascii="Times New Roman" w:hAnsi="Times New Roman" w:cs="Times New Roman"/>
                <w:color w:val="000000"/>
                <w:sz w:val="18"/>
                <w:szCs w:val="18"/>
              </w:rPr>
              <w:t>D26</w:t>
            </w:r>
            <w:r w:rsidRPr="00980BC4">
              <w:rPr>
                <w:rFonts w:hint="eastAsia"/>
                <w:color w:val="000000"/>
                <w:sz w:val="18"/>
                <w:szCs w:val="18"/>
              </w:rPr>
              <w:t>版、上海证券报</w:t>
            </w:r>
            <w:r w:rsidRPr="00980BC4">
              <w:rPr>
                <w:rFonts w:ascii="Times New Roman" w:hAnsi="Times New Roman" w:cs="Times New Roman"/>
                <w:color w:val="000000"/>
                <w:sz w:val="18"/>
                <w:szCs w:val="18"/>
              </w:rPr>
              <w:t>29</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2022-23</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第十届董事会第十六次会议决议公告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2022-6-2</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B044</w:t>
            </w:r>
            <w:r w:rsidRPr="00980BC4">
              <w:rPr>
                <w:rFonts w:hint="eastAsia"/>
                <w:color w:val="000000"/>
                <w:sz w:val="18"/>
                <w:szCs w:val="18"/>
              </w:rPr>
              <w:t>版、证券时报</w:t>
            </w:r>
            <w:r w:rsidRPr="00980BC4">
              <w:rPr>
                <w:rFonts w:ascii="Times New Roman" w:hAnsi="Times New Roman" w:cs="Times New Roman"/>
                <w:color w:val="000000"/>
                <w:sz w:val="18"/>
                <w:szCs w:val="18"/>
              </w:rPr>
              <w:t>B47</w:t>
            </w:r>
            <w:r w:rsidRPr="00980BC4">
              <w:rPr>
                <w:rFonts w:hint="eastAsia"/>
                <w:color w:val="000000"/>
                <w:sz w:val="18"/>
                <w:szCs w:val="18"/>
              </w:rPr>
              <w:t>版、证券日报</w:t>
            </w:r>
            <w:r w:rsidRPr="00980BC4">
              <w:rPr>
                <w:rFonts w:ascii="Times New Roman" w:hAnsi="Times New Roman" w:cs="Times New Roman"/>
                <w:color w:val="000000"/>
                <w:sz w:val="18"/>
                <w:szCs w:val="18"/>
              </w:rPr>
              <w:t>D4</w:t>
            </w:r>
            <w:r w:rsidRPr="00980BC4">
              <w:rPr>
                <w:rFonts w:hint="eastAsia"/>
                <w:color w:val="000000"/>
                <w:sz w:val="18"/>
                <w:szCs w:val="18"/>
              </w:rPr>
              <w:t>版、上海证券报</w:t>
            </w:r>
            <w:r w:rsidRPr="00980BC4">
              <w:rPr>
                <w:rFonts w:ascii="Times New Roman" w:hAnsi="Times New Roman" w:cs="Times New Roman"/>
                <w:color w:val="000000"/>
                <w:sz w:val="18"/>
                <w:szCs w:val="18"/>
              </w:rPr>
              <w:t>96</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2022-24</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关于参股公司首次公开发行股票并在科创板上市申请获上海证券交易所受理的公告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2022-6-14</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A10</w:t>
            </w:r>
            <w:r w:rsidRPr="00980BC4">
              <w:rPr>
                <w:rFonts w:hint="eastAsia"/>
                <w:color w:val="000000"/>
                <w:sz w:val="18"/>
                <w:szCs w:val="18"/>
              </w:rPr>
              <w:t>版、证券时报</w:t>
            </w:r>
            <w:r w:rsidRPr="00980BC4">
              <w:rPr>
                <w:rFonts w:ascii="Times New Roman" w:hAnsi="Times New Roman" w:cs="Times New Roman"/>
                <w:color w:val="000000"/>
                <w:sz w:val="18"/>
                <w:szCs w:val="18"/>
              </w:rPr>
              <w:t>B34</w:t>
            </w:r>
            <w:r w:rsidRPr="00980BC4">
              <w:rPr>
                <w:rFonts w:hint="eastAsia"/>
                <w:color w:val="000000"/>
                <w:sz w:val="18"/>
                <w:szCs w:val="18"/>
              </w:rPr>
              <w:t>版、证券日报</w:t>
            </w:r>
            <w:r w:rsidRPr="00980BC4">
              <w:rPr>
                <w:rFonts w:ascii="Times New Roman" w:hAnsi="Times New Roman" w:cs="Times New Roman"/>
                <w:color w:val="000000"/>
                <w:sz w:val="18"/>
                <w:szCs w:val="18"/>
              </w:rPr>
              <w:t>D20</w:t>
            </w:r>
            <w:r w:rsidRPr="00980BC4">
              <w:rPr>
                <w:rFonts w:hint="eastAsia"/>
                <w:color w:val="000000"/>
                <w:sz w:val="18"/>
                <w:szCs w:val="18"/>
              </w:rPr>
              <w:t>版、上海证券报</w:t>
            </w:r>
            <w:r w:rsidRPr="00980BC4">
              <w:rPr>
                <w:rFonts w:ascii="Times New Roman" w:hAnsi="Times New Roman" w:cs="Times New Roman"/>
                <w:color w:val="000000"/>
                <w:sz w:val="18"/>
                <w:szCs w:val="18"/>
              </w:rPr>
              <w:t>31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2022-25</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关于部分高级管理人员减持股份的预披露公告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20226-14</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A10</w:t>
            </w:r>
            <w:r w:rsidRPr="00980BC4">
              <w:rPr>
                <w:rFonts w:hint="eastAsia"/>
                <w:color w:val="000000"/>
                <w:sz w:val="18"/>
                <w:szCs w:val="18"/>
              </w:rPr>
              <w:t>版、证券时报</w:t>
            </w:r>
            <w:r w:rsidRPr="00980BC4">
              <w:rPr>
                <w:rFonts w:ascii="Times New Roman" w:hAnsi="Times New Roman" w:cs="Times New Roman"/>
                <w:color w:val="000000"/>
                <w:sz w:val="18"/>
                <w:szCs w:val="18"/>
              </w:rPr>
              <w:t>B82</w:t>
            </w:r>
            <w:r w:rsidRPr="00980BC4">
              <w:rPr>
                <w:rFonts w:hint="eastAsia"/>
                <w:color w:val="000000"/>
                <w:sz w:val="18"/>
                <w:szCs w:val="18"/>
              </w:rPr>
              <w:t>版、证券日报</w:t>
            </w:r>
            <w:r w:rsidRPr="00980BC4">
              <w:rPr>
                <w:rFonts w:ascii="Times New Roman" w:hAnsi="Times New Roman" w:cs="Times New Roman"/>
                <w:color w:val="000000"/>
                <w:sz w:val="18"/>
                <w:szCs w:val="18"/>
              </w:rPr>
              <w:t>D31</w:t>
            </w:r>
            <w:r w:rsidRPr="00980BC4">
              <w:rPr>
                <w:rFonts w:hint="eastAsia"/>
                <w:color w:val="000000"/>
                <w:sz w:val="18"/>
                <w:szCs w:val="18"/>
              </w:rPr>
              <w:t>版、上海证券报</w:t>
            </w:r>
            <w:r w:rsidRPr="00980BC4">
              <w:rPr>
                <w:rFonts w:ascii="Times New Roman" w:hAnsi="Times New Roman" w:cs="Times New Roman"/>
                <w:color w:val="000000"/>
                <w:sz w:val="18"/>
                <w:szCs w:val="18"/>
              </w:rPr>
              <w:t>31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2022-26</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2021年度股东大会决议公告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2022-6-24</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B050</w:t>
            </w:r>
            <w:r w:rsidRPr="00980BC4">
              <w:rPr>
                <w:rFonts w:hint="eastAsia"/>
                <w:color w:val="000000"/>
                <w:sz w:val="18"/>
                <w:szCs w:val="18"/>
              </w:rPr>
              <w:t>版、证券时报</w:t>
            </w:r>
            <w:r w:rsidRPr="00980BC4">
              <w:rPr>
                <w:rFonts w:ascii="Times New Roman" w:hAnsi="Times New Roman" w:cs="Times New Roman"/>
                <w:color w:val="000000"/>
                <w:sz w:val="18"/>
                <w:szCs w:val="18"/>
              </w:rPr>
              <w:t>B53</w:t>
            </w:r>
            <w:r w:rsidRPr="00980BC4">
              <w:rPr>
                <w:rFonts w:hint="eastAsia"/>
                <w:color w:val="000000"/>
                <w:sz w:val="18"/>
                <w:szCs w:val="18"/>
              </w:rPr>
              <w:t>版、证券日报</w:t>
            </w:r>
            <w:r w:rsidRPr="00980BC4">
              <w:rPr>
                <w:rFonts w:ascii="Times New Roman" w:hAnsi="Times New Roman" w:cs="Times New Roman"/>
                <w:color w:val="000000"/>
                <w:sz w:val="18"/>
                <w:szCs w:val="18"/>
              </w:rPr>
              <w:t>D26</w:t>
            </w:r>
            <w:r w:rsidRPr="00980BC4">
              <w:rPr>
                <w:rFonts w:hint="eastAsia"/>
                <w:color w:val="000000"/>
                <w:sz w:val="18"/>
                <w:szCs w:val="18"/>
              </w:rPr>
              <w:t>版、上海证券报</w:t>
            </w:r>
            <w:r w:rsidRPr="00980BC4">
              <w:rPr>
                <w:rFonts w:ascii="Times New Roman" w:hAnsi="Times New Roman" w:cs="Times New Roman"/>
                <w:color w:val="000000"/>
                <w:sz w:val="18"/>
                <w:szCs w:val="18"/>
              </w:rPr>
              <w:t>67</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lastRenderedPageBreak/>
              <w:t>2022-27</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关于回购注销部分限制性股票减少注册资本暨通知债权人的公告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2022-6-24</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B050</w:t>
            </w:r>
            <w:r w:rsidRPr="00980BC4">
              <w:rPr>
                <w:rFonts w:hint="eastAsia"/>
                <w:color w:val="000000"/>
                <w:sz w:val="18"/>
                <w:szCs w:val="18"/>
              </w:rPr>
              <w:t>版、证券时报</w:t>
            </w:r>
            <w:r w:rsidRPr="00980BC4">
              <w:rPr>
                <w:rFonts w:ascii="Times New Roman" w:hAnsi="Times New Roman" w:cs="Times New Roman"/>
                <w:color w:val="000000"/>
                <w:sz w:val="18"/>
                <w:szCs w:val="18"/>
              </w:rPr>
              <w:t>B53</w:t>
            </w:r>
            <w:r w:rsidRPr="00980BC4">
              <w:rPr>
                <w:rFonts w:hint="eastAsia"/>
                <w:color w:val="000000"/>
                <w:sz w:val="18"/>
                <w:szCs w:val="18"/>
              </w:rPr>
              <w:t>版、证券日报</w:t>
            </w:r>
            <w:r w:rsidRPr="00980BC4">
              <w:rPr>
                <w:rFonts w:ascii="Times New Roman" w:hAnsi="Times New Roman" w:cs="Times New Roman"/>
                <w:color w:val="000000"/>
                <w:sz w:val="18"/>
                <w:szCs w:val="18"/>
              </w:rPr>
              <w:t>D26</w:t>
            </w:r>
            <w:r w:rsidRPr="00980BC4">
              <w:rPr>
                <w:rFonts w:hint="eastAsia"/>
                <w:color w:val="000000"/>
                <w:sz w:val="18"/>
                <w:szCs w:val="18"/>
              </w:rPr>
              <w:t>版、上海证券报</w:t>
            </w:r>
            <w:r w:rsidRPr="00980BC4">
              <w:rPr>
                <w:rFonts w:ascii="Times New Roman" w:hAnsi="Times New Roman" w:cs="Times New Roman"/>
                <w:color w:val="000000"/>
                <w:sz w:val="18"/>
                <w:szCs w:val="18"/>
              </w:rPr>
              <w:t>67</w:t>
            </w:r>
            <w:r w:rsidRPr="00980BC4">
              <w:rPr>
                <w:rFonts w:hint="eastAsia"/>
                <w:color w:val="000000"/>
                <w:sz w:val="18"/>
                <w:szCs w:val="18"/>
              </w:rPr>
              <w:t>版、巨潮资讯网</w:t>
            </w:r>
          </w:p>
        </w:tc>
      </w:tr>
      <w:tr w:rsidR="002A3304" w:rsidRPr="00980BC4" w:rsidTr="009B58C9">
        <w:trPr>
          <w:divId w:val="986201869"/>
          <w:trHeight w:val="1010"/>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2022-28</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2022年半年度业绩预告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2022-7-15</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B005</w:t>
            </w:r>
            <w:r w:rsidRPr="00980BC4">
              <w:rPr>
                <w:rFonts w:hint="eastAsia"/>
                <w:color w:val="000000"/>
                <w:sz w:val="18"/>
                <w:szCs w:val="18"/>
              </w:rPr>
              <w:t>版、证券时报</w:t>
            </w:r>
            <w:r w:rsidRPr="00980BC4">
              <w:rPr>
                <w:rFonts w:ascii="Times New Roman" w:hAnsi="Times New Roman" w:cs="Times New Roman"/>
                <w:color w:val="000000"/>
                <w:sz w:val="18"/>
                <w:szCs w:val="18"/>
              </w:rPr>
              <w:t>B74</w:t>
            </w:r>
            <w:r w:rsidRPr="00980BC4">
              <w:rPr>
                <w:rFonts w:hint="eastAsia"/>
                <w:color w:val="000000"/>
                <w:sz w:val="18"/>
                <w:szCs w:val="18"/>
              </w:rPr>
              <w:t>版、证券日报</w:t>
            </w:r>
            <w:r w:rsidRPr="00980BC4">
              <w:rPr>
                <w:rFonts w:ascii="Times New Roman" w:hAnsi="Times New Roman" w:cs="Times New Roman"/>
                <w:color w:val="000000"/>
                <w:sz w:val="18"/>
                <w:szCs w:val="18"/>
              </w:rPr>
              <w:t>D14</w:t>
            </w:r>
            <w:r w:rsidRPr="00980BC4">
              <w:rPr>
                <w:rFonts w:hint="eastAsia"/>
                <w:color w:val="000000"/>
                <w:sz w:val="18"/>
                <w:szCs w:val="18"/>
              </w:rPr>
              <w:t>版、上海证券报</w:t>
            </w:r>
            <w:r w:rsidRPr="00980BC4">
              <w:rPr>
                <w:rFonts w:ascii="Times New Roman" w:hAnsi="Times New Roman" w:cs="Times New Roman"/>
                <w:color w:val="000000"/>
                <w:sz w:val="18"/>
                <w:szCs w:val="18"/>
              </w:rPr>
              <w:t>63</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2022-29</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第十届董事会第十七次会议决议公告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2022-7-30</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B069</w:t>
            </w:r>
            <w:r w:rsidRPr="00980BC4">
              <w:rPr>
                <w:rFonts w:hint="eastAsia"/>
                <w:color w:val="000000"/>
                <w:sz w:val="18"/>
                <w:szCs w:val="18"/>
              </w:rPr>
              <w:t>版、证券时报</w:t>
            </w:r>
            <w:r w:rsidRPr="00980BC4">
              <w:rPr>
                <w:rFonts w:ascii="Times New Roman" w:hAnsi="Times New Roman" w:cs="Times New Roman"/>
                <w:color w:val="000000"/>
                <w:sz w:val="18"/>
                <w:szCs w:val="18"/>
              </w:rPr>
              <w:t>B80</w:t>
            </w:r>
            <w:r w:rsidRPr="00980BC4">
              <w:rPr>
                <w:rFonts w:hint="eastAsia"/>
                <w:color w:val="000000"/>
                <w:sz w:val="18"/>
                <w:szCs w:val="18"/>
              </w:rPr>
              <w:t>版、证券日报</w:t>
            </w:r>
            <w:r w:rsidRPr="00980BC4">
              <w:rPr>
                <w:rFonts w:ascii="Times New Roman" w:hAnsi="Times New Roman" w:cs="Times New Roman"/>
                <w:color w:val="000000"/>
                <w:sz w:val="18"/>
                <w:szCs w:val="18"/>
              </w:rPr>
              <w:t>C34</w:t>
            </w:r>
            <w:r w:rsidRPr="00980BC4">
              <w:rPr>
                <w:rFonts w:hint="eastAsia"/>
                <w:color w:val="000000"/>
                <w:sz w:val="18"/>
                <w:szCs w:val="18"/>
              </w:rPr>
              <w:t>版、上海证券报</w:t>
            </w:r>
            <w:r w:rsidRPr="00980BC4">
              <w:rPr>
                <w:rFonts w:ascii="Times New Roman" w:hAnsi="Times New Roman" w:cs="Times New Roman"/>
                <w:color w:val="000000"/>
                <w:sz w:val="18"/>
                <w:szCs w:val="18"/>
              </w:rPr>
              <w:t>8</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2022-30</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独立董事提名人声明（钟刚）</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2022-7-30</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B069</w:t>
            </w:r>
            <w:r w:rsidRPr="00980BC4">
              <w:rPr>
                <w:rFonts w:hint="eastAsia"/>
                <w:color w:val="000000"/>
                <w:sz w:val="18"/>
                <w:szCs w:val="18"/>
              </w:rPr>
              <w:t>版、证券时报</w:t>
            </w:r>
            <w:r w:rsidRPr="00980BC4">
              <w:rPr>
                <w:rFonts w:ascii="Times New Roman" w:hAnsi="Times New Roman" w:cs="Times New Roman"/>
                <w:color w:val="000000"/>
                <w:sz w:val="18"/>
                <w:szCs w:val="18"/>
              </w:rPr>
              <w:t>B80</w:t>
            </w:r>
            <w:r w:rsidRPr="00980BC4">
              <w:rPr>
                <w:rFonts w:hint="eastAsia"/>
                <w:color w:val="000000"/>
                <w:sz w:val="18"/>
                <w:szCs w:val="18"/>
              </w:rPr>
              <w:t>版、证券日报</w:t>
            </w:r>
            <w:r w:rsidRPr="00980BC4">
              <w:rPr>
                <w:rFonts w:ascii="Times New Roman" w:hAnsi="Times New Roman" w:cs="Times New Roman"/>
                <w:color w:val="000000"/>
                <w:sz w:val="18"/>
                <w:szCs w:val="18"/>
              </w:rPr>
              <w:t>C34</w:t>
            </w:r>
            <w:r w:rsidRPr="00980BC4">
              <w:rPr>
                <w:rFonts w:hint="eastAsia"/>
                <w:color w:val="000000"/>
                <w:sz w:val="18"/>
                <w:szCs w:val="18"/>
              </w:rPr>
              <w:t>版、上海证券报</w:t>
            </w:r>
            <w:r w:rsidRPr="00980BC4">
              <w:rPr>
                <w:rFonts w:ascii="Times New Roman" w:hAnsi="Times New Roman" w:cs="Times New Roman"/>
                <w:color w:val="000000"/>
                <w:sz w:val="18"/>
                <w:szCs w:val="18"/>
              </w:rPr>
              <w:t>8</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2022-31</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独立董事候选人声明（钟刚）</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2022-7-30</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B069</w:t>
            </w:r>
            <w:r w:rsidRPr="00980BC4">
              <w:rPr>
                <w:rFonts w:hint="eastAsia"/>
                <w:color w:val="000000"/>
                <w:sz w:val="18"/>
                <w:szCs w:val="18"/>
              </w:rPr>
              <w:t>版、证券时报</w:t>
            </w:r>
            <w:r w:rsidRPr="00980BC4">
              <w:rPr>
                <w:rFonts w:ascii="Times New Roman" w:hAnsi="Times New Roman" w:cs="Times New Roman"/>
                <w:color w:val="000000"/>
                <w:sz w:val="18"/>
                <w:szCs w:val="18"/>
              </w:rPr>
              <w:t>B80</w:t>
            </w:r>
            <w:r w:rsidRPr="00980BC4">
              <w:rPr>
                <w:rFonts w:hint="eastAsia"/>
                <w:color w:val="000000"/>
                <w:sz w:val="18"/>
                <w:szCs w:val="18"/>
              </w:rPr>
              <w:t>版、证券日报</w:t>
            </w:r>
            <w:r w:rsidRPr="00980BC4">
              <w:rPr>
                <w:rFonts w:ascii="Times New Roman" w:hAnsi="Times New Roman" w:cs="Times New Roman"/>
                <w:color w:val="000000"/>
                <w:sz w:val="18"/>
                <w:szCs w:val="18"/>
              </w:rPr>
              <w:t>C34</w:t>
            </w:r>
            <w:r w:rsidRPr="00980BC4">
              <w:rPr>
                <w:rFonts w:hint="eastAsia"/>
                <w:color w:val="000000"/>
                <w:sz w:val="18"/>
                <w:szCs w:val="18"/>
              </w:rPr>
              <w:t>版、上海证券报</w:t>
            </w:r>
            <w:r w:rsidRPr="00980BC4">
              <w:rPr>
                <w:rFonts w:ascii="Times New Roman" w:hAnsi="Times New Roman" w:cs="Times New Roman"/>
                <w:color w:val="000000"/>
                <w:sz w:val="18"/>
                <w:szCs w:val="18"/>
              </w:rPr>
              <w:t>8</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2022-32</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第十届监事会第十三次会议决议公告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2022-7-30</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B069</w:t>
            </w:r>
            <w:r w:rsidRPr="00980BC4">
              <w:rPr>
                <w:rFonts w:hint="eastAsia"/>
                <w:color w:val="000000"/>
                <w:sz w:val="18"/>
                <w:szCs w:val="18"/>
              </w:rPr>
              <w:t>版、证券时报</w:t>
            </w:r>
            <w:r w:rsidRPr="00980BC4">
              <w:rPr>
                <w:rFonts w:ascii="Times New Roman" w:hAnsi="Times New Roman" w:cs="Times New Roman"/>
                <w:color w:val="000000"/>
                <w:sz w:val="18"/>
                <w:szCs w:val="18"/>
              </w:rPr>
              <w:t>B80</w:t>
            </w:r>
            <w:r w:rsidRPr="00980BC4">
              <w:rPr>
                <w:rFonts w:hint="eastAsia"/>
                <w:color w:val="000000"/>
                <w:sz w:val="18"/>
                <w:szCs w:val="18"/>
              </w:rPr>
              <w:t>版、证券日报</w:t>
            </w:r>
            <w:r w:rsidRPr="00980BC4">
              <w:rPr>
                <w:rFonts w:ascii="Times New Roman" w:hAnsi="Times New Roman" w:cs="Times New Roman"/>
                <w:color w:val="000000"/>
                <w:sz w:val="18"/>
                <w:szCs w:val="18"/>
              </w:rPr>
              <w:t>C34</w:t>
            </w:r>
            <w:r w:rsidRPr="00980BC4">
              <w:rPr>
                <w:rFonts w:hint="eastAsia"/>
                <w:color w:val="000000"/>
                <w:sz w:val="18"/>
                <w:szCs w:val="18"/>
              </w:rPr>
              <w:t>版、上海证券报</w:t>
            </w:r>
            <w:r w:rsidRPr="00980BC4">
              <w:rPr>
                <w:rFonts w:ascii="Times New Roman" w:hAnsi="Times New Roman" w:cs="Times New Roman"/>
                <w:color w:val="000000"/>
                <w:sz w:val="18"/>
                <w:szCs w:val="18"/>
              </w:rPr>
              <w:t>8</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2022-33</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关于公司独立董事辞职及补选独立董事的公告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2022-7-30</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B069</w:t>
            </w:r>
            <w:r w:rsidRPr="00980BC4">
              <w:rPr>
                <w:rFonts w:hint="eastAsia"/>
                <w:color w:val="000000"/>
                <w:sz w:val="18"/>
                <w:szCs w:val="18"/>
              </w:rPr>
              <w:t>版、证券时报</w:t>
            </w:r>
            <w:r w:rsidRPr="00980BC4">
              <w:rPr>
                <w:rFonts w:ascii="Times New Roman" w:hAnsi="Times New Roman" w:cs="Times New Roman"/>
                <w:color w:val="000000"/>
                <w:sz w:val="18"/>
                <w:szCs w:val="18"/>
              </w:rPr>
              <w:t>B80</w:t>
            </w:r>
            <w:r w:rsidRPr="00980BC4">
              <w:rPr>
                <w:rFonts w:hint="eastAsia"/>
                <w:color w:val="000000"/>
                <w:sz w:val="18"/>
                <w:szCs w:val="18"/>
              </w:rPr>
              <w:t>版、证券日报</w:t>
            </w:r>
            <w:r w:rsidRPr="00980BC4">
              <w:rPr>
                <w:rFonts w:ascii="Times New Roman" w:hAnsi="Times New Roman" w:cs="Times New Roman"/>
                <w:color w:val="000000"/>
                <w:sz w:val="18"/>
                <w:szCs w:val="18"/>
              </w:rPr>
              <w:t>C34</w:t>
            </w:r>
            <w:r w:rsidRPr="00980BC4">
              <w:rPr>
                <w:rFonts w:hint="eastAsia"/>
                <w:color w:val="000000"/>
                <w:sz w:val="18"/>
                <w:szCs w:val="18"/>
              </w:rPr>
              <w:t>版、上海证券报</w:t>
            </w:r>
            <w:r w:rsidRPr="00980BC4">
              <w:rPr>
                <w:rFonts w:ascii="Times New Roman" w:hAnsi="Times New Roman" w:cs="Times New Roman"/>
                <w:color w:val="000000"/>
                <w:sz w:val="18"/>
                <w:szCs w:val="18"/>
              </w:rPr>
              <w:t>8</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2022-34</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关于对全资子公司增资的公告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2022-7-30</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B069</w:t>
            </w:r>
            <w:r w:rsidRPr="00980BC4">
              <w:rPr>
                <w:rFonts w:hint="eastAsia"/>
                <w:color w:val="000000"/>
                <w:sz w:val="18"/>
                <w:szCs w:val="18"/>
              </w:rPr>
              <w:t>版、证券时报</w:t>
            </w:r>
            <w:r w:rsidRPr="00980BC4">
              <w:rPr>
                <w:rFonts w:ascii="Times New Roman" w:hAnsi="Times New Roman" w:cs="Times New Roman"/>
                <w:color w:val="000000"/>
                <w:sz w:val="18"/>
                <w:szCs w:val="18"/>
              </w:rPr>
              <w:t>B80</w:t>
            </w:r>
            <w:r w:rsidRPr="00980BC4">
              <w:rPr>
                <w:rFonts w:hint="eastAsia"/>
                <w:color w:val="000000"/>
                <w:sz w:val="18"/>
                <w:szCs w:val="18"/>
              </w:rPr>
              <w:t>版、证券日报</w:t>
            </w:r>
            <w:r w:rsidRPr="00980BC4">
              <w:rPr>
                <w:rFonts w:ascii="Times New Roman" w:hAnsi="Times New Roman" w:cs="Times New Roman"/>
                <w:color w:val="000000"/>
                <w:sz w:val="18"/>
                <w:szCs w:val="18"/>
              </w:rPr>
              <w:t>C34</w:t>
            </w:r>
            <w:r w:rsidRPr="00980BC4">
              <w:rPr>
                <w:rFonts w:hint="eastAsia"/>
                <w:color w:val="000000"/>
                <w:sz w:val="18"/>
                <w:szCs w:val="18"/>
              </w:rPr>
              <w:t>版、上海证券报</w:t>
            </w:r>
            <w:r w:rsidRPr="00980BC4">
              <w:rPr>
                <w:rFonts w:ascii="Times New Roman" w:hAnsi="Times New Roman" w:cs="Times New Roman"/>
                <w:color w:val="000000"/>
                <w:sz w:val="18"/>
                <w:szCs w:val="18"/>
              </w:rPr>
              <w:t>8</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2022-35</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关于召开公司2022年第一次临时股东大会的通知</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2022-7-30</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B069</w:t>
            </w:r>
            <w:r w:rsidRPr="00980BC4">
              <w:rPr>
                <w:rFonts w:hint="eastAsia"/>
                <w:color w:val="000000"/>
                <w:sz w:val="18"/>
                <w:szCs w:val="18"/>
              </w:rPr>
              <w:t>版、证券时报</w:t>
            </w:r>
            <w:r w:rsidRPr="00980BC4">
              <w:rPr>
                <w:rFonts w:ascii="Times New Roman" w:hAnsi="Times New Roman" w:cs="Times New Roman"/>
                <w:color w:val="000000"/>
                <w:sz w:val="18"/>
                <w:szCs w:val="18"/>
              </w:rPr>
              <w:t>B80</w:t>
            </w:r>
            <w:r w:rsidRPr="00980BC4">
              <w:rPr>
                <w:rFonts w:hint="eastAsia"/>
                <w:color w:val="000000"/>
                <w:sz w:val="18"/>
                <w:szCs w:val="18"/>
              </w:rPr>
              <w:t>版、证券日报</w:t>
            </w:r>
            <w:r w:rsidRPr="00980BC4">
              <w:rPr>
                <w:rFonts w:ascii="Times New Roman" w:hAnsi="Times New Roman" w:cs="Times New Roman"/>
                <w:color w:val="000000"/>
                <w:sz w:val="18"/>
                <w:szCs w:val="18"/>
              </w:rPr>
              <w:t>C34</w:t>
            </w:r>
            <w:r w:rsidRPr="00980BC4">
              <w:rPr>
                <w:rFonts w:hint="eastAsia"/>
                <w:color w:val="000000"/>
                <w:sz w:val="18"/>
                <w:szCs w:val="18"/>
              </w:rPr>
              <w:t>版、上海证券报</w:t>
            </w:r>
            <w:r w:rsidRPr="00980BC4">
              <w:rPr>
                <w:rFonts w:ascii="Times New Roman" w:hAnsi="Times New Roman" w:cs="Times New Roman"/>
                <w:color w:val="000000"/>
                <w:sz w:val="18"/>
                <w:szCs w:val="18"/>
              </w:rPr>
              <w:t>8</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2022-36</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关于部分高级管理人员减持计划减持数量过半的公告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2022-8-2</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B047</w:t>
            </w:r>
            <w:r w:rsidRPr="00980BC4">
              <w:rPr>
                <w:rFonts w:hint="eastAsia"/>
                <w:color w:val="000000"/>
                <w:sz w:val="18"/>
                <w:szCs w:val="18"/>
              </w:rPr>
              <w:t>版、证券时报</w:t>
            </w:r>
            <w:r w:rsidRPr="00980BC4">
              <w:rPr>
                <w:rFonts w:ascii="Times New Roman" w:hAnsi="Times New Roman" w:cs="Times New Roman"/>
                <w:color w:val="000000"/>
                <w:sz w:val="18"/>
                <w:szCs w:val="18"/>
              </w:rPr>
              <w:t>B72</w:t>
            </w:r>
            <w:r w:rsidRPr="00980BC4">
              <w:rPr>
                <w:rFonts w:hint="eastAsia"/>
                <w:color w:val="000000"/>
                <w:sz w:val="18"/>
                <w:szCs w:val="18"/>
              </w:rPr>
              <w:t>版、证券日报</w:t>
            </w:r>
            <w:r w:rsidRPr="00980BC4">
              <w:rPr>
                <w:rFonts w:ascii="Times New Roman" w:hAnsi="Times New Roman" w:cs="Times New Roman"/>
                <w:color w:val="000000"/>
                <w:sz w:val="18"/>
                <w:szCs w:val="18"/>
              </w:rPr>
              <w:t>D34</w:t>
            </w:r>
            <w:r w:rsidRPr="00980BC4">
              <w:rPr>
                <w:rFonts w:hint="eastAsia"/>
                <w:color w:val="000000"/>
                <w:sz w:val="18"/>
                <w:szCs w:val="18"/>
              </w:rPr>
              <w:t>版、上海证券报</w:t>
            </w:r>
            <w:r w:rsidRPr="00980BC4">
              <w:rPr>
                <w:rFonts w:ascii="Times New Roman" w:hAnsi="Times New Roman" w:cs="Times New Roman"/>
                <w:color w:val="000000"/>
                <w:sz w:val="18"/>
                <w:szCs w:val="18"/>
              </w:rPr>
              <w:t>91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2022-37</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2022年第一次临时股东大会决议公告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2022-8-19</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A20</w:t>
            </w:r>
            <w:r w:rsidRPr="00980BC4">
              <w:rPr>
                <w:rFonts w:hint="eastAsia"/>
                <w:color w:val="000000"/>
                <w:sz w:val="18"/>
                <w:szCs w:val="18"/>
              </w:rPr>
              <w:t>版、证券时报</w:t>
            </w:r>
            <w:r w:rsidRPr="00980BC4">
              <w:rPr>
                <w:rFonts w:ascii="Times New Roman" w:hAnsi="Times New Roman" w:cs="Times New Roman"/>
                <w:color w:val="000000"/>
                <w:sz w:val="18"/>
                <w:szCs w:val="18"/>
              </w:rPr>
              <w:t>B94</w:t>
            </w:r>
            <w:r w:rsidRPr="00980BC4">
              <w:rPr>
                <w:rFonts w:hint="eastAsia"/>
                <w:color w:val="000000"/>
                <w:sz w:val="18"/>
                <w:szCs w:val="18"/>
              </w:rPr>
              <w:t>版、证券日报</w:t>
            </w:r>
            <w:r w:rsidRPr="00980BC4">
              <w:rPr>
                <w:rFonts w:ascii="Times New Roman" w:hAnsi="Times New Roman" w:cs="Times New Roman"/>
                <w:color w:val="000000"/>
                <w:sz w:val="18"/>
                <w:szCs w:val="18"/>
              </w:rPr>
              <w:t>D42</w:t>
            </w:r>
            <w:r w:rsidRPr="00980BC4">
              <w:rPr>
                <w:rFonts w:hint="eastAsia"/>
                <w:color w:val="000000"/>
                <w:sz w:val="18"/>
                <w:szCs w:val="18"/>
              </w:rPr>
              <w:t>版、上海证券报</w:t>
            </w:r>
            <w:r w:rsidRPr="00980BC4">
              <w:rPr>
                <w:rFonts w:ascii="Times New Roman" w:hAnsi="Times New Roman" w:cs="Times New Roman"/>
                <w:color w:val="000000"/>
                <w:sz w:val="18"/>
                <w:szCs w:val="18"/>
              </w:rPr>
              <w:t>26</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2022-38</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关于对全资子公司增资的进展公告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2022-8-25</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B010</w:t>
            </w:r>
            <w:r w:rsidRPr="00980BC4">
              <w:rPr>
                <w:rFonts w:hint="eastAsia"/>
                <w:color w:val="000000"/>
                <w:sz w:val="18"/>
                <w:szCs w:val="18"/>
              </w:rPr>
              <w:t>版、证券时报</w:t>
            </w:r>
            <w:r w:rsidRPr="00980BC4">
              <w:rPr>
                <w:rFonts w:ascii="Times New Roman" w:hAnsi="Times New Roman" w:cs="Times New Roman"/>
                <w:color w:val="000000"/>
                <w:sz w:val="18"/>
                <w:szCs w:val="18"/>
              </w:rPr>
              <w:t>B94</w:t>
            </w:r>
            <w:r w:rsidRPr="00980BC4">
              <w:rPr>
                <w:rFonts w:hint="eastAsia"/>
                <w:color w:val="000000"/>
                <w:sz w:val="18"/>
                <w:szCs w:val="18"/>
              </w:rPr>
              <w:t>版、证券日报</w:t>
            </w:r>
            <w:r w:rsidRPr="00980BC4">
              <w:rPr>
                <w:rFonts w:ascii="Times New Roman" w:hAnsi="Times New Roman" w:cs="Times New Roman"/>
                <w:color w:val="000000"/>
                <w:sz w:val="18"/>
                <w:szCs w:val="18"/>
              </w:rPr>
              <w:t>D58</w:t>
            </w:r>
            <w:r w:rsidRPr="00980BC4">
              <w:rPr>
                <w:rFonts w:hint="eastAsia"/>
                <w:color w:val="000000"/>
                <w:sz w:val="18"/>
                <w:szCs w:val="18"/>
              </w:rPr>
              <w:t>版、上海证券报</w:t>
            </w:r>
            <w:r w:rsidRPr="00980BC4">
              <w:rPr>
                <w:rFonts w:ascii="Times New Roman" w:hAnsi="Times New Roman" w:cs="Times New Roman"/>
                <w:color w:val="000000"/>
                <w:sz w:val="18"/>
                <w:szCs w:val="18"/>
              </w:rPr>
              <w:t>175</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2022-39</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第十届董事会第十八次会议决议公告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2022-8-31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B051</w:t>
            </w:r>
            <w:r w:rsidRPr="00980BC4">
              <w:rPr>
                <w:rFonts w:hint="eastAsia"/>
                <w:color w:val="000000"/>
                <w:sz w:val="18"/>
                <w:szCs w:val="18"/>
              </w:rPr>
              <w:t>版、证券时报</w:t>
            </w:r>
            <w:r w:rsidRPr="00980BC4">
              <w:rPr>
                <w:rFonts w:ascii="Times New Roman" w:hAnsi="Times New Roman" w:cs="Times New Roman"/>
                <w:color w:val="000000"/>
                <w:sz w:val="18"/>
                <w:szCs w:val="18"/>
              </w:rPr>
              <w:t>B71</w:t>
            </w:r>
            <w:r w:rsidRPr="00980BC4">
              <w:rPr>
                <w:rFonts w:hint="eastAsia"/>
                <w:color w:val="000000"/>
                <w:sz w:val="18"/>
                <w:szCs w:val="18"/>
              </w:rPr>
              <w:t>版、证券日报</w:t>
            </w:r>
            <w:r w:rsidRPr="00980BC4">
              <w:rPr>
                <w:rFonts w:ascii="Times New Roman" w:hAnsi="Times New Roman" w:cs="Times New Roman"/>
                <w:color w:val="000000"/>
                <w:sz w:val="18"/>
                <w:szCs w:val="18"/>
              </w:rPr>
              <w:t>D27</w:t>
            </w:r>
            <w:r w:rsidRPr="00980BC4">
              <w:rPr>
                <w:rFonts w:hint="eastAsia"/>
                <w:color w:val="000000"/>
                <w:sz w:val="18"/>
                <w:szCs w:val="18"/>
              </w:rPr>
              <w:t>版、上海证券报</w:t>
            </w:r>
            <w:r w:rsidRPr="00980BC4">
              <w:rPr>
                <w:rFonts w:ascii="Times New Roman" w:hAnsi="Times New Roman" w:cs="Times New Roman"/>
                <w:color w:val="000000"/>
                <w:sz w:val="18"/>
                <w:szCs w:val="18"/>
              </w:rPr>
              <w:t>111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2022-40</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2022年半年度报告摘要</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2022-8-31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B051</w:t>
            </w:r>
            <w:r w:rsidRPr="00980BC4">
              <w:rPr>
                <w:rFonts w:hint="eastAsia"/>
                <w:color w:val="000000"/>
                <w:sz w:val="18"/>
                <w:szCs w:val="18"/>
              </w:rPr>
              <w:t>版、证券时报</w:t>
            </w:r>
            <w:r w:rsidRPr="00980BC4">
              <w:rPr>
                <w:rFonts w:ascii="Times New Roman" w:hAnsi="Times New Roman" w:cs="Times New Roman"/>
                <w:color w:val="000000"/>
                <w:sz w:val="18"/>
                <w:szCs w:val="18"/>
              </w:rPr>
              <w:t>B71</w:t>
            </w:r>
            <w:r w:rsidRPr="00980BC4">
              <w:rPr>
                <w:rFonts w:hint="eastAsia"/>
                <w:color w:val="000000"/>
                <w:sz w:val="18"/>
                <w:szCs w:val="18"/>
              </w:rPr>
              <w:t>版、证券日报</w:t>
            </w:r>
            <w:r w:rsidRPr="00980BC4">
              <w:rPr>
                <w:rFonts w:ascii="Times New Roman" w:hAnsi="Times New Roman" w:cs="Times New Roman"/>
                <w:color w:val="000000"/>
                <w:sz w:val="18"/>
                <w:szCs w:val="18"/>
              </w:rPr>
              <w:t>D27</w:t>
            </w:r>
            <w:r w:rsidRPr="00980BC4">
              <w:rPr>
                <w:rFonts w:hint="eastAsia"/>
                <w:color w:val="000000"/>
                <w:sz w:val="18"/>
                <w:szCs w:val="18"/>
              </w:rPr>
              <w:t>版、上海证券报</w:t>
            </w:r>
            <w:r w:rsidRPr="00980BC4">
              <w:rPr>
                <w:rFonts w:ascii="Times New Roman" w:hAnsi="Times New Roman" w:cs="Times New Roman"/>
                <w:color w:val="000000"/>
                <w:sz w:val="18"/>
                <w:szCs w:val="18"/>
              </w:rPr>
              <w:t>111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2022-41</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关于聘任公司副总经理的公告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2022-8-31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B051</w:t>
            </w:r>
            <w:r w:rsidRPr="00980BC4">
              <w:rPr>
                <w:rFonts w:hint="eastAsia"/>
                <w:color w:val="000000"/>
                <w:sz w:val="18"/>
                <w:szCs w:val="18"/>
              </w:rPr>
              <w:t>版、证券时报</w:t>
            </w:r>
            <w:r w:rsidRPr="00980BC4">
              <w:rPr>
                <w:rFonts w:ascii="Times New Roman" w:hAnsi="Times New Roman" w:cs="Times New Roman"/>
                <w:color w:val="000000"/>
                <w:sz w:val="18"/>
                <w:szCs w:val="18"/>
              </w:rPr>
              <w:t>B71</w:t>
            </w:r>
            <w:r w:rsidRPr="00980BC4">
              <w:rPr>
                <w:rFonts w:hint="eastAsia"/>
                <w:color w:val="000000"/>
                <w:sz w:val="18"/>
                <w:szCs w:val="18"/>
              </w:rPr>
              <w:t>版、证券日报</w:t>
            </w:r>
            <w:r w:rsidRPr="00980BC4">
              <w:rPr>
                <w:rFonts w:ascii="Times New Roman" w:hAnsi="Times New Roman" w:cs="Times New Roman"/>
                <w:color w:val="000000"/>
                <w:sz w:val="18"/>
                <w:szCs w:val="18"/>
              </w:rPr>
              <w:t>D27</w:t>
            </w:r>
            <w:r w:rsidRPr="00980BC4">
              <w:rPr>
                <w:rFonts w:hint="eastAsia"/>
                <w:color w:val="000000"/>
                <w:sz w:val="18"/>
                <w:szCs w:val="18"/>
              </w:rPr>
              <w:t>版、上海证券报</w:t>
            </w:r>
            <w:r w:rsidRPr="00980BC4">
              <w:rPr>
                <w:rFonts w:ascii="Times New Roman" w:hAnsi="Times New Roman" w:cs="Times New Roman"/>
                <w:color w:val="000000"/>
                <w:sz w:val="18"/>
                <w:szCs w:val="18"/>
              </w:rPr>
              <w:t>111</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lastRenderedPageBreak/>
              <w:t>2022-42</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关于公司实际控制人因误操作导致短线交易的公告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2022-9-10</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B038</w:t>
            </w:r>
            <w:r w:rsidRPr="00980BC4">
              <w:rPr>
                <w:rFonts w:hint="eastAsia"/>
                <w:color w:val="000000"/>
                <w:sz w:val="18"/>
                <w:szCs w:val="18"/>
              </w:rPr>
              <w:t>版、证券时报</w:t>
            </w:r>
            <w:r w:rsidRPr="00980BC4">
              <w:rPr>
                <w:rFonts w:ascii="Times New Roman" w:hAnsi="Times New Roman" w:cs="Times New Roman"/>
                <w:color w:val="000000"/>
                <w:sz w:val="18"/>
                <w:szCs w:val="18"/>
              </w:rPr>
              <w:t>B66</w:t>
            </w:r>
            <w:r w:rsidRPr="00980BC4">
              <w:rPr>
                <w:rFonts w:hint="eastAsia"/>
                <w:color w:val="000000"/>
                <w:sz w:val="18"/>
                <w:szCs w:val="18"/>
              </w:rPr>
              <w:t>版、证券日报</w:t>
            </w:r>
            <w:r w:rsidRPr="00980BC4">
              <w:rPr>
                <w:rFonts w:ascii="Times New Roman" w:hAnsi="Times New Roman" w:cs="Times New Roman"/>
                <w:color w:val="000000"/>
                <w:sz w:val="18"/>
                <w:szCs w:val="18"/>
              </w:rPr>
              <w:t>C31</w:t>
            </w:r>
            <w:r w:rsidRPr="00980BC4">
              <w:rPr>
                <w:rFonts w:hint="eastAsia"/>
                <w:color w:val="000000"/>
                <w:sz w:val="18"/>
                <w:szCs w:val="18"/>
              </w:rPr>
              <w:t>版、上海证券报</w:t>
            </w:r>
            <w:r w:rsidRPr="00980BC4">
              <w:rPr>
                <w:rFonts w:ascii="Times New Roman" w:hAnsi="Times New Roman" w:cs="Times New Roman"/>
                <w:color w:val="000000"/>
                <w:sz w:val="18"/>
                <w:szCs w:val="18"/>
              </w:rPr>
              <w:t>59</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2022-43</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关于部分高级管理人员减持计划减持时间过半的公告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2022-10-11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B082</w:t>
            </w:r>
            <w:r w:rsidRPr="00980BC4">
              <w:rPr>
                <w:rFonts w:hint="eastAsia"/>
                <w:color w:val="000000"/>
                <w:sz w:val="18"/>
                <w:szCs w:val="18"/>
              </w:rPr>
              <w:t>版、证券时报</w:t>
            </w:r>
            <w:r w:rsidRPr="00980BC4">
              <w:rPr>
                <w:rFonts w:ascii="Times New Roman" w:hAnsi="Times New Roman" w:cs="Times New Roman"/>
                <w:color w:val="000000"/>
                <w:sz w:val="18"/>
                <w:szCs w:val="18"/>
              </w:rPr>
              <w:t>B123</w:t>
            </w:r>
            <w:r w:rsidRPr="00980BC4">
              <w:rPr>
                <w:rFonts w:hint="eastAsia"/>
                <w:color w:val="000000"/>
                <w:sz w:val="18"/>
                <w:szCs w:val="18"/>
              </w:rPr>
              <w:t>版、证券日报</w:t>
            </w:r>
            <w:r w:rsidRPr="00980BC4">
              <w:rPr>
                <w:rFonts w:ascii="Times New Roman" w:hAnsi="Times New Roman" w:cs="Times New Roman"/>
                <w:color w:val="000000"/>
                <w:sz w:val="18"/>
                <w:szCs w:val="18"/>
              </w:rPr>
              <w:t>D53</w:t>
            </w:r>
            <w:r w:rsidRPr="00980BC4">
              <w:rPr>
                <w:rFonts w:hint="eastAsia"/>
                <w:color w:val="000000"/>
                <w:sz w:val="18"/>
                <w:szCs w:val="18"/>
              </w:rPr>
              <w:t>版、上海证券报</w:t>
            </w:r>
            <w:r w:rsidRPr="00980BC4">
              <w:rPr>
                <w:rFonts w:ascii="Times New Roman" w:hAnsi="Times New Roman" w:cs="Times New Roman"/>
                <w:color w:val="000000"/>
                <w:sz w:val="18"/>
                <w:szCs w:val="18"/>
              </w:rPr>
              <w:t>147</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2022-44</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关于公司董事长收到广东证监局行政监管措施决定书的公告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2022-10-28</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B012</w:t>
            </w:r>
            <w:r w:rsidRPr="00980BC4">
              <w:rPr>
                <w:rFonts w:hint="eastAsia"/>
                <w:color w:val="000000"/>
                <w:sz w:val="18"/>
                <w:szCs w:val="18"/>
              </w:rPr>
              <w:t>版、证券时报</w:t>
            </w:r>
            <w:r w:rsidRPr="00980BC4">
              <w:rPr>
                <w:rFonts w:ascii="Times New Roman" w:hAnsi="Times New Roman" w:cs="Times New Roman"/>
                <w:color w:val="000000"/>
                <w:sz w:val="18"/>
                <w:szCs w:val="18"/>
              </w:rPr>
              <w:t>B622</w:t>
            </w:r>
            <w:r w:rsidRPr="00980BC4">
              <w:rPr>
                <w:rFonts w:hint="eastAsia"/>
                <w:color w:val="000000"/>
                <w:sz w:val="18"/>
                <w:szCs w:val="18"/>
              </w:rPr>
              <w:t>版、证券日报</w:t>
            </w:r>
            <w:r w:rsidRPr="00980BC4">
              <w:rPr>
                <w:rFonts w:ascii="Times New Roman" w:hAnsi="Times New Roman" w:cs="Times New Roman"/>
                <w:color w:val="000000"/>
                <w:sz w:val="18"/>
                <w:szCs w:val="18"/>
              </w:rPr>
              <w:t>D155</w:t>
            </w:r>
            <w:r w:rsidRPr="00980BC4">
              <w:rPr>
                <w:rFonts w:hint="eastAsia"/>
                <w:color w:val="000000"/>
                <w:sz w:val="18"/>
                <w:szCs w:val="18"/>
              </w:rPr>
              <w:t>版、上海证券报</w:t>
            </w:r>
            <w:r w:rsidRPr="00980BC4">
              <w:rPr>
                <w:rFonts w:ascii="Times New Roman" w:hAnsi="Times New Roman" w:cs="Times New Roman"/>
                <w:color w:val="000000"/>
                <w:sz w:val="18"/>
                <w:szCs w:val="18"/>
              </w:rPr>
              <w:t>200</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2022-45</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2022年第三季度报告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2022-10-31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B056</w:t>
            </w:r>
            <w:r w:rsidRPr="00980BC4">
              <w:rPr>
                <w:rFonts w:hint="eastAsia"/>
                <w:color w:val="000000"/>
                <w:sz w:val="18"/>
                <w:szCs w:val="18"/>
              </w:rPr>
              <w:t>版、证券时报</w:t>
            </w:r>
            <w:r w:rsidRPr="00980BC4">
              <w:rPr>
                <w:rFonts w:ascii="Times New Roman" w:hAnsi="Times New Roman" w:cs="Times New Roman"/>
                <w:color w:val="000000"/>
                <w:sz w:val="18"/>
                <w:szCs w:val="18"/>
              </w:rPr>
              <w:t>B90</w:t>
            </w:r>
            <w:r w:rsidRPr="00980BC4">
              <w:rPr>
                <w:rFonts w:hint="eastAsia"/>
                <w:color w:val="000000"/>
                <w:sz w:val="18"/>
                <w:szCs w:val="18"/>
              </w:rPr>
              <w:t>版、证券日报</w:t>
            </w:r>
            <w:r w:rsidRPr="00980BC4">
              <w:rPr>
                <w:rFonts w:ascii="Times New Roman" w:hAnsi="Times New Roman" w:cs="Times New Roman"/>
                <w:color w:val="000000"/>
                <w:sz w:val="18"/>
                <w:szCs w:val="18"/>
              </w:rPr>
              <w:t>D155</w:t>
            </w:r>
            <w:r w:rsidRPr="00980BC4">
              <w:rPr>
                <w:rFonts w:hint="eastAsia"/>
                <w:color w:val="000000"/>
                <w:sz w:val="18"/>
                <w:szCs w:val="18"/>
              </w:rPr>
              <w:t>版、上海证券报</w:t>
            </w:r>
            <w:r w:rsidRPr="00980BC4">
              <w:rPr>
                <w:rFonts w:ascii="Times New Roman" w:hAnsi="Times New Roman" w:cs="Times New Roman"/>
                <w:color w:val="000000"/>
                <w:sz w:val="18"/>
                <w:szCs w:val="18"/>
              </w:rPr>
              <w:t>143</w:t>
            </w:r>
            <w:r w:rsidRPr="00980BC4">
              <w:rPr>
                <w:rFonts w:hint="eastAsia"/>
                <w:color w:val="000000"/>
                <w:sz w:val="18"/>
                <w:szCs w:val="18"/>
              </w:rPr>
              <w:t>版、巨潮资讯网</w:t>
            </w:r>
          </w:p>
        </w:tc>
      </w:tr>
      <w:tr w:rsidR="002A3304" w:rsidRPr="00980BC4" w:rsidTr="009B58C9">
        <w:trPr>
          <w:divId w:val="986201869"/>
          <w:trHeight w:val="1306"/>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2022-46</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关于参股公司首次公开发行股票并在科创板上市的申请获上海证券交易所审核通过的公告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2022-12-7</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A21</w:t>
            </w:r>
            <w:r w:rsidRPr="00980BC4">
              <w:rPr>
                <w:rFonts w:hint="eastAsia"/>
                <w:color w:val="000000"/>
                <w:sz w:val="18"/>
                <w:szCs w:val="18"/>
              </w:rPr>
              <w:t>版、证券时报</w:t>
            </w:r>
            <w:r w:rsidRPr="00980BC4">
              <w:rPr>
                <w:rFonts w:ascii="Times New Roman" w:hAnsi="Times New Roman" w:cs="Times New Roman"/>
                <w:color w:val="000000"/>
                <w:sz w:val="18"/>
                <w:szCs w:val="18"/>
              </w:rPr>
              <w:t>B107</w:t>
            </w:r>
            <w:r w:rsidRPr="00980BC4">
              <w:rPr>
                <w:rFonts w:hint="eastAsia"/>
                <w:color w:val="000000"/>
                <w:sz w:val="18"/>
                <w:szCs w:val="18"/>
              </w:rPr>
              <w:t>版、证券日报</w:t>
            </w:r>
            <w:r w:rsidRPr="00980BC4">
              <w:rPr>
                <w:rFonts w:ascii="Times New Roman" w:hAnsi="Times New Roman" w:cs="Times New Roman"/>
                <w:color w:val="000000"/>
                <w:sz w:val="18"/>
                <w:szCs w:val="18"/>
              </w:rPr>
              <w:t>D44</w:t>
            </w:r>
            <w:r w:rsidRPr="00980BC4">
              <w:rPr>
                <w:rFonts w:hint="eastAsia"/>
                <w:color w:val="000000"/>
                <w:sz w:val="18"/>
                <w:szCs w:val="18"/>
              </w:rPr>
              <w:t>版、上海证券报</w:t>
            </w:r>
            <w:r w:rsidRPr="00980BC4">
              <w:rPr>
                <w:rFonts w:ascii="Times New Roman" w:hAnsi="Times New Roman" w:cs="Times New Roman"/>
                <w:color w:val="000000"/>
                <w:sz w:val="18"/>
                <w:szCs w:val="18"/>
              </w:rPr>
              <w:t>75</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2022-47</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第十届董事会第二十次会议决议公告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2022-12-31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B037</w:t>
            </w:r>
            <w:r w:rsidRPr="00980BC4">
              <w:rPr>
                <w:rFonts w:hint="eastAsia"/>
                <w:color w:val="000000"/>
                <w:sz w:val="18"/>
                <w:szCs w:val="18"/>
              </w:rPr>
              <w:t>版、证券时报</w:t>
            </w:r>
            <w:r w:rsidRPr="00980BC4">
              <w:rPr>
                <w:rFonts w:ascii="Times New Roman" w:hAnsi="Times New Roman" w:cs="Times New Roman"/>
                <w:color w:val="000000"/>
                <w:sz w:val="18"/>
                <w:szCs w:val="18"/>
              </w:rPr>
              <w:t>B73</w:t>
            </w:r>
            <w:r w:rsidRPr="00980BC4">
              <w:rPr>
                <w:rFonts w:hint="eastAsia"/>
                <w:color w:val="000000"/>
                <w:sz w:val="18"/>
                <w:szCs w:val="18"/>
              </w:rPr>
              <w:t>版、证券日报</w:t>
            </w:r>
            <w:r w:rsidRPr="00980BC4">
              <w:rPr>
                <w:rFonts w:ascii="Times New Roman" w:hAnsi="Times New Roman" w:cs="Times New Roman"/>
                <w:color w:val="000000"/>
                <w:sz w:val="18"/>
                <w:szCs w:val="18"/>
              </w:rPr>
              <w:t>C54</w:t>
            </w:r>
            <w:r w:rsidRPr="00980BC4">
              <w:rPr>
                <w:rFonts w:hint="eastAsia"/>
                <w:color w:val="000000"/>
                <w:sz w:val="18"/>
                <w:szCs w:val="18"/>
              </w:rPr>
              <w:t>版、上海证券报</w:t>
            </w:r>
            <w:r w:rsidRPr="00980BC4">
              <w:rPr>
                <w:rFonts w:ascii="Times New Roman" w:hAnsi="Times New Roman" w:cs="Times New Roman"/>
                <w:color w:val="000000"/>
                <w:sz w:val="18"/>
                <w:szCs w:val="18"/>
              </w:rPr>
              <w:t>75</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2022-48</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第十届监事会第十六次会议决议公告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2022-12-31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B037</w:t>
            </w:r>
            <w:r w:rsidRPr="00980BC4">
              <w:rPr>
                <w:rFonts w:hint="eastAsia"/>
                <w:color w:val="000000"/>
                <w:sz w:val="18"/>
                <w:szCs w:val="18"/>
              </w:rPr>
              <w:t>版、证券时报</w:t>
            </w:r>
            <w:r w:rsidRPr="00980BC4">
              <w:rPr>
                <w:rFonts w:ascii="Times New Roman" w:hAnsi="Times New Roman" w:cs="Times New Roman"/>
                <w:color w:val="000000"/>
                <w:sz w:val="18"/>
                <w:szCs w:val="18"/>
              </w:rPr>
              <w:t>B73</w:t>
            </w:r>
            <w:r w:rsidRPr="00980BC4">
              <w:rPr>
                <w:rFonts w:hint="eastAsia"/>
                <w:color w:val="000000"/>
                <w:sz w:val="18"/>
                <w:szCs w:val="18"/>
              </w:rPr>
              <w:t>版、证券日报</w:t>
            </w:r>
            <w:r w:rsidRPr="00980BC4">
              <w:rPr>
                <w:rFonts w:ascii="Times New Roman" w:hAnsi="Times New Roman" w:cs="Times New Roman"/>
                <w:color w:val="000000"/>
                <w:sz w:val="18"/>
                <w:szCs w:val="18"/>
              </w:rPr>
              <w:t>C54</w:t>
            </w:r>
            <w:r w:rsidRPr="00980BC4">
              <w:rPr>
                <w:rFonts w:hint="eastAsia"/>
                <w:color w:val="000000"/>
                <w:sz w:val="18"/>
                <w:szCs w:val="18"/>
              </w:rPr>
              <w:t>版、上海证券报</w:t>
            </w:r>
            <w:r w:rsidRPr="00980BC4">
              <w:rPr>
                <w:rFonts w:ascii="Times New Roman" w:hAnsi="Times New Roman" w:cs="Times New Roman"/>
                <w:color w:val="000000"/>
                <w:sz w:val="18"/>
                <w:szCs w:val="18"/>
              </w:rPr>
              <w:t>75</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2022-49</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关于拟变更会计师事务所的公告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2022-12-31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B037</w:t>
            </w:r>
            <w:r w:rsidRPr="00980BC4">
              <w:rPr>
                <w:rFonts w:hint="eastAsia"/>
                <w:color w:val="000000"/>
                <w:sz w:val="18"/>
                <w:szCs w:val="18"/>
              </w:rPr>
              <w:t>版、证券时报</w:t>
            </w:r>
            <w:r w:rsidRPr="00980BC4">
              <w:rPr>
                <w:rFonts w:ascii="Times New Roman" w:hAnsi="Times New Roman" w:cs="Times New Roman"/>
                <w:color w:val="000000"/>
                <w:sz w:val="18"/>
                <w:szCs w:val="18"/>
              </w:rPr>
              <w:t>B73</w:t>
            </w:r>
            <w:r w:rsidRPr="00980BC4">
              <w:rPr>
                <w:rFonts w:hint="eastAsia"/>
                <w:color w:val="000000"/>
                <w:sz w:val="18"/>
                <w:szCs w:val="18"/>
              </w:rPr>
              <w:t>版、证券日报</w:t>
            </w:r>
            <w:r w:rsidRPr="00980BC4">
              <w:rPr>
                <w:rFonts w:ascii="Times New Roman" w:hAnsi="Times New Roman" w:cs="Times New Roman"/>
                <w:color w:val="000000"/>
                <w:sz w:val="18"/>
                <w:szCs w:val="18"/>
              </w:rPr>
              <w:t>C54</w:t>
            </w:r>
            <w:r w:rsidRPr="00980BC4">
              <w:rPr>
                <w:rFonts w:hint="eastAsia"/>
                <w:color w:val="000000"/>
                <w:sz w:val="18"/>
                <w:szCs w:val="18"/>
              </w:rPr>
              <w:t>版、上海证券报</w:t>
            </w:r>
            <w:r w:rsidRPr="00980BC4">
              <w:rPr>
                <w:rFonts w:ascii="Times New Roman" w:hAnsi="Times New Roman" w:cs="Times New Roman"/>
                <w:color w:val="000000"/>
                <w:sz w:val="18"/>
                <w:szCs w:val="18"/>
              </w:rPr>
              <w:t>75</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2022-50</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关于回购注销公司2021年限制性股票激励计划部分授予限制性股票的公告</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2022-12-31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B037</w:t>
            </w:r>
            <w:r w:rsidRPr="00980BC4">
              <w:rPr>
                <w:rFonts w:hint="eastAsia"/>
                <w:color w:val="000000"/>
                <w:sz w:val="18"/>
                <w:szCs w:val="18"/>
              </w:rPr>
              <w:t>版、证券时报</w:t>
            </w:r>
            <w:r w:rsidRPr="00980BC4">
              <w:rPr>
                <w:rFonts w:ascii="Times New Roman" w:hAnsi="Times New Roman" w:cs="Times New Roman"/>
                <w:color w:val="000000"/>
                <w:sz w:val="18"/>
                <w:szCs w:val="18"/>
              </w:rPr>
              <w:t>B73</w:t>
            </w:r>
            <w:r w:rsidRPr="00980BC4">
              <w:rPr>
                <w:rFonts w:hint="eastAsia"/>
                <w:color w:val="000000"/>
                <w:sz w:val="18"/>
                <w:szCs w:val="18"/>
              </w:rPr>
              <w:t>版、证券日报</w:t>
            </w:r>
            <w:r w:rsidRPr="00980BC4">
              <w:rPr>
                <w:rFonts w:ascii="Times New Roman" w:hAnsi="Times New Roman" w:cs="Times New Roman"/>
                <w:color w:val="000000"/>
                <w:sz w:val="18"/>
                <w:szCs w:val="18"/>
              </w:rPr>
              <w:t>C54</w:t>
            </w:r>
            <w:r w:rsidRPr="00980BC4">
              <w:rPr>
                <w:rFonts w:hint="eastAsia"/>
                <w:color w:val="000000"/>
                <w:sz w:val="18"/>
                <w:szCs w:val="18"/>
              </w:rPr>
              <w:t>版、上海证券报</w:t>
            </w:r>
            <w:r w:rsidRPr="00980BC4">
              <w:rPr>
                <w:rFonts w:ascii="Times New Roman" w:hAnsi="Times New Roman" w:cs="Times New Roman"/>
                <w:color w:val="000000"/>
                <w:sz w:val="18"/>
                <w:szCs w:val="18"/>
              </w:rPr>
              <w:t>75</w:t>
            </w:r>
            <w:r w:rsidRPr="00980BC4">
              <w:rPr>
                <w:rFonts w:hint="eastAsia"/>
                <w:color w:val="000000"/>
                <w:sz w:val="18"/>
                <w:szCs w:val="18"/>
              </w:rPr>
              <w:t>版、巨潮资讯网</w:t>
            </w:r>
          </w:p>
        </w:tc>
      </w:tr>
      <w:tr w:rsidR="002A3304" w:rsidRPr="00980BC4" w:rsidTr="009B58C9">
        <w:trPr>
          <w:divId w:val="986201869"/>
          <w:trHeight w:val="851"/>
        </w:trPr>
        <w:tc>
          <w:tcPr>
            <w:tcW w:w="1022"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2022-51</w:t>
            </w:r>
          </w:p>
        </w:tc>
        <w:tc>
          <w:tcPr>
            <w:tcW w:w="3241"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关于召开公司2023年第一次临时股东大会的通知</w:t>
            </w:r>
          </w:p>
        </w:tc>
        <w:tc>
          <w:tcPr>
            <w:tcW w:w="1276"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jc w:val="center"/>
            </w:pPr>
            <w:r w:rsidRPr="00980BC4">
              <w:rPr>
                <w:rFonts w:ascii="Times New Roman" w:hAnsi="Times New Roman" w:cs="Times New Roman"/>
                <w:color w:val="000000"/>
                <w:sz w:val="18"/>
                <w:szCs w:val="18"/>
              </w:rPr>
              <w:t>2022-12-31</w:t>
            </w:r>
          </w:p>
        </w:tc>
        <w:tc>
          <w:tcPr>
            <w:tcW w:w="3685" w:type="dxa"/>
            <w:tcMar>
              <w:top w:w="10" w:type="dxa"/>
              <w:left w:w="10" w:type="dxa"/>
              <w:bottom w:w="10" w:type="dxa"/>
              <w:right w:w="10" w:type="dxa"/>
            </w:tcMar>
            <w:vAlign w:val="center"/>
            <w:hideMark/>
          </w:tcPr>
          <w:p w:rsidR="002A3304" w:rsidRPr="00980BC4" w:rsidRDefault="002A3304">
            <w:pPr>
              <w:pStyle w:val="a3"/>
              <w:spacing w:before="0" w:beforeAutospacing="0" w:after="0" w:afterAutospacing="0" w:line="300" w:lineRule="atLeast"/>
            </w:pPr>
            <w:r w:rsidRPr="00980BC4">
              <w:rPr>
                <w:rFonts w:hint="eastAsia"/>
                <w:color w:val="000000"/>
                <w:sz w:val="18"/>
                <w:szCs w:val="18"/>
              </w:rPr>
              <w:t>中国证券报</w:t>
            </w:r>
            <w:r w:rsidRPr="00980BC4">
              <w:rPr>
                <w:rFonts w:ascii="Times New Roman" w:hAnsi="Times New Roman" w:cs="Times New Roman"/>
                <w:color w:val="000000"/>
                <w:sz w:val="18"/>
                <w:szCs w:val="18"/>
              </w:rPr>
              <w:t>B037</w:t>
            </w:r>
            <w:r w:rsidRPr="00980BC4">
              <w:rPr>
                <w:rFonts w:hint="eastAsia"/>
                <w:color w:val="000000"/>
                <w:sz w:val="18"/>
                <w:szCs w:val="18"/>
              </w:rPr>
              <w:t>版、证券时报</w:t>
            </w:r>
            <w:r w:rsidRPr="00980BC4">
              <w:rPr>
                <w:rFonts w:ascii="Times New Roman" w:hAnsi="Times New Roman" w:cs="Times New Roman"/>
                <w:color w:val="000000"/>
                <w:sz w:val="18"/>
                <w:szCs w:val="18"/>
              </w:rPr>
              <w:t>B73</w:t>
            </w:r>
            <w:r w:rsidRPr="00980BC4">
              <w:rPr>
                <w:rFonts w:hint="eastAsia"/>
                <w:color w:val="000000"/>
                <w:sz w:val="18"/>
                <w:szCs w:val="18"/>
              </w:rPr>
              <w:t>版、证券日报</w:t>
            </w:r>
            <w:r w:rsidRPr="00980BC4">
              <w:rPr>
                <w:rFonts w:ascii="Times New Roman" w:hAnsi="Times New Roman" w:cs="Times New Roman"/>
                <w:color w:val="000000"/>
                <w:sz w:val="18"/>
                <w:szCs w:val="18"/>
              </w:rPr>
              <w:t>C54</w:t>
            </w:r>
            <w:r w:rsidRPr="00980BC4">
              <w:rPr>
                <w:rFonts w:hint="eastAsia"/>
                <w:color w:val="000000"/>
                <w:sz w:val="18"/>
                <w:szCs w:val="18"/>
              </w:rPr>
              <w:t>版、上海证券报</w:t>
            </w:r>
            <w:r w:rsidRPr="00980BC4">
              <w:rPr>
                <w:rFonts w:ascii="Times New Roman" w:hAnsi="Times New Roman" w:cs="Times New Roman"/>
                <w:color w:val="000000"/>
                <w:sz w:val="18"/>
                <w:szCs w:val="18"/>
              </w:rPr>
              <w:t>75</w:t>
            </w:r>
            <w:r w:rsidRPr="00980BC4">
              <w:rPr>
                <w:rFonts w:hint="eastAsia"/>
                <w:color w:val="000000"/>
                <w:sz w:val="18"/>
                <w:szCs w:val="18"/>
              </w:rPr>
              <w:t>版、巨潮资讯网</w:t>
            </w:r>
          </w:p>
        </w:tc>
      </w:tr>
    </w:tbl>
    <w:p w:rsidR="002A3304" w:rsidRPr="00980BC4" w:rsidRDefault="002A3304">
      <w:pPr>
        <w:divId w:val="986201869"/>
        <w:rPr>
          <w:sz w:val="24"/>
          <w:szCs w:val="24"/>
        </w:rPr>
      </w:pPr>
    </w:p>
    <w:p w:rsidR="002A3304" w:rsidRPr="00980BC4" w:rsidRDefault="00DF4EBF" w:rsidP="001B3D40">
      <w:pPr>
        <w:pStyle w:val="Chapter"/>
        <w:spacing w:before="0" w:after="0" w:line="560" w:lineRule="exact"/>
        <w:ind w:firstLineChars="200" w:firstLine="562"/>
        <w:outlineLvl w:val="1"/>
        <w:rPr>
          <w:bCs w:val="0"/>
          <w:sz w:val="28"/>
          <w:szCs w:val="28"/>
        </w:rPr>
      </w:pPr>
      <w:bookmarkStart w:id="126" w:name="_Toc989015"/>
      <w:r w:rsidRPr="00980BC4">
        <w:rPr>
          <w:bCs w:val="0"/>
          <w:sz w:val="28"/>
          <w:szCs w:val="28"/>
        </w:rPr>
        <w:t>十七、公司子公司重大事项</w:t>
      </w:r>
      <w:bookmarkEnd w:id="126"/>
    </w:p>
    <w:p w:rsidR="002A3304" w:rsidRPr="00980BC4" w:rsidRDefault="00856F25" w:rsidP="001B3D40">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w:t>
      </w:r>
      <w:r w:rsidR="00DF4EBF" w:rsidRPr="00980BC4">
        <w:rPr>
          <w:rFonts w:ascii="仿宋" w:eastAsia="仿宋" w:hAnsi="仿宋" w:cs="Calibri"/>
          <w:sz w:val="28"/>
          <w:szCs w:val="28"/>
        </w:rPr>
        <w:t xml:space="preserve">适用 </w:t>
      </w:r>
      <w:r w:rsidR="001B3D40" w:rsidRPr="00980BC4">
        <w:rPr>
          <w:rFonts w:ascii="仿宋" w:eastAsia="仿宋" w:hAnsi="仿宋" w:cs="Calibri" w:hint="eastAsia"/>
          <w:sz w:val="28"/>
          <w:szCs w:val="28"/>
        </w:rPr>
        <w:t xml:space="preserve"> </w:t>
      </w:r>
      <w:r w:rsidRPr="00980BC4">
        <w:rPr>
          <w:rFonts w:ascii="仿宋" w:eastAsia="仿宋" w:hAnsi="仿宋" w:cs="Calibri"/>
          <w:sz w:val="28"/>
          <w:szCs w:val="28"/>
        </w:rPr>
        <w:sym w:font="Wingdings 2" w:char="F052"/>
      </w:r>
      <w:r w:rsidR="00DF4EBF" w:rsidRPr="00980BC4">
        <w:rPr>
          <w:rFonts w:ascii="仿宋" w:eastAsia="仿宋" w:hAnsi="仿宋" w:cs="Calibri"/>
          <w:sz w:val="28"/>
          <w:szCs w:val="28"/>
        </w:rPr>
        <w:t>不适用</w:t>
      </w:r>
    </w:p>
    <w:p w:rsidR="002A3304" w:rsidRPr="00980BC4" w:rsidRDefault="00DF4EBF">
      <w:r w:rsidRPr="00980BC4">
        <w:br w:type="page"/>
      </w:r>
    </w:p>
    <w:p w:rsidR="002A3304" w:rsidRPr="00980BC4" w:rsidRDefault="00DF4EBF">
      <w:pPr>
        <w:pStyle w:val="headingh1"/>
        <w:spacing w:before="340" w:after="330" w:line="773" w:lineRule="exact"/>
        <w:jc w:val="center"/>
        <w:rPr>
          <w:rFonts w:ascii="宋体" w:eastAsia="宋体" w:hAnsi="宋体" w:cs="宋体"/>
          <w:b/>
          <w:bCs/>
          <w:sz w:val="32"/>
          <w:szCs w:val="32"/>
        </w:rPr>
      </w:pPr>
      <w:bookmarkStart w:id="127" w:name="_Toc989016"/>
      <w:r w:rsidRPr="00980BC4">
        <w:rPr>
          <w:rFonts w:ascii="宋体" w:eastAsia="宋体" w:hAnsi="宋体" w:cs="宋体"/>
          <w:b/>
          <w:bCs/>
          <w:sz w:val="32"/>
          <w:szCs w:val="32"/>
        </w:rPr>
        <w:lastRenderedPageBreak/>
        <w:t>第七节 股份变动及股东情况</w:t>
      </w:r>
      <w:bookmarkEnd w:id="127"/>
    </w:p>
    <w:p w:rsidR="002A3304" w:rsidRPr="00980BC4" w:rsidRDefault="00DF4EBF" w:rsidP="0048419F">
      <w:pPr>
        <w:pStyle w:val="Chapter"/>
        <w:spacing w:before="0" w:after="0" w:line="560" w:lineRule="exact"/>
        <w:ind w:firstLineChars="200" w:firstLine="562"/>
        <w:outlineLvl w:val="1"/>
        <w:rPr>
          <w:bCs w:val="0"/>
          <w:sz w:val="28"/>
          <w:szCs w:val="28"/>
        </w:rPr>
      </w:pPr>
      <w:bookmarkStart w:id="128" w:name="_Toc989017"/>
      <w:r w:rsidRPr="00980BC4">
        <w:rPr>
          <w:bCs w:val="0"/>
          <w:sz w:val="28"/>
          <w:szCs w:val="28"/>
        </w:rPr>
        <w:t>一、股份变动情况</w:t>
      </w:r>
      <w:bookmarkEnd w:id="128"/>
    </w:p>
    <w:p w:rsidR="002A3304" w:rsidRPr="00980BC4" w:rsidRDefault="00DF4EBF" w:rsidP="0048419F">
      <w:pPr>
        <w:pStyle w:val="a3"/>
        <w:spacing w:before="0" w:beforeAutospacing="0" w:after="0" w:afterAutospacing="0" w:line="560" w:lineRule="exact"/>
        <w:ind w:firstLine="560"/>
        <w:jc w:val="both"/>
        <w:rPr>
          <w:rFonts w:ascii="仿宋" w:eastAsia="仿宋" w:hAnsi="仿宋" w:cs="Calibri"/>
          <w:b/>
          <w:sz w:val="28"/>
          <w:szCs w:val="28"/>
        </w:rPr>
      </w:pPr>
      <w:bookmarkStart w:id="129" w:name="_Toc989018"/>
      <w:r w:rsidRPr="00980BC4">
        <w:rPr>
          <w:rFonts w:ascii="仿宋" w:eastAsia="仿宋" w:hAnsi="仿宋" w:cs="Calibri"/>
          <w:b/>
          <w:sz w:val="28"/>
          <w:szCs w:val="28"/>
        </w:rPr>
        <w:t>1、股份变动情况</w:t>
      </w:r>
      <w:bookmarkEnd w:id="129"/>
    </w:p>
    <w:p w:rsidR="002A3304" w:rsidRPr="00980BC4" w:rsidRDefault="00DF4EBF">
      <w:pPr>
        <w:spacing w:before="40" w:after="40" w:line="240" w:lineRule="exact"/>
        <w:jc w:val="right"/>
        <w:rPr>
          <w:rFonts w:ascii="宋体" w:eastAsia="宋体" w:hAnsi="宋体" w:cs="宋体"/>
          <w:sz w:val="18"/>
          <w:szCs w:val="18"/>
        </w:rPr>
      </w:pPr>
      <w:r w:rsidRPr="00980BC4">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526"/>
        <w:gridCol w:w="1276"/>
        <w:gridCol w:w="850"/>
        <w:gridCol w:w="709"/>
        <w:gridCol w:w="458"/>
        <w:gridCol w:w="676"/>
        <w:gridCol w:w="992"/>
        <w:gridCol w:w="992"/>
        <w:gridCol w:w="1276"/>
        <w:gridCol w:w="884"/>
      </w:tblGrid>
      <w:tr w:rsidR="002A3304" w:rsidRPr="00980BC4" w:rsidTr="00903794">
        <w:trPr>
          <w:trHeight w:val="240"/>
        </w:trPr>
        <w:tc>
          <w:tcPr>
            <w:tcW w:w="15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tc>
        <w:tc>
          <w:tcPr>
            <w:tcW w:w="21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本次变动前</w:t>
            </w:r>
          </w:p>
        </w:tc>
        <w:tc>
          <w:tcPr>
            <w:tcW w:w="3827"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本次变动增减（＋，－）</w:t>
            </w:r>
          </w:p>
        </w:tc>
        <w:tc>
          <w:tcPr>
            <w:tcW w:w="21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本次变动后</w:t>
            </w:r>
          </w:p>
        </w:tc>
      </w:tr>
      <w:tr w:rsidR="0048419F" w:rsidRPr="00980BC4" w:rsidTr="00903794">
        <w:trPr>
          <w:trHeight w:val="240"/>
        </w:trPr>
        <w:tc>
          <w:tcPr>
            <w:tcW w:w="15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数量</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比例</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发行新股</w:t>
            </w:r>
          </w:p>
        </w:tc>
        <w:tc>
          <w:tcPr>
            <w:tcW w:w="458"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送股</w:t>
            </w:r>
          </w:p>
        </w:tc>
        <w:tc>
          <w:tcPr>
            <w:tcW w:w="67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公积金转股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小计</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数量</w:t>
            </w:r>
          </w:p>
        </w:tc>
        <w:tc>
          <w:tcPr>
            <w:tcW w:w="88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比例</w:t>
            </w: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一、有限售条件股份</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14,027,754</w:t>
            </w: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3.17%</w:t>
            </w: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-655,697</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-655,697</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13,372,057</w:t>
            </w: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3.02%</w:t>
            </w: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100" w:firstLine="180"/>
              <w:rPr>
                <w:rFonts w:ascii="宋体" w:eastAsia="宋体" w:hAnsi="宋体" w:cs="宋体"/>
                <w:sz w:val="18"/>
                <w:szCs w:val="18"/>
              </w:rPr>
            </w:pPr>
            <w:r w:rsidRPr="00980BC4">
              <w:rPr>
                <w:rFonts w:ascii="宋体" w:eastAsia="宋体" w:hAnsi="宋体" w:cs="宋体"/>
                <w:sz w:val="18"/>
                <w:szCs w:val="18"/>
              </w:rPr>
              <w:t>1、国家持股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100" w:firstLine="180"/>
              <w:rPr>
                <w:rFonts w:ascii="宋体" w:eastAsia="宋体" w:hAnsi="宋体" w:cs="宋体"/>
                <w:sz w:val="18"/>
                <w:szCs w:val="18"/>
              </w:rPr>
            </w:pPr>
            <w:r w:rsidRPr="00980BC4">
              <w:rPr>
                <w:rFonts w:ascii="宋体" w:eastAsia="宋体" w:hAnsi="宋体" w:cs="宋体"/>
                <w:sz w:val="18"/>
                <w:szCs w:val="18"/>
              </w:rPr>
              <w:t>2、国有法人持股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100" w:firstLine="180"/>
              <w:rPr>
                <w:rFonts w:ascii="宋体" w:eastAsia="宋体" w:hAnsi="宋体" w:cs="宋体"/>
                <w:sz w:val="18"/>
                <w:szCs w:val="18"/>
              </w:rPr>
            </w:pPr>
            <w:r w:rsidRPr="00980BC4">
              <w:rPr>
                <w:rFonts w:ascii="宋体" w:eastAsia="宋体" w:hAnsi="宋体" w:cs="宋体"/>
                <w:sz w:val="18"/>
                <w:szCs w:val="18"/>
              </w:rPr>
              <w:t>3、其他内资持股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14,027,754</w:t>
            </w: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3.17%</w:t>
            </w: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-655,697</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-655,697</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13,372,057</w:t>
            </w: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3.02%</w:t>
            </w: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200" w:firstLine="360"/>
              <w:rPr>
                <w:rFonts w:ascii="宋体" w:eastAsia="宋体" w:hAnsi="宋体" w:cs="宋体"/>
                <w:sz w:val="18"/>
                <w:szCs w:val="18"/>
              </w:rPr>
            </w:pPr>
            <w:r w:rsidRPr="00980BC4">
              <w:rPr>
                <w:rFonts w:ascii="宋体" w:eastAsia="宋体" w:hAnsi="宋体" w:cs="宋体"/>
                <w:sz w:val="18"/>
                <w:szCs w:val="18"/>
              </w:rPr>
              <w:t>其中：境内法人持股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2,496,185</w:t>
            </w: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0.56%</w:t>
            </w: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2,496,185</w:t>
            </w: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0.56%</w:t>
            </w: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200" w:firstLine="360"/>
              <w:rPr>
                <w:rFonts w:ascii="宋体" w:eastAsia="宋体" w:hAnsi="宋体" w:cs="宋体"/>
                <w:sz w:val="18"/>
                <w:szCs w:val="18"/>
              </w:rPr>
            </w:pPr>
            <w:r w:rsidRPr="00980BC4">
              <w:rPr>
                <w:rFonts w:ascii="宋体" w:eastAsia="宋体" w:hAnsi="宋体" w:cs="宋体"/>
                <w:sz w:val="18"/>
                <w:szCs w:val="18"/>
              </w:rPr>
              <w:t>境内自然人持股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11,531,569</w:t>
            </w: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2.61%</w:t>
            </w: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-655,697</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-655,697</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10,875,872</w:t>
            </w: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2.46%</w:t>
            </w: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100" w:firstLine="180"/>
              <w:rPr>
                <w:rFonts w:ascii="宋体" w:eastAsia="宋体" w:hAnsi="宋体" w:cs="宋体"/>
                <w:sz w:val="18"/>
                <w:szCs w:val="18"/>
              </w:rPr>
            </w:pPr>
            <w:r w:rsidRPr="00980BC4">
              <w:rPr>
                <w:rFonts w:ascii="宋体" w:eastAsia="宋体" w:hAnsi="宋体" w:cs="宋体"/>
                <w:sz w:val="18"/>
                <w:szCs w:val="18"/>
              </w:rPr>
              <w:t>4、外资持股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200" w:firstLine="360"/>
              <w:rPr>
                <w:rFonts w:ascii="宋体" w:eastAsia="宋体" w:hAnsi="宋体" w:cs="宋体"/>
                <w:sz w:val="18"/>
                <w:szCs w:val="18"/>
              </w:rPr>
            </w:pPr>
            <w:r w:rsidRPr="00980BC4">
              <w:rPr>
                <w:rFonts w:ascii="宋体" w:eastAsia="宋体" w:hAnsi="宋体" w:cs="宋体"/>
                <w:sz w:val="18"/>
                <w:szCs w:val="18"/>
              </w:rPr>
              <w:t>其中：境外法人持股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200" w:firstLine="360"/>
              <w:rPr>
                <w:rFonts w:ascii="宋体" w:eastAsia="宋体" w:hAnsi="宋体" w:cs="宋体"/>
                <w:sz w:val="18"/>
                <w:szCs w:val="18"/>
              </w:rPr>
            </w:pPr>
            <w:r w:rsidRPr="00980BC4">
              <w:rPr>
                <w:rFonts w:ascii="宋体" w:eastAsia="宋体" w:hAnsi="宋体" w:cs="宋体"/>
                <w:sz w:val="18"/>
                <w:szCs w:val="18"/>
              </w:rPr>
              <w:t>境外自然人持股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二、无限售条件股份</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428,833,570</w:t>
            </w: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96.83%</w:t>
            </w: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655,697</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655,697</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429,489,267</w:t>
            </w: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96.98%</w:t>
            </w: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100" w:firstLine="180"/>
              <w:rPr>
                <w:rFonts w:ascii="宋体" w:eastAsia="宋体" w:hAnsi="宋体" w:cs="宋体"/>
                <w:sz w:val="18"/>
                <w:szCs w:val="18"/>
              </w:rPr>
            </w:pPr>
            <w:r w:rsidRPr="00980BC4">
              <w:rPr>
                <w:rFonts w:ascii="宋体" w:eastAsia="宋体" w:hAnsi="宋体" w:cs="宋体"/>
                <w:sz w:val="18"/>
                <w:szCs w:val="18"/>
              </w:rPr>
              <w:t>1、人民币普通股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428,833,570</w:t>
            </w: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96.83%</w:t>
            </w: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655,697</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655,697</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429,489,267</w:t>
            </w: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96.98%</w:t>
            </w: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100" w:firstLine="180"/>
              <w:rPr>
                <w:rFonts w:ascii="宋体" w:eastAsia="宋体" w:hAnsi="宋体" w:cs="宋体"/>
                <w:sz w:val="18"/>
                <w:szCs w:val="18"/>
              </w:rPr>
            </w:pPr>
            <w:r w:rsidRPr="00980BC4">
              <w:rPr>
                <w:rFonts w:ascii="宋体" w:eastAsia="宋体" w:hAnsi="宋体" w:cs="宋体"/>
                <w:sz w:val="18"/>
                <w:szCs w:val="18"/>
              </w:rPr>
              <w:t>2、境内上市的外资股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100" w:firstLine="180"/>
              <w:rPr>
                <w:rFonts w:ascii="宋体" w:eastAsia="宋体" w:hAnsi="宋体" w:cs="宋体"/>
                <w:sz w:val="18"/>
                <w:szCs w:val="18"/>
              </w:rPr>
            </w:pPr>
            <w:r w:rsidRPr="00980BC4">
              <w:rPr>
                <w:rFonts w:ascii="宋体" w:eastAsia="宋体" w:hAnsi="宋体" w:cs="宋体"/>
                <w:sz w:val="18"/>
                <w:szCs w:val="18"/>
              </w:rPr>
              <w:t>3、境外上市的外资股</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ind w:firstLineChars="100" w:firstLine="180"/>
              <w:rPr>
                <w:rFonts w:ascii="宋体" w:eastAsia="宋体" w:hAnsi="宋体" w:cs="宋体"/>
                <w:sz w:val="18"/>
                <w:szCs w:val="18"/>
              </w:rPr>
            </w:pPr>
            <w:r w:rsidRPr="00980BC4">
              <w:rPr>
                <w:rFonts w:ascii="宋体" w:eastAsia="宋体" w:hAnsi="宋体" w:cs="宋体"/>
                <w:sz w:val="18"/>
                <w:szCs w:val="18"/>
              </w:rPr>
              <w:t>4、其他</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r>
      <w:tr w:rsidR="0048419F" w:rsidRPr="00980BC4" w:rsidTr="00903794">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pPr>
              <w:spacing w:before="40" w:after="40" w:line="240" w:lineRule="exact"/>
              <w:rPr>
                <w:rFonts w:ascii="宋体" w:eastAsia="宋体" w:hAnsi="宋体" w:cs="宋体"/>
                <w:sz w:val="18"/>
                <w:szCs w:val="18"/>
              </w:rPr>
            </w:pPr>
            <w:r w:rsidRPr="00980BC4">
              <w:rPr>
                <w:rFonts w:ascii="宋体" w:eastAsia="宋体" w:hAnsi="宋体" w:cs="宋体"/>
                <w:sz w:val="18"/>
                <w:szCs w:val="18"/>
              </w:rPr>
              <w:t>三、股份总数</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442,861,324</w:t>
            </w:r>
          </w:p>
        </w:tc>
        <w:tc>
          <w:tcPr>
            <w:tcW w:w="85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709"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458"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6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442,861,324</w:t>
            </w:r>
          </w:p>
        </w:tc>
        <w:tc>
          <w:tcPr>
            <w:tcW w:w="8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pPr>
              <w:spacing w:line="240" w:lineRule="exact"/>
              <w:jc w:val="right"/>
              <w:rPr>
                <w:rFonts w:ascii="宋体" w:eastAsia="宋体" w:hAnsi="宋体" w:cs="宋体"/>
                <w:sz w:val="18"/>
                <w:szCs w:val="18"/>
              </w:rPr>
            </w:pPr>
            <w:r w:rsidRPr="00980BC4">
              <w:rPr>
                <w:rFonts w:ascii="宋体" w:eastAsia="宋体" w:hAnsi="宋体" w:cs="宋体"/>
                <w:sz w:val="18"/>
                <w:szCs w:val="18"/>
              </w:rPr>
              <w:t>100.00%</w:t>
            </w:r>
          </w:p>
        </w:tc>
      </w:tr>
    </w:tbl>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股份变动的原因</w:t>
      </w:r>
    </w:p>
    <w:p w:rsidR="000422C9" w:rsidRPr="00980BC4" w:rsidRDefault="00DF4EBF" w:rsidP="000422C9">
      <w:pPr>
        <w:pStyle w:val="a3"/>
        <w:widowControl w:val="0"/>
        <w:spacing w:before="0" w:beforeAutospacing="0" w:after="0" w:afterAutospacing="0" w:line="560" w:lineRule="exact"/>
        <w:ind w:firstLine="561"/>
        <w:jc w:val="both"/>
        <w:divId w:val="2126077653"/>
        <w:rPr>
          <w:rFonts w:ascii="仿宋" w:eastAsia="仿宋" w:hAnsi="仿宋" w:cs="Calibri"/>
          <w:sz w:val="28"/>
          <w:szCs w:val="28"/>
        </w:rPr>
      </w:pPr>
      <w:r w:rsidRPr="00980BC4">
        <w:rPr>
          <w:rFonts w:ascii="仿宋" w:eastAsia="仿宋" w:hAnsi="仿宋" w:cs="Calibri"/>
          <w:sz w:val="28"/>
          <w:szCs w:val="28"/>
        </w:rPr>
        <w:sym w:font="Wingdings 2" w:char="F052"/>
      </w:r>
      <w:r w:rsidRPr="00980BC4">
        <w:rPr>
          <w:rFonts w:ascii="仿宋" w:eastAsia="仿宋" w:hAnsi="仿宋" w:cs="Calibri"/>
          <w:sz w:val="28"/>
          <w:szCs w:val="28"/>
        </w:rPr>
        <w:t>适用</w:t>
      </w:r>
      <w:r w:rsidR="000422C9" w:rsidRPr="00980BC4">
        <w:rPr>
          <w:rFonts w:ascii="仿宋" w:eastAsia="仿宋" w:hAnsi="仿宋" w:cs="Calibri" w:hint="eastAsia"/>
          <w:sz w:val="28"/>
          <w:szCs w:val="28"/>
        </w:rPr>
        <w:t xml:space="preserve">  </w:t>
      </w:r>
      <w:r w:rsidRPr="00980BC4">
        <w:rPr>
          <w:rFonts w:ascii="仿宋" w:eastAsia="仿宋" w:hAnsi="仿宋" w:cs="Calibri"/>
          <w:sz w:val="28"/>
          <w:szCs w:val="28"/>
        </w:rPr>
        <w:t>□不适用</w:t>
      </w:r>
    </w:p>
    <w:p w:rsidR="002A3304" w:rsidRPr="00980BC4" w:rsidRDefault="002A3304" w:rsidP="000422C9">
      <w:pPr>
        <w:pStyle w:val="a3"/>
        <w:widowControl w:val="0"/>
        <w:spacing w:before="0" w:beforeAutospacing="0" w:after="0" w:afterAutospacing="0" w:line="560" w:lineRule="exact"/>
        <w:ind w:firstLine="561"/>
        <w:jc w:val="both"/>
        <w:divId w:val="2126077653"/>
        <w:rPr>
          <w:rFonts w:ascii="仿宋" w:eastAsia="仿宋" w:hAnsi="仿宋" w:cs="Calibri"/>
          <w:sz w:val="28"/>
          <w:szCs w:val="28"/>
        </w:rPr>
      </w:pPr>
      <w:r w:rsidRPr="00980BC4">
        <w:rPr>
          <w:rFonts w:ascii="仿宋" w:eastAsia="仿宋" w:hAnsi="仿宋" w:cs="Calibri" w:hint="eastAsia"/>
          <w:sz w:val="28"/>
          <w:szCs w:val="28"/>
        </w:rPr>
        <w:t xml:space="preserve">1、公司于2022年3月完成了公司2021年限制性股票激励计划中限制性股票的预留部分授予登记工作，向22名激励对象授予了公司限制性股票 </w:t>
      </w:r>
      <w:r w:rsidRPr="00980BC4">
        <w:rPr>
          <w:rFonts w:ascii="仿宋" w:eastAsia="仿宋" w:hAnsi="仿宋" w:cs="Calibri" w:hint="eastAsia"/>
          <w:sz w:val="28"/>
          <w:szCs w:val="28"/>
        </w:rPr>
        <w:lastRenderedPageBreak/>
        <w:t>45.9013万股。</w:t>
      </w:r>
    </w:p>
    <w:p w:rsidR="002A3304" w:rsidRPr="00980BC4" w:rsidRDefault="002A3304" w:rsidP="000422C9">
      <w:pPr>
        <w:pStyle w:val="a3"/>
        <w:spacing w:before="0" w:beforeAutospacing="0" w:after="0" w:afterAutospacing="0" w:line="560" w:lineRule="exact"/>
        <w:ind w:firstLine="560"/>
        <w:jc w:val="both"/>
        <w:divId w:val="2126077653"/>
        <w:rPr>
          <w:rFonts w:ascii="仿宋" w:eastAsia="仿宋" w:hAnsi="仿宋" w:cs="Calibri"/>
          <w:sz w:val="28"/>
          <w:szCs w:val="28"/>
        </w:rPr>
      </w:pPr>
      <w:r w:rsidRPr="00980BC4">
        <w:rPr>
          <w:rFonts w:ascii="仿宋" w:eastAsia="仿宋" w:hAnsi="仿宋" w:cs="Calibri" w:hint="eastAsia"/>
          <w:sz w:val="28"/>
          <w:szCs w:val="28"/>
        </w:rPr>
        <w:t>2、公司于2022年5月办理了公司2021年限制性股票激励计划首次授予第一个解除限售期涉及的股份上市流通手续，本次符合解除限售条件的激励对象共计55名，本次解除限售的限制性股票数量为117.438万股。</w:t>
      </w:r>
    </w:p>
    <w:p w:rsidR="002A3304" w:rsidRPr="00980BC4" w:rsidRDefault="002A3304" w:rsidP="000422C9">
      <w:pPr>
        <w:pStyle w:val="a3"/>
        <w:spacing w:before="0" w:beforeAutospacing="0" w:after="0" w:afterAutospacing="0" w:line="560" w:lineRule="exact"/>
        <w:ind w:firstLine="560"/>
        <w:jc w:val="both"/>
        <w:divId w:val="2126077653"/>
        <w:rPr>
          <w:rFonts w:ascii="仿宋" w:eastAsia="仿宋" w:hAnsi="仿宋" w:cs="Calibri"/>
          <w:sz w:val="28"/>
          <w:szCs w:val="28"/>
        </w:rPr>
      </w:pPr>
      <w:r w:rsidRPr="00980BC4">
        <w:rPr>
          <w:rFonts w:ascii="仿宋" w:eastAsia="仿宋" w:hAnsi="仿宋" w:cs="Calibri" w:hint="eastAsia"/>
          <w:sz w:val="28"/>
          <w:szCs w:val="28"/>
        </w:rPr>
        <w:t>3、根据《深圳证券交易所上市公司董事、监事和高级管理人员所持本公司股份及其变动管理业务指引》相关规定，上述解除限售激励对象中的董监高，其每年转让的股份不得超过其所持有本公司股份总数的25%。</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股份变动的批准情况</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□适用</w:t>
      </w:r>
      <w:r w:rsidR="000422C9" w:rsidRPr="00980BC4">
        <w:rPr>
          <w:rFonts w:ascii="仿宋" w:eastAsia="仿宋" w:hAnsi="仿宋" w:cs="Calibri" w:hint="eastAsia"/>
          <w:sz w:val="28"/>
          <w:szCs w:val="28"/>
        </w:rPr>
        <w:t xml:space="preserve"> </w:t>
      </w:r>
      <w:r w:rsidRPr="00980BC4">
        <w:rPr>
          <w:rFonts w:ascii="仿宋" w:eastAsia="仿宋" w:hAnsi="仿宋" w:cs="Calibri"/>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股份变动的过户情况</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 xml:space="preserve">□适用 </w:t>
      </w:r>
      <w:r w:rsidR="000422C9" w:rsidRPr="00980BC4">
        <w:rPr>
          <w:rFonts w:ascii="仿宋" w:eastAsia="仿宋" w:hAnsi="仿宋" w:cs="Calibri" w:hint="eastAsia"/>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股份变动对最近一年和最近一期基本每股收益和稀释每股收益、归属于公司普通股股东的每股净资产等财务指标的影响</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□适用</w:t>
      </w:r>
      <w:r w:rsidR="000422C9" w:rsidRPr="00980BC4">
        <w:rPr>
          <w:rFonts w:ascii="仿宋" w:eastAsia="仿宋" w:hAnsi="仿宋" w:cs="Calibri" w:hint="eastAsia"/>
          <w:sz w:val="28"/>
          <w:szCs w:val="28"/>
        </w:rPr>
        <w:t xml:space="preserve"> </w:t>
      </w:r>
      <w:r w:rsidRPr="00980BC4">
        <w:rPr>
          <w:rFonts w:ascii="仿宋" w:eastAsia="仿宋" w:hAnsi="仿宋" w:cs="Calibri"/>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公司认为必要或证券监管机构要求披露的其他内容</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□适用</w:t>
      </w:r>
      <w:r w:rsidR="000422C9" w:rsidRPr="00980BC4">
        <w:rPr>
          <w:rFonts w:ascii="仿宋" w:eastAsia="仿宋" w:hAnsi="仿宋" w:cs="Calibri" w:hint="eastAsia"/>
          <w:sz w:val="28"/>
          <w:szCs w:val="28"/>
        </w:rPr>
        <w:t xml:space="preserve"> </w:t>
      </w:r>
      <w:r w:rsidRPr="00980BC4">
        <w:rPr>
          <w:rFonts w:ascii="仿宋" w:eastAsia="仿宋" w:hAnsi="仿宋" w:cs="Calibri"/>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b/>
          <w:sz w:val="28"/>
          <w:szCs w:val="28"/>
        </w:rPr>
      </w:pPr>
      <w:bookmarkStart w:id="130" w:name="_Toc989019"/>
      <w:r w:rsidRPr="00980BC4">
        <w:rPr>
          <w:rFonts w:ascii="仿宋" w:eastAsia="仿宋" w:hAnsi="仿宋" w:cs="Calibri"/>
          <w:b/>
          <w:sz w:val="28"/>
          <w:szCs w:val="28"/>
        </w:rPr>
        <w:t>2、限售股份变动情况</w:t>
      </w:r>
      <w:bookmarkEnd w:id="130"/>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sym w:font="Wingdings 2" w:char="F052"/>
      </w:r>
      <w:r w:rsidRPr="00980BC4">
        <w:rPr>
          <w:rFonts w:ascii="仿宋" w:eastAsia="仿宋" w:hAnsi="仿宋" w:cs="Calibri"/>
          <w:sz w:val="28"/>
          <w:szCs w:val="28"/>
        </w:rPr>
        <w:t>适用</w:t>
      </w:r>
      <w:r w:rsidR="000422C9" w:rsidRPr="00980BC4">
        <w:rPr>
          <w:rFonts w:ascii="仿宋" w:eastAsia="仿宋" w:hAnsi="仿宋" w:cs="Calibri" w:hint="eastAsia"/>
          <w:sz w:val="28"/>
          <w:szCs w:val="28"/>
        </w:rPr>
        <w:t xml:space="preserve"> </w:t>
      </w:r>
      <w:r w:rsidRPr="00980BC4">
        <w:rPr>
          <w:rFonts w:ascii="仿宋" w:eastAsia="仿宋" w:hAnsi="仿宋" w:cs="Calibri"/>
          <w:sz w:val="28"/>
          <w:szCs w:val="28"/>
        </w:rPr>
        <w:t xml:space="preserve"> □不适用</w:t>
      </w:r>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242"/>
        <w:gridCol w:w="1134"/>
        <w:gridCol w:w="1134"/>
        <w:gridCol w:w="1276"/>
        <w:gridCol w:w="1134"/>
        <w:gridCol w:w="1276"/>
        <w:gridCol w:w="2443"/>
      </w:tblGrid>
      <w:tr w:rsidR="002A3304" w:rsidRPr="00980BC4" w:rsidTr="000422C9">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股东名称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期初限售股数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本期增加限售股数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本期解除限售股数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期末限售股数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限售原因</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解除限售日期</w:t>
            </w:r>
          </w:p>
        </w:tc>
      </w:tr>
      <w:tr w:rsidR="002A3304" w:rsidRPr="00980BC4" w:rsidTr="000422C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股权激励限售股</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3,929,600</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459,013</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1,174,380</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3,214,233</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限制性股票激励计划的限制性股票</w:t>
            </w:r>
          </w:p>
        </w:tc>
        <w:tc>
          <w:tcPr>
            <w:tcW w:w="24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预计2023年3月2日可解除229,507股；2023年5月19日可解除限售1,178,880股；2024年3月2日可解除229,506股；2024年5月19日可解除限售1,571,840股。</w:t>
            </w:r>
          </w:p>
        </w:tc>
      </w:tr>
      <w:tr w:rsidR="002A3304" w:rsidRPr="00980BC4" w:rsidTr="000422C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高管锁定股</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7,601,969</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59,670</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7,661,639</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根据相关法律法规的规</w:t>
            </w:r>
            <w:r w:rsidRPr="00980BC4">
              <w:rPr>
                <w:rFonts w:ascii="宋体" w:eastAsia="宋体" w:hAnsi="宋体" w:cs="宋体"/>
                <w:sz w:val="18"/>
                <w:szCs w:val="18"/>
              </w:rPr>
              <w:lastRenderedPageBreak/>
              <w:t>定，董监高在职期间每年其所持公司股份总数的25%为实际可上市流通股份，剩余75%股份将进行锁定。</w:t>
            </w:r>
          </w:p>
        </w:tc>
        <w:tc>
          <w:tcPr>
            <w:tcW w:w="2443"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lastRenderedPageBreak/>
              <w:t>每年所持股份的25%解除限售，任期届满后六个月后所</w:t>
            </w:r>
            <w:r w:rsidRPr="00980BC4">
              <w:rPr>
                <w:rFonts w:ascii="宋体" w:eastAsia="宋体" w:hAnsi="宋体" w:cs="宋体"/>
                <w:sz w:val="18"/>
                <w:szCs w:val="18"/>
              </w:rPr>
              <w:lastRenderedPageBreak/>
              <w:t>持股份全部解除限售。</w:t>
            </w:r>
          </w:p>
        </w:tc>
      </w:tr>
      <w:tr w:rsidR="002A3304" w:rsidRPr="00980BC4" w:rsidTr="000422C9">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合计</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11,531,569</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518,683</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1,174,380</w:t>
            </w:r>
          </w:p>
        </w:tc>
        <w:tc>
          <w:tcPr>
            <w:tcW w:w="113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10,875,872</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r>
    </w:tbl>
    <w:p w:rsidR="002A3304" w:rsidRPr="00980BC4" w:rsidRDefault="00DF4EBF" w:rsidP="000422C9">
      <w:pPr>
        <w:pStyle w:val="Chapter"/>
        <w:spacing w:before="0" w:after="0" w:line="560" w:lineRule="exact"/>
        <w:ind w:firstLineChars="200" w:firstLine="562"/>
        <w:outlineLvl w:val="1"/>
        <w:rPr>
          <w:bCs w:val="0"/>
          <w:sz w:val="28"/>
          <w:szCs w:val="28"/>
        </w:rPr>
      </w:pPr>
      <w:bookmarkStart w:id="131" w:name="_Toc989020"/>
      <w:r w:rsidRPr="00980BC4">
        <w:rPr>
          <w:bCs w:val="0"/>
          <w:sz w:val="28"/>
          <w:szCs w:val="28"/>
        </w:rPr>
        <w:t>二、证券发行与上市情况</w:t>
      </w:r>
      <w:bookmarkEnd w:id="131"/>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b/>
          <w:sz w:val="28"/>
          <w:szCs w:val="28"/>
        </w:rPr>
      </w:pPr>
      <w:bookmarkStart w:id="132" w:name="_Toc989021"/>
      <w:r w:rsidRPr="00980BC4">
        <w:rPr>
          <w:rFonts w:ascii="仿宋" w:eastAsia="仿宋" w:hAnsi="仿宋" w:cs="Calibri"/>
          <w:b/>
          <w:sz w:val="28"/>
          <w:szCs w:val="28"/>
        </w:rPr>
        <w:t>1、报告期内证券发行（不含优先股）情况</w:t>
      </w:r>
      <w:bookmarkEnd w:id="132"/>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□适用</w:t>
      </w:r>
      <w:r w:rsidR="000422C9" w:rsidRPr="00980BC4">
        <w:rPr>
          <w:rFonts w:ascii="仿宋" w:eastAsia="仿宋" w:hAnsi="仿宋" w:cs="Calibri" w:hint="eastAsia"/>
          <w:sz w:val="28"/>
          <w:szCs w:val="28"/>
        </w:rPr>
        <w:t xml:space="preserve"> </w:t>
      </w:r>
      <w:r w:rsidRPr="00980BC4">
        <w:rPr>
          <w:rFonts w:ascii="仿宋" w:eastAsia="仿宋" w:hAnsi="仿宋" w:cs="Calibri"/>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b/>
          <w:sz w:val="28"/>
          <w:szCs w:val="28"/>
        </w:rPr>
      </w:pPr>
      <w:bookmarkStart w:id="133" w:name="_Toc989022"/>
      <w:r w:rsidRPr="00980BC4">
        <w:rPr>
          <w:rFonts w:ascii="仿宋" w:eastAsia="仿宋" w:hAnsi="仿宋" w:cs="Calibri"/>
          <w:b/>
          <w:sz w:val="28"/>
          <w:szCs w:val="28"/>
        </w:rPr>
        <w:t>2、公司股份总数及股东结构的变动、公司资产和负债结构的变动情况说明</w:t>
      </w:r>
      <w:bookmarkEnd w:id="133"/>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□适用</w:t>
      </w:r>
      <w:r w:rsidR="000422C9" w:rsidRPr="00980BC4">
        <w:rPr>
          <w:rFonts w:ascii="仿宋" w:eastAsia="仿宋" w:hAnsi="仿宋" w:cs="Calibri" w:hint="eastAsia"/>
          <w:sz w:val="28"/>
          <w:szCs w:val="28"/>
        </w:rPr>
        <w:t xml:space="preserve"> </w:t>
      </w:r>
      <w:r w:rsidRPr="00980BC4">
        <w:rPr>
          <w:rFonts w:ascii="仿宋" w:eastAsia="仿宋" w:hAnsi="仿宋" w:cs="Calibri"/>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b/>
          <w:sz w:val="28"/>
          <w:szCs w:val="28"/>
        </w:rPr>
      </w:pPr>
      <w:bookmarkStart w:id="134" w:name="_Toc989023"/>
      <w:r w:rsidRPr="00980BC4">
        <w:rPr>
          <w:rFonts w:ascii="仿宋" w:eastAsia="仿宋" w:hAnsi="仿宋" w:cs="Calibri"/>
          <w:b/>
          <w:sz w:val="28"/>
          <w:szCs w:val="28"/>
        </w:rPr>
        <w:t>3、现存的内部职工股情况</w:t>
      </w:r>
      <w:bookmarkEnd w:id="134"/>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□适用</w:t>
      </w:r>
      <w:r w:rsidR="000422C9" w:rsidRPr="00980BC4">
        <w:rPr>
          <w:rFonts w:ascii="仿宋" w:eastAsia="仿宋" w:hAnsi="仿宋" w:cs="Calibri" w:hint="eastAsia"/>
          <w:sz w:val="28"/>
          <w:szCs w:val="28"/>
        </w:rPr>
        <w:t xml:space="preserve"> </w:t>
      </w:r>
      <w:r w:rsidRPr="00980BC4">
        <w:rPr>
          <w:rFonts w:ascii="仿宋" w:eastAsia="仿宋" w:hAnsi="仿宋" w:cs="Calibri"/>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422C9">
      <w:pPr>
        <w:pStyle w:val="Chapter"/>
        <w:spacing w:before="0" w:after="0" w:line="560" w:lineRule="exact"/>
        <w:ind w:firstLineChars="200" w:firstLine="562"/>
        <w:outlineLvl w:val="1"/>
        <w:rPr>
          <w:bCs w:val="0"/>
          <w:sz w:val="28"/>
          <w:szCs w:val="28"/>
        </w:rPr>
      </w:pPr>
      <w:bookmarkStart w:id="135" w:name="_Toc989024"/>
      <w:r w:rsidRPr="00980BC4">
        <w:rPr>
          <w:bCs w:val="0"/>
          <w:sz w:val="28"/>
          <w:szCs w:val="28"/>
        </w:rPr>
        <w:t>三、股东和实际控制人情况</w:t>
      </w:r>
      <w:bookmarkEnd w:id="135"/>
    </w:p>
    <w:p w:rsidR="002A3304" w:rsidRPr="00980BC4" w:rsidRDefault="00DF4EBF" w:rsidP="000422C9">
      <w:pPr>
        <w:pStyle w:val="a3"/>
        <w:spacing w:before="0" w:beforeAutospacing="0" w:after="0" w:afterAutospacing="0" w:line="560" w:lineRule="exact"/>
        <w:ind w:firstLine="560"/>
        <w:jc w:val="both"/>
        <w:rPr>
          <w:rFonts w:ascii="仿宋" w:eastAsia="仿宋" w:hAnsi="仿宋" w:cs="Calibri"/>
          <w:b/>
          <w:sz w:val="28"/>
          <w:szCs w:val="28"/>
        </w:rPr>
      </w:pPr>
      <w:bookmarkStart w:id="136" w:name="_Toc989025"/>
      <w:r w:rsidRPr="00980BC4">
        <w:rPr>
          <w:rFonts w:ascii="仿宋" w:eastAsia="仿宋" w:hAnsi="仿宋" w:cs="Calibri"/>
          <w:b/>
          <w:sz w:val="28"/>
          <w:szCs w:val="28"/>
        </w:rPr>
        <w:t>1、公司股东数量及持股情况</w:t>
      </w:r>
      <w:bookmarkEnd w:id="136"/>
    </w:p>
    <w:p w:rsidR="002A3304" w:rsidRPr="00980BC4" w:rsidRDefault="00DF4EBF">
      <w:pPr>
        <w:spacing w:before="120" w:after="120" w:line="240" w:lineRule="exact"/>
        <w:jc w:val="right"/>
        <w:rPr>
          <w:rFonts w:ascii="宋体" w:eastAsia="宋体" w:hAnsi="宋体" w:cs="宋体"/>
          <w:sz w:val="18"/>
          <w:szCs w:val="18"/>
        </w:rPr>
      </w:pPr>
      <w:r w:rsidRPr="00980BC4">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071"/>
        <w:gridCol w:w="171"/>
        <w:gridCol w:w="900"/>
        <w:gridCol w:w="1071"/>
        <w:gridCol w:w="1071"/>
        <w:gridCol w:w="219"/>
        <w:gridCol w:w="852"/>
        <w:gridCol w:w="707"/>
        <w:gridCol w:w="364"/>
        <w:gridCol w:w="1337"/>
        <w:gridCol w:w="142"/>
        <w:gridCol w:w="567"/>
        <w:gridCol w:w="96"/>
        <w:gridCol w:w="1071"/>
      </w:tblGrid>
      <w:tr w:rsidR="002A3304" w:rsidRPr="00980BC4">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sz w:val="18"/>
                <w:szCs w:val="18"/>
              </w:rPr>
            </w:pPr>
            <w:r w:rsidRPr="00980BC4">
              <w:rPr>
                <w:rFonts w:ascii="宋体" w:eastAsia="宋体" w:hAnsi="宋体" w:cs="宋体"/>
                <w:sz w:val="18"/>
                <w:szCs w:val="18"/>
              </w:rPr>
              <w:t>报告期末普通股股东总数</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29,312</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年度报告披露日前上一月末普通股股东总数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2A0AA7" w:rsidP="000422C9">
            <w:pPr>
              <w:spacing w:line="280" w:lineRule="exact"/>
              <w:jc w:val="right"/>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27,947</w:t>
            </w:r>
          </w:p>
        </w:tc>
        <w:tc>
          <w:tcPr>
            <w:tcW w:w="107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sz w:val="18"/>
                <w:szCs w:val="18"/>
              </w:rPr>
            </w:pPr>
            <w:r w:rsidRPr="00980BC4">
              <w:rPr>
                <w:rFonts w:ascii="宋体" w:eastAsia="宋体" w:hAnsi="宋体" w:cs="宋体"/>
                <w:sz w:val="18"/>
                <w:szCs w:val="18"/>
              </w:rPr>
              <w:t>报告期末表决权恢复的优先股股东总数（如有）（参见注8）</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c>
          <w:tcPr>
            <w:tcW w:w="214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sz w:val="18"/>
                <w:szCs w:val="18"/>
              </w:rPr>
            </w:pPr>
            <w:r w:rsidRPr="00980BC4">
              <w:rPr>
                <w:rFonts w:ascii="宋体" w:eastAsia="宋体" w:hAnsi="宋体" w:cs="宋体"/>
                <w:sz w:val="18"/>
                <w:szCs w:val="18"/>
              </w:rPr>
              <w:t>年度报告披露日前上一月末表决权恢复的优先股股东总数（如有）（参见注8）</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0</w:t>
            </w:r>
          </w:p>
        </w:tc>
      </w:tr>
      <w:tr w:rsidR="002A3304" w:rsidRPr="00980BC4">
        <w:trPr>
          <w:trHeight w:val="240"/>
        </w:trPr>
        <w:tc>
          <w:tcPr>
            <w:tcW w:w="9639"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持股5%以上的股东或前10名股东持股情况</w:t>
            </w:r>
          </w:p>
        </w:tc>
      </w:tr>
      <w:tr w:rsidR="002A3304" w:rsidRPr="00980BC4" w:rsidTr="000422C9">
        <w:trPr>
          <w:trHeight w:val="240"/>
        </w:trPr>
        <w:tc>
          <w:tcPr>
            <w:tcW w:w="12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股东名称</w:t>
            </w:r>
          </w:p>
        </w:tc>
        <w:tc>
          <w:tcPr>
            <w:tcW w:w="9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持股比例</w:t>
            </w:r>
          </w:p>
        </w:tc>
        <w:tc>
          <w:tcPr>
            <w:tcW w:w="1290"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报告期末持股数量</w:t>
            </w:r>
          </w:p>
        </w:tc>
        <w:tc>
          <w:tcPr>
            <w:tcW w:w="85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报告期内增减变动情况</w:t>
            </w:r>
          </w:p>
        </w:tc>
        <w:tc>
          <w:tcPr>
            <w:tcW w:w="107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持有有限售条件的股份数量</w:t>
            </w:r>
          </w:p>
        </w:tc>
        <w:tc>
          <w:tcPr>
            <w:tcW w:w="133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持有无限售条件的股份数量</w:t>
            </w:r>
          </w:p>
        </w:tc>
        <w:tc>
          <w:tcPr>
            <w:tcW w:w="187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质押、标记或冻结情况</w:t>
            </w:r>
          </w:p>
        </w:tc>
      </w:tr>
      <w:tr w:rsidR="002A3304" w:rsidRPr="00980BC4" w:rsidTr="000422C9">
        <w:trPr>
          <w:trHeight w:val="240"/>
        </w:trPr>
        <w:tc>
          <w:tcPr>
            <w:tcW w:w="12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422C9">
            <w:pPr>
              <w:spacing w:line="280" w:lineRule="exact"/>
            </w:pPr>
          </w:p>
        </w:tc>
        <w:tc>
          <w:tcPr>
            <w:tcW w:w="9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422C9">
            <w:pPr>
              <w:spacing w:line="280" w:lineRule="exact"/>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422C9">
            <w:pPr>
              <w:spacing w:line="280" w:lineRule="exact"/>
            </w:pPr>
          </w:p>
        </w:tc>
        <w:tc>
          <w:tcPr>
            <w:tcW w:w="129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422C9">
            <w:pPr>
              <w:spacing w:line="280" w:lineRule="exact"/>
            </w:pPr>
          </w:p>
        </w:tc>
        <w:tc>
          <w:tcPr>
            <w:tcW w:w="85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422C9">
            <w:pPr>
              <w:spacing w:line="280" w:lineRule="exact"/>
            </w:pPr>
          </w:p>
        </w:tc>
        <w:tc>
          <w:tcPr>
            <w:tcW w:w="107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422C9">
            <w:pPr>
              <w:spacing w:line="280" w:lineRule="exact"/>
            </w:pPr>
          </w:p>
        </w:tc>
        <w:tc>
          <w:tcPr>
            <w:tcW w:w="133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422C9">
            <w:pPr>
              <w:spacing w:line="280" w:lineRule="exact"/>
            </w:pPr>
          </w:p>
        </w:tc>
        <w:tc>
          <w:tcPr>
            <w:tcW w:w="70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股份状态</w:t>
            </w:r>
          </w:p>
        </w:tc>
        <w:tc>
          <w:tcPr>
            <w:tcW w:w="116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数量</w:t>
            </w:r>
          </w:p>
        </w:tc>
      </w:tr>
      <w:tr w:rsidR="000422C9" w:rsidRPr="00980BC4" w:rsidTr="008D5B15">
        <w:trPr>
          <w:trHeight w:val="501"/>
        </w:trPr>
        <w:tc>
          <w:tcPr>
            <w:tcW w:w="1242" w:type="dxa"/>
            <w:gridSpan w:val="2"/>
            <w:vMerge w:val="restart"/>
            <w:tcBorders>
              <w:top w:val="single" w:sz="2" w:space="0" w:color="auto"/>
              <w:left w:val="single" w:sz="2" w:space="0" w:color="auto"/>
              <w:right w:val="single" w:sz="2" w:space="0" w:color="auto"/>
            </w:tcBorders>
            <w:vAlign w:val="center"/>
          </w:tcPr>
          <w:p w:rsidR="000422C9" w:rsidRPr="00980BC4" w:rsidRDefault="000422C9" w:rsidP="000422C9">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w:t>
            </w:r>
          </w:p>
        </w:tc>
        <w:tc>
          <w:tcPr>
            <w:tcW w:w="900" w:type="dxa"/>
            <w:vMerge w:val="restart"/>
            <w:tcBorders>
              <w:top w:val="single" w:sz="2" w:space="0" w:color="auto"/>
              <w:left w:val="single" w:sz="2" w:space="0" w:color="auto"/>
              <w:right w:val="single" w:sz="2" w:space="0" w:color="auto"/>
            </w:tcBorders>
            <w:vAlign w:val="center"/>
          </w:tcPr>
          <w:p w:rsidR="000422C9" w:rsidRPr="00980BC4" w:rsidRDefault="000422C9" w:rsidP="000422C9">
            <w:pPr>
              <w:spacing w:line="280" w:lineRule="exact"/>
              <w:rPr>
                <w:rFonts w:ascii="宋体" w:eastAsia="宋体" w:hAnsi="宋体" w:cs="宋体"/>
                <w:sz w:val="18"/>
                <w:szCs w:val="18"/>
              </w:rPr>
            </w:pPr>
            <w:r w:rsidRPr="00980BC4">
              <w:rPr>
                <w:rFonts w:ascii="宋体" w:eastAsia="宋体" w:hAnsi="宋体" w:cs="宋体"/>
                <w:sz w:val="18"/>
                <w:szCs w:val="18"/>
              </w:rPr>
              <w:t>境内非国有法人</w:t>
            </w:r>
          </w:p>
          <w:p w:rsidR="000422C9" w:rsidRPr="00980BC4" w:rsidRDefault="000422C9" w:rsidP="000422C9">
            <w:pPr>
              <w:spacing w:line="280" w:lineRule="exact"/>
              <w:rPr>
                <w:rFonts w:ascii="宋体" w:eastAsia="宋体" w:hAnsi="宋体" w:cs="宋体"/>
                <w:sz w:val="18"/>
                <w:szCs w:val="18"/>
              </w:rPr>
            </w:pPr>
          </w:p>
        </w:tc>
        <w:tc>
          <w:tcPr>
            <w:tcW w:w="1071" w:type="dxa"/>
            <w:vMerge w:val="restart"/>
            <w:tcBorders>
              <w:top w:val="single" w:sz="2" w:space="0" w:color="auto"/>
              <w:left w:val="single" w:sz="2" w:space="0" w:color="auto"/>
              <w:right w:val="single" w:sz="2" w:space="0" w:color="auto"/>
            </w:tcBorders>
            <w:vAlign w:val="center"/>
          </w:tcPr>
          <w:p w:rsidR="000422C9" w:rsidRPr="00980BC4" w:rsidRDefault="000422C9"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41.77%</w:t>
            </w:r>
          </w:p>
        </w:tc>
        <w:tc>
          <w:tcPr>
            <w:tcW w:w="1290" w:type="dxa"/>
            <w:gridSpan w:val="2"/>
            <w:vMerge w:val="restart"/>
            <w:tcBorders>
              <w:top w:val="single" w:sz="2" w:space="0" w:color="auto"/>
              <w:left w:val="single" w:sz="2" w:space="0" w:color="auto"/>
              <w:right w:val="single" w:sz="2" w:space="0" w:color="auto"/>
            </w:tcBorders>
            <w:vAlign w:val="center"/>
          </w:tcPr>
          <w:p w:rsidR="000422C9" w:rsidRPr="00980BC4" w:rsidRDefault="000422C9"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185,000,000</w:t>
            </w:r>
          </w:p>
        </w:tc>
        <w:tc>
          <w:tcPr>
            <w:tcW w:w="852" w:type="dxa"/>
            <w:vMerge w:val="restart"/>
            <w:tcBorders>
              <w:top w:val="single" w:sz="2" w:space="0" w:color="auto"/>
              <w:left w:val="single" w:sz="2" w:space="0" w:color="auto"/>
              <w:bottom w:val="single" w:sz="2" w:space="0" w:color="auto"/>
              <w:right w:val="single" w:sz="2" w:space="0" w:color="auto"/>
            </w:tcBorders>
            <w:vAlign w:val="center"/>
          </w:tcPr>
          <w:p w:rsidR="000422C9" w:rsidRPr="00980BC4" w:rsidRDefault="000422C9" w:rsidP="000422C9">
            <w:pPr>
              <w:spacing w:line="280" w:lineRule="exact"/>
              <w:rPr>
                <w:rFonts w:ascii="宋体" w:eastAsia="宋体" w:hAnsi="宋体" w:cs="宋体"/>
                <w:sz w:val="18"/>
                <w:szCs w:val="18"/>
              </w:rPr>
            </w:pPr>
          </w:p>
        </w:tc>
        <w:tc>
          <w:tcPr>
            <w:tcW w:w="1071" w:type="dxa"/>
            <w:gridSpan w:val="2"/>
            <w:vMerge w:val="restart"/>
            <w:tcBorders>
              <w:top w:val="single" w:sz="2" w:space="0" w:color="auto"/>
              <w:left w:val="single" w:sz="2" w:space="0" w:color="auto"/>
              <w:bottom w:val="single" w:sz="2" w:space="0" w:color="auto"/>
              <w:right w:val="single" w:sz="2" w:space="0" w:color="auto"/>
            </w:tcBorders>
            <w:vAlign w:val="center"/>
          </w:tcPr>
          <w:p w:rsidR="000422C9" w:rsidRPr="00980BC4" w:rsidRDefault="000422C9" w:rsidP="000422C9">
            <w:pPr>
              <w:spacing w:line="280" w:lineRule="exact"/>
              <w:jc w:val="right"/>
              <w:rPr>
                <w:rFonts w:ascii="宋体" w:eastAsia="宋体" w:hAnsi="宋体" w:cs="宋体"/>
                <w:sz w:val="18"/>
                <w:szCs w:val="18"/>
              </w:rPr>
            </w:pPr>
          </w:p>
        </w:tc>
        <w:tc>
          <w:tcPr>
            <w:tcW w:w="1337" w:type="dxa"/>
            <w:vMerge w:val="restart"/>
            <w:tcBorders>
              <w:top w:val="single" w:sz="2" w:space="0" w:color="auto"/>
              <w:left w:val="single" w:sz="2" w:space="0" w:color="auto"/>
              <w:right w:val="single" w:sz="2" w:space="0" w:color="auto"/>
            </w:tcBorders>
            <w:vAlign w:val="center"/>
          </w:tcPr>
          <w:p w:rsidR="000422C9" w:rsidRPr="00980BC4" w:rsidRDefault="000422C9"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185,000,00</w:t>
            </w:r>
            <w:r w:rsidRPr="00980BC4">
              <w:rPr>
                <w:rFonts w:ascii="宋体" w:eastAsia="宋体" w:hAnsi="宋体" w:cs="宋体" w:hint="eastAsia"/>
                <w:sz w:val="18"/>
                <w:szCs w:val="18"/>
              </w:rPr>
              <w:t>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0422C9" w:rsidRPr="00980BC4" w:rsidRDefault="000422C9" w:rsidP="000422C9">
            <w:pPr>
              <w:spacing w:line="280" w:lineRule="exact"/>
              <w:rPr>
                <w:rFonts w:ascii="宋体" w:eastAsia="宋体" w:hAnsi="宋体" w:cs="宋体"/>
                <w:sz w:val="18"/>
                <w:szCs w:val="18"/>
              </w:rPr>
            </w:pPr>
            <w:r w:rsidRPr="00980BC4">
              <w:rPr>
                <w:rFonts w:ascii="宋体" w:eastAsia="宋体" w:hAnsi="宋体" w:cs="宋体"/>
                <w:sz w:val="18"/>
                <w:szCs w:val="18"/>
              </w:rPr>
              <w:t>质押</w:t>
            </w: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0422C9" w:rsidRPr="00980BC4" w:rsidRDefault="000422C9"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50,000,000</w:t>
            </w:r>
          </w:p>
        </w:tc>
      </w:tr>
      <w:tr w:rsidR="000422C9" w:rsidRPr="00980BC4" w:rsidTr="008D5B15">
        <w:trPr>
          <w:trHeight w:val="240"/>
        </w:trPr>
        <w:tc>
          <w:tcPr>
            <w:tcW w:w="1242" w:type="dxa"/>
            <w:gridSpan w:val="2"/>
            <w:vMerge/>
            <w:tcBorders>
              <w:left w:val="single" w:sz="2" w:space="0" w:color="auto"/>
              <w:bottom w:val="single" w:sz="2" w:space="0" w:color="auto"/>
              <w:right w:val="single" w:sz="2" w:space="0" w:color="auto"/>
            </w:tcBorders>
            <w:vAlign w:val="center"/>
          </w:tcPr>
          <w:p w:rsidR="000422C9" w:rsidRPr="00980BC4" w:rsidRDefault="000422C9" w:rsidP="000422C9">
            <w:pPr>
              <w:spacing w:line="280" w:lineRule="exact"/>
              <w:rPr>
                <w:rFonts w:ascii="宋体" w:eastAsia="宋体" w:hAnsi="宋体" w:cs="宋体"/>
                <w:sz w:val="18"/>
                <w:szCs w:val="18"/>
              </w:rPr>
            </w:pPr>
          </w:p>
        </w:tc>
        <w:tc>
          <w:tcPr>
            <w:tcW w:w="900" w:type="dxa"/>
            <w:vMerge/>
            <w:tcBorders>
              <w:left w:val="single" w:sz="2" w:space="0" w:color="auto"/>
              <w:bottom w:val="single" w:sz="2" w:space="0" w:color="auto"/>
              <w:right w:val="single" w:sz="2" w:space="0" w:color="auto"/>
            </w:tcBorders>
            <w:vAlign w:val="center"/>
          </w:tcPr>
          <w:p w:rsidR="000422C9" w:rsidRPr="00980BC4" w:rsidRDefault="000422C9" w:rsidP="000422C9">
            <w:pPr>
              <w:spacing w:line="280" w:lineRule="exact"/>
              <w:rPr>
                <w:rFonts w:ascii="宋体" w:eastAsia="宋体" w:hAnsi="宋体" w:cs="宋体"/>
                <w:sz w:val="18"/>
                <w:szCs w:val="18"/>
              </w:rPr>
            </w:pPr>
          </w:p>
        </w:tc>
        <w:tc>
          <w:tcPr>
            <w:tcW w:w="1071" w:type="dxa"/>
            <w:vMerge/>
            <w:tcBorders>
              <w:left w:val="single" w:sz="2" w:space="0" w:color="auto"/>
              <w:bottom w:val="single" w:sz="2" w:space="0" w:color="auto"/>
              <w:right w:val="single" w:sz="2" w:space="0" w:color="auto"/>
            </w:tcBorders>
            <w:vAlign w:val="center"/>
          </w:tcPr>
          <w:p w:rsidR="000422C9" w:rsidRPr="00980BC4" w:rsidRDefault="000422C9" w:rsidP="000422C9">
            <w:pPr>
              <w:spacing w:line="280" w:lineRule="exact"/>
              <w:jc w:val="right"/>
              <w:rPr>
                <w:rFonts w:ascii="宋体" w:eastAsia="宋体" w:hAnsi="宋体" w:cs="宋体"/>
                <w:sz w:val="18"/>
                <w:szCs w:val="18"/>
              </w:rPr>
            </w:pPr>
          </w:p>
        </w:tc>
        <w:tc>
          <w:tcPr>
            <w:tcW w:w="1290" w:type="dxa"/>
            <w:gridSpan w:val="2"/>
            <w:vMerge/>
            <w:tcBorders>
              <w:left w:val="single" w:sz="2" w:space="0" w:color="auto"/>
              <w:bottom w:val="single" w:sz="2" w:space="0" w:color="auto"/>
              <w:right w:val="single" w:sz="2" w:space="0" w:color="auto"/>
            </w:tcBorders>
            <w:vAlign w:val="center"/>
          </w:tcPr>
          <w:p w:rsidR="000422C9" w:rsidRPr="00980BC4" w:rsidRDefault="000422C9" w:rsidP="000422C9">
            <w:pPr>
              <w:spacing w:line="280" w:lineRule="exact"/>
              <w:jc w:val="right"/>
              <w:rPr>
                <w:rFonts w:ascii="宋体" w:eastAsia="宋体" w:hAnsi="宋体" w:cs="宋体"/>
                <w:sz w:val="18"/>
                <w:szCs w:val="18"/>
              </w:rPr>
            </w:pPr>
          </w:p>
        </w:tc>
        <w:tc>
          <w:tcPr>
            <w:tcW w:w="852" w:type="dxa"/>
            <w:vMerge/>
            <w:tcBorders>
              <w:top w:val="single" w:sz="2" w:space="0" w:color="auto"/>
              <w:left w:val="single" w:sz="2" w:space="0" w:color="auto"/>
              <w:bottom w:val="single" w:sz="2" w:space="0" w:color="auto"/>
              <w:right w:val="single" w:sz="2" w:space="0" w:color="auto"/>
            </w:tcBorders>
            <w:vAlign w:val="center"/>
          </w:tcPr>
          <w:p w:rsidR="000422C9" w:rsidRPr="00980BC4" w:rsidRDefault="000422C9" w:rsidP="000422C9">
            <w:pPr>
              <w:spacing w:line="280" w:lineRule="exact"/>
              <w:rPr>
                <w:rFonts w:ascii="宋体" w:eastAsia="宋体" w:hAnsi="宋体" w:cs="宋体"/>
                <w:sz w:val="18"/>
                <w:szCs w:val="18"/>
              </w:rPr>
            </w:pPr>
          </w:p>
        </w:tc>
        <w:tc>
          <w:tcPr>
            <w:tcW w:w="1071" w:type="dxa"/>
            <w:gridSpan w:val="2"/>
            <w:vMerge/>
            <w:tcBorders>
              <w:top w:val="single" w:sz="2" w:space="0" w:color="auto"/>
              <w:left w:val="single" w:sz="2" w:space="0" w:color="auto"/>
              <w:bottom w:val="single" w:sz="2" w:space="0" w:color="auto"/>
              <w:right w:val="single" w:sz="2" w:space="0" w:color="auto"/>
            </w:tcBorders>
            <w:vAlign w:val="center"/>
          </w:tcPr>
          <w:p w:rsidR="000422C9" w:rsidRPr="00980BC4" w:rsidRDefault="000422C9" w:rsidP="000422C9">
            <w:pPr>
              <w:spacing w:line="280" w:lineRule="exact"/>
              <w:jc w:val="right"/>
              <w:rPr>
                <w:rFonts w:ascii="宋体" w:eastAsia="宋体" w:hAnsi="宋体" w:cs="宋体"/>
                <w:sz w:val="18"/>
                <w:szCs w:val="18"/>
              </w:rPr>
            </w:pPr>
          </w:p>
        </w:tc>
        <w:tc>
          <w:tcPr>
            <w:tcW w:w="1337" w:type="dxa"/>
            <w:vMerge/>
            <w:tcBorders>
              <w:left w:val="single" w:sz="2" w:space="0" w:color="auto"/>
              <w:bottom w:val="single" w:sz="2" w:space="0" w:color="auto"/>
              <w:right w:val="single" w:sz="2" w:space="0" w:color="auto"/>
            </w:tcBorders>
            <w:vAlign w:val="center"/>
          </w:tcPr>
          <w:p w:rsidR="000422C9" w:rsidRPr="00980BC4" w:rsidRDefault="000422C9" w:rsidP="000422C9">
            <w:pPr>
              <w:spacing w:line="280" w:lineRule="exact"/>
              <w:jc w:val="right"/>
              <w:rPr>
                <w:rFonts w:ascii="宋体" w:eastAsia="宋体" w:hAnsi="宋体" w:cs="宋体"/>
                <w:sz w:val="18"/>
                <w:szCs w:val="18"/>
              </w:rPr>
            </w:pPr>
          </w:p>
        </w:tc>
        <w:tc>
          <w:tcPr>
            <w:tcW w:w="709" w:type="dxa"/>
            <w:gridSpan w:val="2"/>
            <w:tcBorders>
              <w:top w:val="single" w:sz="2" w:space="0" w:color="auto"/>
              <w:left w:val="single" w:sz="2" w:space="0" w:color="auto"/>
              <w:bottom w:val="single" w:sz="2" w:space="0" w:color="auto"/>
              <w:right w:val="single" w:sz="2" w:space="0" w:color="auto"/>
            </w:tcBorders>
            <w:vAlign w:val="center"/>
          </w:tcPr>
          <w:p w:rsidR="000422C9" w:rsidRPr="00980BC4" w:rsidRDefault="000422C9" w:rsidP="000422C9">
            <w:pPr>
              <w:spacing w:line="280" w:lineRule="exact"/>
              <w:rPr>
                <w:rFonts w:ascii="宋体" w:eastAsia="宋体" w:hAnsi="宋体" w:cs="宋体"/>
                <w:sz w:val="18"/>
                <w:szCs w:val="18"/>
              </w:rPr>
            </w:pPr>
            <w:r w:rsidRPr="00980BC4">
              <w:rPr>
                <w:rFonts w:ascii="宋体" w:eastAsia="宋体" w:hAnsi="宋体" w:cs="宋体"/>
                <w:sz w:val="18"/>
                <w:szCs w:val="18"/>
              </w:rPr>
              <w:t>冻结</w:t>
            </w: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0422C9" w:rsidRPr="00980BC4" w:rsidRDefault="000422C9"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24,084,779</w:t>
            </w:r>
          </w:p>
        </w:tc>
      </w:tr>
      <w:tr w:rsidR="002A3304" w:rsidRPr="00980BC4" w:rsidTr="000422C9">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lastRenderedPageBreak/>
              <w:t>冯骏</w:t>
            </w:r>
          </w:p>
        </w:tc>
        <w:tc>
          <w:tcPr>
            <w:tcW w:w="90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2.34%</w:t>
            </w:r>
          </w:p>
        </w:tc>
        <w:tc>
          <w:tcPr>
            <w:tcW w:w="1290"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10,348,119</w:t>
            </w:r>
          </w:p>
        </w:tc>
        <w:tc>
          <w:tcPr>
            <w:tcW w:w="85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7,761,089</w:t>
            </w:r>
          </w:p>
        </w:tc>
        <w:tc>
          <w:tcPr>
            <w:tcW w:w="133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2,587,030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r>
      <w:tr w:rsidR="002A3304" w:rsidRPr="00980BC4" w:rsidTr="000422C9">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胡成中</w:t>
            </w:r>
          </w:p>
        </w:tc>
        <w:tc>
          <w:tcPr>
            <w:tcW w:w="90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1.43%</w:t>
            </w:r>
          </w:p>
        </w:tc>
        <w:tc>
          <w:tcPr>
            <w:tcW w:w="1290"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6,350,000</w:t>
            </w:r>
          </w:p>
        </w:tc>
        <w:tc>
          <w:tcPr>
            <w:tcW w:w="85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c>
          <w:tcPr>
            <w:tcW w:w="133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6,350,000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r>
      <w:tr w:rsidR="002A3304" w:rsidRPr="00980BC4" w:rsidTr="000422C9">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谢慧明</w:t>
            </w:r>
          </w:p>
        </w:tc>
        <w:tc>
          <w:tcPr>
            <w:tcW w:w="90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0.82%</w:t>
            </w:r>
          </w:p>
        </w:tc>
        <w:tc>
          <w:tcPr>
            <w:tcW w:w="1290"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3,628,800</w:t>
            </w:r>
          </w:p>
        </w:tc>
        <w:tc>
          <w:tcPr>
            <w:tcW w:w="85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c>
          <w:tcPr>
            <w:tcW w:w="133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3,628,800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r>
      <w:tr w:rsidR="002A3304" w:rsidRPr="00980BC4" w:rsidTr="000422C9">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王栋</w:t>
            </w:r>
          </w:p>
        </w:tc>
        <w:tc>
          <w:tcPr>
            <w:tcW w:w="90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0.76%</w:t>
            </w:r>
          </w:p>
        </w:tc>
        <w:tc>
          <w:tcPr>
            <w:tcW w:w="1290"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3,353,900</w:t>
            </w:r>
          </w:p>
        </w:tc>
        <w:tc>
          <w:tcPr>
            <w:tcW w:w="85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c>
          <w:tcPr>
            <w:tcW w:w="133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3,353,900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r>
      <w:tr w:rsidR="002A3304" w:rsidRPr="00980BC4" w:rsidTr="000422C9">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黄炜</w:t>
            </w:r>
          </w:p>
        </w:tc>
        <w:tc>
          <w:tcPr>
            <w:tcW w:w="90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0.62%</w:t>
            </w:r>
          </w:p>
        </w:tc>
        <w:tc>
          <w:tcPr>
            <w:tcW w:w="1290"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2,740,233</w:t>
            </w:r>
          </w:p>
        </w:tc>
        <w:tc>
          <w:tcPr>
            <w:tcW w:w="85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c>
          <w:tcPr>
            <w:tcW w:w="133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2,740,233</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r>
      <w:tr w:rsidR="002A3304" w:rsidRPr="00980BC4" w:rsidTr="000422C9">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陶昌梅</w:t>
            </w:r>
          </w:p>
        </w:tc>
        <w:tc>
          <w:tcPr>
            <w:tcW w:w="90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0.60%</w:t>
            </w:r>
          </w:p>
        </w:tc>
        <w:tc>
          <w:tcPr>
            <w:tcW w:w="1290"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2,662,000</w:t>
            </w:r>
          </w:p>
        </w:tc>
        <w:tc>
          <w:tcPr>
            <w:tcW w:w="85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c>
          <w:tcPr>
            <w:tcW w:w="133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2,662,000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r>
      <w:tr w:rsidR="002A3304" w:rsidRPr="00980BC4" w:rsidTr="000422C9">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郑素丽</w:t>
            </w:r>
          </w:p>
        </w:tc>
        <w:tc>
          <w:tcPr>
            <w:tcW w:w="90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0.50%</w:t>
            </w:r>
          </w:p>
        </w:tc>
        <w:tc>
          <w:tcPr>
            <w:tcW w:w="1290"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2,200,100</w:t>
            </w:r>
          </w:p>
        </w:tc>
        <w:tc>
          <w:tcPr>
            <w:tcW w:w="85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c>
          <w:tcPr>
            <w:tcW w:w="133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2,200,100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r>
      <w:tr w:rsidR="002A3304" w:rsidRPr="00980BC4" w:rsidTr="000422C9">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周丽</w:t>
            </w:r>
          </w:p>
        </w:tc>
        <w:tc>
          <w:tcPr>
            <w:tcW w:w="90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0.48%</w:t>
            </w:r>
          </w:p>
        </w:tc>
        <w:tc>
          <w:tcPr>
            <w:tcW w:w="1290"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2,118,100</w:t>
            </w:r>
          </w:p>
        </w:tc>
        <w:tc>
          <w:tcPr>
            <w:tcW w:w="85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c>
          <w:tcPr>
            <w:tcW w:w="133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2,118,100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r>
      <w:tr w:rsidR="002A3304" w:rsidRPr="00980BC4" w:rsidTr="000422C9">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孙茂林</w:t>
            </w:r>
          </w:p>
        </w:tc>
        <w:tc>
          <w:tcPr>
            <w:tcW w:w="90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0.41%</w:t>
            </w:r>
          </w:p>
        </w:tc>
        <w:tc>
          <w:tcPr>
            <w:tcW w:w="1290"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1,837,800</w:t>
            </w:r>
          </w:p>
        </w:tc>
        <w:tc>
          <w:tcPr>
            <w:tcW w:w="852" w:type="dxa"/>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c>
          <w:tcPr>
            <w:tcW w:w="1337"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1,837,800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A3304" w:rsidRPr="00980BC4" w:rsidRDefault="002A3304" w:rsidP="000422C9">
            <w:pPr>
              <w:spacing w:line="280" w:lineRule="exact"/>
              <w:jc w:val="right"/>
              <w:rPr>
                <w:rFonts w:ascii="宋体" w:eastAsia="宋体" w:hAnsi="宋体" w:cs="宋体"/>
                <w:sz w:val="18"/>
                <w:szCs w:val="18"/>
              </w:rPr>
            </w:pPr>
          </w:p>
        </w:tc>
      </w:tr>
      <w:tr w:rsidR="002A3304" w:rsidRPr="00980BC4">
        <w:trPr>
          <w:trHeight w:val="240"/>
        </w:trPr>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sz w:val="18"/>
                <w:szCs w:val="18"/>
              </w:rPr>
            </w:pPr>
            <w:r w:rsidRPr="00980BC4">
              <w:rPr>
                <w:rFonts w:ascii="宋体" w:eastAsia="宋体" w:hAnsi="宋体" w:cs="宋体"/>
                <w:sz w:val="18"/>
                <w:szCs w:val="18"/>
              </w:rPr>
              <w:t>战略投资者或一般法人因配售新股成为前10名股东的情况（如有）（参见注3）</w:t>
            </w:r>
          </w:p>
        </w:tc>
        <w:tc>
          <w:tcPr>
            <w:tcW w:w="7497" w:type="dxa"/>
            <w:gridSpan w:val="11"/>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公司无作为战略投资者或一般法人参与配售新股成为前10名的股东。</w:t>
            </w:r>
          </w:p>
        </w:tc>
      </w:tr>
      <w:tr w:rsidR="002A3304" w:rsidRPr="00980BC4">
        <w:trPr>
          <w:trHeight w:val="240"/>
        </w:trPr>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sz w:val="18"/>
                <w:szCs w:val="18"/>
              </w:rPr>
            </w:pPr>
            <w:r w:rsidRPr="00980BC4">
              <w:rPr>
                <w:rFonts w:ascii="宋体" w:eastAsia="宋体" w:hAnsi="宋体" w:cs="宋体"/>
                <w:sz w:val="18"/>
                <w:szCs w:val="18"/>
              </w:rPr>
              <w:t>上述股东关联关系或一致行动的说明</w:t>
            </w:r>
          </w:p>
        </w:tc>
        <w:tc>
          <w:tcPr>
            <w:tcW w:w="7497" w:type="dxa"/>
            <w:gridSpan w:val="11"/>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w:t>
            </w:r>
          </w:p>
        </w:tc>
      </w:tr>
      <w:tr w:rsidR="002A3304" w:rsidRPr="00980BC4">
        <w:trPr>
          <w:trHeight w:val="240"/>
        </w:trPr>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sz w:val="18"/>
                <w:szCs w:val="18"/>
              </w:rPr>
            </w:pPr>
            <w:r w:rsidRPr="00980BC4">
              <w:rPr>
                <w:rFonts w:ascii="宋体" w:eastAsia="宋体" w:hAnsi="宋体" w:cs="宋体"/>
                <w:sz w:val="18"/>
                <w:szCs w:val="18"/>
              </w:rPr>
              <w:t>上述股东涉及委托/受托表决权、放弃表决权情况的说明</w:t>
            </w:r>
          </w:p>
        </w:tc>
        <w:tc>
          <w:tcPr>
            <w:tcW w:w="7497" w:type="dxa"/>
            <w:gridSpan w:val="11"/>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上述股东不涉及委托/委托表决权、放弃表决权的情况。</w:t>
            </w:r>
          </w:p>
        </w:tc>
      </w:tr>
      <w:tr w:rsidR="002A3304" w:rsidRPr="00980BC4">
        <w:trPr>
          <w:trHeight w:val="240"/>
        </w:trPr>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sz w:val="18"/>
                <w:szCs w:val="18"/>
              </w:rPr>
            </w:pPr>
            <w:r w:rsidRPr="00980BC4">
              <w:rPr>
                <w:rFonts w:ascii="宋体" w:eastAsia="宋体" w:hAnsi="宋体" w:cs="宋体"/>
                <w:sz w:val="18"/>
                <w:szCs w:val="18"/>
              </w:rPr>
              <w:t>前10名股东中存在回购专户的特别说明（如有）（参见注10）</w:t>
            </w:r>
          </w:p>
        </w:tc>
        <w:tc>
          <w:tcPr>
            <w:tcW w:w="7497" w:type="dxa"/>
            <w:gridSpan w:val="11"/>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广东甘化科工股份有限公司回购专用证券账户为公司回购股份设立的专用证券账户，持有公司股票4,482,462股，在前10名股东中排名第4，该回购专用证券账户中的股份不享有股东大会表决权、利润分配、公积金转增股本、配股、质押等权利。</w:t>
            </w:r>
          </w:p>
        </w:tc>
      </w:tr>
      <w:tr w:rsidR="002A3304" w:rsidRPr="00980BC4">
        <w:trPr>
          <w:trHeight w:val="240"/>
        </w:trPr>
        <w:tc>
          <w:tcPr>
            <w:tcW w:w="9639"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前10名无限售条件股东持股情况</w:t>
            </w:r>
          </w:p>
        </w:tc>
      </w:tr>
      <w:tr w:rsidR="002A3304" w:rsidRPr="00980BC4" w:rsidTr="000422C9">
        <w:trPr>
          <w:trHeight w:val="240"/>
        </w:trPr>
        <w:tc>
          <w:tcPr>
            <w:tcW w:w="2142"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股东名称</w:t>
            </w:r>
          </w:p>
        </w:tc>
        <w:tc>
          <w:tcPr>
            <w:tcW w:w="3920"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报告期末持有无限售条件股份数量</w:t>
            </w:r>
          </w:p>
        </w:tc>
        <w:tc>
          <w:tcPr>
            <w:tcW w:w="357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股份种类</w:t>
            </w:r>
          </w:p>
        </w:tc>
      </w:tr>
      <w:tr w:rsidR="002A3304" w:rsidRPr="00980BC4" w:rsidTr="000422C9">
        <w:trPr>
          <w:trHeight w:val="240"/>
        </w:trPr>
        <w:tc>
          <w:tcPr>
            <w:tcW w:w="2142"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422C9">
            <w:pPr>
              <w:spacing w:line="280" w:lineRule="exact"/>
            </w:pPr>
          </w:p>
        </w:tc>
        <w:tc>
          <w:tcPr>
            <w:tcW w:w="3920"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2A3304" w:rsidP="000422C9">
            <w:pPr>
              <w:spacing w:line="280" w:lineRule="exact"/>
            </w:pPr>
          </w:p>
        </w:tc>
        <w:tc>
          <w:tcPr>
            <w:tcW w:w="184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股份种类</w:t>
            </w:r>
          </w:p>
        </w:tc>
        <w:tc>
          <w:tcPr>
            <w:tcW w:w="173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数量</w:t>
            </w:r>
          </w:p>
        </w:tc>
      </w:tr>
      <w:tr w:rsidR="002A3304" w:rsidRPr="00980BC4" w:rsidTr="000422C9">
        <w:trPr>
          <w:trHeight w:val="240"/>
        </w:trPr>
        <w:tc>
          <w:tcPr>
            <w:tcW w:w="2142"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w:t>
            </w:r>
          </w:p>
        </w:tc>
        <w:tc>
          <w:tcPr>
            <w:tcW w:w="3920" w:type="dxa"/>
            <w:gridSpan w:val="5"/>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185,000,000</w:t>
            </w:r>
          </w:p>
        </w:tc>
        <w:tc>
          <w:tcPr>
            <w:tcW w:w="1843"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人民币普通股</w:t>
            </w: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185,000,000</w:t>
            </w:r>
          </w:p>
        </w:tc>
      </w:tr>
      <w:tr w:rsidR="002A3304" w:rsidRPr="00980BC4" w:rsidTr="000422C9">
        <w:trPr>
          <w:trHeight w:val="240"/>
        </w:trPr>
        <w:tc>
          <w:tcPr>
            <w:tcW w:w="2142"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胡成中</w:t>
            </w:r>
          </w:p>
        </w:tc>
        <w:tc>
          <w:tcPr>
            <w:tcW w:w="3920" w:type="dxa"/>
            <w:gridSpan w:val="5"/>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6,350,000</w:t>
            </w:r>
          </w:p>
        </w:tc>
        <w:tc>
          <w:tcPr>
            <w:tcW w:w="1843"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人民币普通股</w:t>
            </w: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6,350,000</w:t>
            </w:r>
          </w:p>
        </w:tc>
      </w:tr>
      <w:tr w:rsidR="002A3304" w:rsidRPr="00980BC4" w:rsidTr="000422C9">
        <w:trPr>
          <w:trHeight w:val="240"/>
        </w:trPr>
        <w:tc>
          <w:tcPr>
            <w:tcW w:w="2142"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谢慧明</w:t>
            </w:r>
          </w:p>
        </w:tc>
        <w:tc>
          <w:tcPr>
            <w:tcW w:w="3920" w:type="dxa"/>
            <w:gridSpan w:val="5"/>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3,628,800</w:t>
            </w:r>
          </w:p>
        </w:tc>
        <w:tc>
          <w:tcPr>
            <w:tcW w:w="1843"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人民币普通股</w:t>
            </w: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3,628,800</w:t>
            </w:r>
          </w:p>
        </w:tc>
      </w:tr>
      <w:tr w:rsidR="002A3304" w:rsidRPr="00980BC4" w:rsidTr="000422C9">
        <w:trPr>
          <w:trHeight w:val="240"/>
        </w:trPr>
        <w:tc>
          <w:tcPr>
            <w:tcW w:w="2142"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王栋</w:t>
            </w:r>
          </w:p>
        </w:tc>
        <w:tc>
          <w:tcPr>
            <w:tcW w:w="3920" w:type="dxa"/>
            <w:gridSpan w:val="5"/>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3,353,900</w:t>
            </w:r>
          </w:p>
        </w:tc>
        <w:tc>
          <w:tcPr>
            <w:tcW w:w="1843"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人民币普通股</w:t>
            </w: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3,353,900</w:t>
            </w:r>
          </w:p>
        </w:tc>
      </w:tr>
      <w:tr w:rsidR="002A3304" w:rsidRPr="00980BC4" w:rsidTr="000422C9">
        <w:trPr>
          <w:trHeight w:val="240"/>
        </w:trPr>
        <w:tc>
          <w:tcPr>
            <w:tcW w:w="2142"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黄炜</w:t>
            </w:r>
          </w:p>
        </w:tc>
        <w:tc>
          <w:tcPr>
            <w:tcW w:w="3920" w:type="dxa"/>
            <w:gridSpan w:val="5"/>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2,740,233</w:t>
            </w:r>
          </w:p>
        </w:tc>
        <w:tc>
          <w:tcPr>
            <w:tcW w:w="1843"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人民币普通股</w:t>
            </w: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2,740,233</w:t>
            </w:r>
          </w:p>
        </w:tc>
      </w:tr>
      <w:tr w:rsidR="002A3304" w:rsidRPr="00980BC4" w:rsidTr="000422C9">
        <w:trPr>
          <w:trHeight w:val="240"/>
        </w:trPr>
        <w:tc>
          <w:tcPr>
            <w:tcW w:w="2142"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陶昌梅</w:t>
            </w:r>
          </w:p>
        </w:tc>
        <w:tc>
          <w:tcPr>
            <w:tcW w:w="3920" w:type="dxa"/>
            <w:gridSpan w:val="5"/>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2,662,000</w:t>
            </w:r>
          </w:p>
        </w:tc>
        <w:tc>
          <w:tcPr>
            <w:tcW w:w="1843"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人民币普通股</w:t>
            </w: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2,662,000</w:t>
            </w:r>
          </w:p>
        </w:tc>
      </w:tr>
      <w:tr w:rsidR="002A3304" w:rsidRPr="00980BC4" w:rsidTr="000422C9">
        <w:trPr>
          <w:trHeight w:val="240"/>
        </w:trPr>
        <w:tc>
          <w:tcPr>
            <w:tcW w:w="2142"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冯骏</w:t>
            </w:r>
          </w:p>
        </w:tc>
        <w:tc>
          <w:tcPr>
            <w:tcW w:w="3920" w:type="dxa"/>
            <w:gridSpan w:val="5"/>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2,587,030</w:t>
            </w:r>
          </w:p>
        </w:tc>
        <w:tc>
          <w:tcPr>
            <w:tcW w:w="1843"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人民币普通股</w:t>
            </w: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2,587,030</w:t>
            </w:r>
          </w:p>
        </w:tc>
      </w:tr>
      <w:tr w:rsidR="002A3304" w:rsidRPr="00980BC4" w:rsidTr="000422C9">
        <w:trPr>
          <w:trHeight w:val="240"/>
        </w:trPr>
        <w:tc>
          <w:tcPr>
            <w:tcW w:w="2142"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郑素丽</w:t>
            </w:r>
          </w:p>
        </w:tc>
        <w:tc>
          <w:tcPr>
            <w:tcW w:w="3920" w:type="dxa"/>
            <w:gridSpan w:val="5"/>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2,200,100</w:t>
            </w:r>
          </w:p>
        </w:tc>
        <w:tc>
          <w:tcPr>
            <w:tcW w:w="1843"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人民币普通股</w:t>
            </w: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2,200,100</w:t>
            </w:r>
          </w:p>
        </w:tc>
      </w:tr>
      <w:tr w:rsidR="002A3304" w:rsidRPr="00980BC4" w:rsidTr="000422C9">
        <w:trPr>
          <w:trHeight w:val="240"/>
        </w:trPr>
        <w:tc>
          <w:tcPr>
            <w:tcW w:w="2142"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周丽</w:t>
            </w:r>
          </w:p>
        </w:tc>
        <w:tc>
          <w:tcPr>
            <w:tcW w:w="3920" w:type="dxa"/>
            <w:gridSpan w:val="5"/>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2,118,100</w:t>
            </w:r>
          </w:p>
        </w:tc>
        <w:tc>
          <w:tcPr>
            <w:tcW w:w="1843"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人民币普通股</w:t>
            </w: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2,118,100</w:t>
            </w:r>
          </w:p>
        </w:tc>
      </w:tr>
      <w:tr w:rsidR="002A3304" w:rsidRPr="00980BC4" w:rsidTr="000422C9">
        <w:trPr>
          <w:trHeight w:val="240"/>
        </w:trPr>
        <w:tc>
          <w:tcPr>
            <w:tcW w:w="2142"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孙茂林</w:t>
            </w:r>
          </w:p>
        </w:tc>
        <w:tc>
          <w:tcPr>
            <w:tcW w:w="3920" w:type="dxa"/>
            <w:gridSpan w:val="5"/>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1,837,800</w:t>
            </w:r>
          </w:p>
        </w:tc>
        <w:tc>
          <w:tcPr>
            <w:tcW w:w="1843"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人民币普通股</w:t>
            </w: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jc w:val="right"/>
              <w:rPr>
                <w:rFonts w:ascii="宋体" w:eastAsia="宋体" w:hAnsi="宋体" w:cs="宋体"/>
                <w:sz w:val="18"/>
                <w:szCs w:val="18"/>
              </w:rPr>
            </w:pPr>
            <w:r w:rsidRPr="00980BC4">
              <w:rPr>
                <w:rFonts w:ascii="宋体" w:eastAsia="宋体" w:hAnsi="宋体" w:cs="宋体"/>
                <w:sz w:val="18"/>
                <w:szCs w:val="18"/>
              </w:rPr>
              <w:t>1,837,800</w:t>
            </w:r>
          </w:p>
        </w:tc>
      </w:tr>
      <w:tr w:rsidR="002A3304" w:rsidRPr="00980BC4">
        <w:trPr>
          <w:trHeight w:val="240"/>
        </w:trPr>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sz w:val="18"/>
                <w:szCs w:val="18"/>
              </w:rPr>
            </w:pPr>
            <w:r w:rsidRPr="00980BC4">
              <w:rPr>
                <w:rFonts w:ascii="宋体" w:eastAsia="宋体" w:hAnsi="宋体" w:cs="宋体"/>
                <w:sz w:val="18"/>
                <w:szCs w:val="18"/>
              </w:rPr>
              <w:t>前10名无限售流通股股东之间，以及前10名无限售流通股股东和前10</w:t>
            </w:r>
            <w:r w:rsidRPr="00980BC4">
              <w:rPr>
                <w:rFonts w:ascii="宋体" w:eastAsia="宋体" w:hAnsi="宋体" w:cs="宋体"/>
                <w:sz w:val="18"/>
                <w:szCs w:val="18"/>
              </w:rPr>
              <w:lastRenderedPageBreak/>
              <w:t>名股东之间关联关系或一致行动的说明</w:t>
            </w:r>
          </w:p>
        </w:tc>
        <w:tc>
          <w:tcPr>
            <w:tcW w:w="7497" w:type="dxa"/>
            <w:gridSpan w:val="11"/>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lastRenderedPageBreak/>
              <w:t>上述股东中，胡成中为公司控股股东德力西集团有限公司实际控制人，与德力西集团有限公司为一致行动人；除此之外，公司未知其他前10名无限售条件普通股股东之间，以及其他前10名无限售条件普通股股东和其他前10名普通股股东之间是否存在关联关系或属于《上</w:t>
            </w:r>
            <w:r w:rsidRPr="00980BC4">
              <w:rPr>
                <w:rFonts w:ascii="宋体" w:eastAsia="宋体" w:hAnsi="宋体" w:cs="宋体"/>
                <w:sz w:val="18"/>
                <w:szCs w:val="18"/>
              </w:rPr>
              <w:lastRenderedPageBreak/>
              <w:t>市公司收购管理办法》中规定的一致行动人。</w:t>
            </w:r>
          </w:p>
        </w:tc>
      </w:tr>
      <w:tr w:rsidR="002A3304" w:rsidRPr="00980BC4">
        <w:trPr>
          <w:trHeight w:val="240"/>
        </w:trPr>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422C9">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前10名普通股股东参与融资融券业务情况说明（如有）（参见注4）</w:t>
            </w:r>
          </w:p>
        </w:tc>
        <w:tc>
          <w:tcPr>
            <w:tcW w:w="7497" w:type="dxa"/>
            <w:gridSpan w:val="11"/>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422C9">
            <w:pPr>
              <w:spacing w:line="280" w:lineRule="exact"/>
              <w:rPr>
                <w:rFonts w:ascii="宋体" w:eastAsia="宋体" w:hAnsi="宋体" w:cs="宋体"/>
                <w:sz w:val="18"/>
                <w:szCs w:val="18"/>
              </w:rPr>
            </w:pPr>
            <w:r w:rsidRPr="00980BC4">
              <w:rPr>
                <w:rFonts w:ascii="宋体" w:eastAsia="宋体" w:hAnsi="宋体" w:cs="宋体"/>
                <w:sz w:val="18"/>
                <w:szCs w:val="18"/>
              </w:rPr>
              <w:t>前10名股东中，德力西集团有限公司通过财通证券股份有限公司客户信用交易担保证券账户持有公司股份35,000,000股，占公司总股本的7.90%。王栋通过申万宏源证券有限公司客户信用交易担保证券账户持有公司股份3,353,900股，占公司总股本的0.76%；谢慧明通过西南证券股份有限公司客户信用交易担保证券账户持有公司股份3,349,300股，占公司总股本的0.76%；黄炜通过申万宏源证券有限公司客户信用交易担保证券账户持有公司股份2,700,033股，占公司总股本的0.61%；郑素丽通过海通证券股份有限公司客户信用交易担保证券账户持有公司股份2,200,100股，占公司总股本的0.50%。</w:t>
            </w:r>
          </w:p>
        </w:tc>
      </w:tr>
    </w:tbl>
    <w:p w:rsidR="002A3304" w:rsidRPr="00980BC4" w:rsidRDefault="00DF4EBF" w:rsidP="008351B4">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公司前10名普通股股东、前10名无限售条件普通股股东在报告期内是否进行约定购回交易</w:t>
      </w:r>
    </w:p>
    <w:p w:rsidR="002A3304" w:rsidRPr="00980BC4" w:rsidRDefault="00DF4EBF" w:rsidP="008351B4">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 xml:space="preserve">□是 </w:t>
      </w:r>
      <w:r w:rsidR="008351B4" w:rsidRPr="00980BC4">
        <w:rPr>
          <w:rFonts w:ascii="仿宋" w:eastAsia="仿宋" w:hAnsi="仿宋" w:cs="Calibri" w:hint="eastAsia"/>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否</w:t>
      </w:r>
    </w:p>
    <w:p w:rsidR="002A3304" w:rsidRPr="00980BC4" w:rsidRDefault="00DF4EBF" w:rsidP="008351B4">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公司前10名普通股股东、前10名无限售条件普通股股东在报告期内未进行约定购回交易。</w:t>
      </w:r>
    </w:p>
    <w:p w:rsidR="002A3304" w:rsidRPr="00980BC4" w:rsidRDefault="00DF4EBF" w:rsidP="008351B4">
      <w:pPr>
        <w:pStyle w:val="a3"/>
        <w:spacing w:before="0" w:beforeAutospacing="0" w:after="0" w:afterAutospacing="0" w:line="560" w:lineRule="exact"/>
        <w:ind w:firstLine="560"/>
        <w:jc w:val="both"/>
        <w:rPr>
          <w:rFonts w:ascii="仿宋" w:eastAsia="仿宋" w:hAnsi="仿宋" w:cs="Calibri"/>
          <w:b/>
          <w:sz w:val="28"/>
          <w:szCs w:val="28"/>
        </w:rPr>
      </w:pPr>
      <w:bookmarkStart w:id="137" w:name="_Toc989026"/>
      <w:r w:rsidRPr="00980BC4">
        <w:rPr>
          <w:rFonts w:ascii="仿宋" w:eastAsia="仿宋" w:hAnsi="仿宋" w:cs="Calibri"/>
          <w:b/>
          <w:sz w:val="28"/>
          <w:szCs w:val="28"/>
        </w:rPr>
        <w:t>2、公司控股股东情况</w:t>
      </w:r>
      <w:bookmarkEnd w:id="137"/>
    </w:p>
    <w:p w:rsidR="002A3304" w:rsidRPr="00980BC4" w:rsidRDefault="00DF4EBF" w:rsidP="008351B4">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控股股东性质：自然人控股</w:t>
      </w:r>
    </w:p>
    <w:p w:rsidR="002A3304" w:rsidRPr="00980BC4" w:rsidRDefault="00DF4EBF" w:rsidP="008351B4">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控股股东类型：法人</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84"/>
        <w:gridCol w:w="1276"/>
        <w:gridCol w:w="1701"/>
        <w:gridCol w:w="1984"/>
        <w:gridCol w:w="3294"/>
      </w:tblGrid>
      <w:tr w:rsidR="002A3304" w:rsidRPr="00980BC4" w:rsidTr="008351B4">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控股股东名称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法定代表人/单位负责人</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成立日期</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组织机构代码</w:t>
            </w:r>
          </w:p>
        </w:tc>
        <w:tc>
          <w:tcPr>
            <w:tcW w:w="329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主要经营业务</w:t>
            </w:r>
          </w:p>
        </w:tc>
      </w:tr>
      <w:tr w:rsidR="002A3304" w:rsidRPr="00980BC4" w:rsidTr="008351B4">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t>胡成中</w:t>
            </w:r>
          </w:p>
        </w:tc>
        <w:tc>
          <w:tcPr>
            <w:tcW w:w="1701"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t>1991年06月26日</w:t>
            </w:r>
          </w:p>
        </w:tc>
        <w:tc>
          <w:tcPr>
            <w:tcW w:w="198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t>91330382145573168C</w:t>
            </w:r>
          </w:p>
        </w:tc>
        <w:tc>
          <w:tcPr>
            <w:tcW w:w="3294"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t>配电开关控制设备、低压电一般项目：机械电气设备制造；机械电气设备销售；配电开关控制设备制造；配电开关控制设备销售；仪器仪表制造；仪器仪表销售；通信设备制造；通信设备销售；电力设施器材制造；电力设施器材销售；五金产品制造；五金产品批发；五金产品零售；电器辅件制造；电器辅件销售；服饰制造；服装服饰批发；服装服饰零售；化工产品销售（不含许可类化工产品）；以自有资金从事投资活动；货物进出口；技术进出口；技术服务、技术开发、技术咨询、技术交流、技术转让、技术推广；品牌管理（除依法须经批准的项目外，凭营业执照依法自主开展经营活动）。许可项目：建设工程施工（依法须经批准的项目，经相关部门批准后方可开展经营活动，具体经营项目以审批结果为准）。</w:t>
            </w:r>
          </w:p>
        </w:tc>
      </w:tr>
      <w:tr w:rsidR="002A3304" w:rsidRPr="00980BC4" w:rsidTr="008351B4">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rPr>
                <w:rFonts w:ascii="宋体" w:eastAsia="宋体" w:hAnsi="宋体" w:cs="宋体"/>
                <w:sz w:val="18"/>
                <w:szCs w:val="18"/>
              </w:rPr>
            </w:pPr>
            <w:r w:rsidRPr="00980BC4">
              <w:rPr>
                <w:rFonts w:ascii="宋体" w:eastAsia="宋体" w:hAnsi="宋体" w:cs="宋体"/>
                <w:sz w:val="18"/>
                <w:szCs w:val="18"/>
              </w:rPr>
              <w:t>控股股东报告期内控股和参股的其他境内</w:t>
            </w:r>
            <w:r w:rsidRPr="00980BC4">
              <w:rPr>
                <w:rFonts w:ascii="宋体" w:eastAsia="宋体" w:hAnsi="宋体" w:cs="宋体"/>
                <w:sz w:val="18"/>
                <w:szCs w:val="18"/>
              </w:rPr>
              <w:lastRenderedPageBreak/>
              <w:t>外上市公司的股权情况</w:t>
            </w:r>
          </w:p>
        </w:tc>
        <w:tc>
          <w:tcPr>
            <w:tcW w:w="8255" w:type="dxa"/>
            <w:gridSpan w:val="4"/>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lastRenderedPageBreak/>
              <w:t>控股股东德力西集团有限公司的控股子公司德力西新疆投资集团有限公司持有德力西新能源科技股份有限公司（证券代码：603032）47.57%股权。</w:t>
            </w:r>
          </w:p>
        </w:tc>
      </w:tr>
    </w:tbl>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lastRenderedPageBreak/>
        <w:t>控股股东报告期内变更</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 xml:space="preserve">□适用 </w:t>
      </w:r>
      <w:r w:rsidR="0005283B" w:rsidRPr="00980BC4">
        <w:rPr>
          <w:rFonts w:ascii="仿宋" w:eastAsia="仿宋" w:hAnsi="仿宋" w:cs="Calibri" w:hint="eastAsia"/>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公司报告期控股股东未发生变更。</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bookmarkStart w:id="138" w:name="_Toc989027"/>
      <w:r w:rsidRPr="00980BC4">
        <w:rPr>
          <w:rFonts w:ascii="仿宋" w:eastAsia="仿宋" w:hAnsi="仿宋" w:cs="Calibri"/>
          <w:b/>
          <w:sz w:val="28"/>
          <w:szCs w:val="28"/>
        </w:rPr>
        <w:t>3、公司实际控制人及其一致行动人</w:t>
      </w:r>
      <w:bookmarkEnd w:id="138"/>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实际控制人性质：境内自然人</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实际控制人类型：自然人</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实际控制人姓名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与实际控制人关系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国籍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是否取得其他国家或地区居留权</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t>胡成中</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t>本人</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t>中国</w:t>
            </w:r>
          </w:p>
        </w:tc>
        <w:tc>
          <w:tcPr>
            <w:tcW w:w="2410" w:type="dxa"/>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t>否</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rPr>
                <w:rFonts w:ascii="宋体" w:eastAsia="宋体" w:hAnsi="宋体" w:cs="宋体"/>
                <w:sz w:val="18"/>
                <w:szCs w:val="18"/>
              </w:rPr>
            </w:pPr>
            <w:r w:rsidRPr="00980BC4">
              <w:rPr>
                <w:rFonts w:ascii="宋体" w:eastAsia="宋体" w:hAnsi="宋体" w:cs="宋体"/>
                <w:sz w:val="18"/>
                <w:szCs w:val="18"/>
              </w:rPr>
              <w:t>主要职业及职务</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DF4EBF" w:rsidP="0005283B">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德力西集团有限公司董事局主席</w:t>
            </w:r>
          </w:p>
        </w:tc>
      </w:tr>
      <w:tr w:rsidR="002A3304" w:rsidRPr="00980BC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2A3304" w:rsidRPr="00980BC4" w:rsidRDefault="00DF4EBF" w:rsidP="0005283B">
            <w:pPr>
              <w:spacing w:before="40" w:after="40" w:line="280" w:lineRule="exact"/>
              <w:rPr>
                <w:rFonts w:ascii="宋体" w:eastAsia="宋体" w:hAnsi="宋体" w:cs="宋体"/>
                <w:sz w:val="18"/>
                <w:szCs w:val="18"/>
              </w:rPr>
            </w:pPr>
            <w:r w:rsidRPr="00980BC4">
              <w:rPr>
                <w:rFonts w:ascii="宋体" w:eastAsia="宋体" w:hAnsi="宋体" w:cs="宋体"/>
                <w:sz w:val="18"/>
                <w:szCs w:val="18"/>
              </w:rPr>
              <w:t>过去10年曾控股的境内外上市公司情况</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2A3304" w:rsidRPr="00980BC4" w:rsidRDefault="00A02B84" w:rsidP="0005283B">
            <w:pPr>
              <w:spacing w:line="280" w:lineRule="exact"/>
              <w:rPr>
                <w:rFonts w:ascii="宋体" w:eastAsia="宋体" w:hAnsi="宋体" w:cs="宋体"/>
                <w:color w:val="FF0000"/>
                <w:sz w:val="18"/>
                <w:szCs w:val="18"/>
              </w:rPr>
            </w:pPr>
            <w:r w:rsidRPr="00980BC4">
              <w:rPr>
                <w:rFonts w:ascii="宋体" w:eastAsia="宋体" w:hAnsi="宋体" w:cs="宋体" w:hint="eastAsia"/>
                <w:sz w:val="18"/>
                <w:szCs w:val="18"/>
              </w:rPr>
              <w:t>德新科技，证券代码：</w:t>
            </w:r>
            <w:r w:rsidRPr="00980BC4">
              <w:rPr>
                <w:rFonts w:ascii="宋体" w:eastAsia="宋体" w:hAnsi="宋体" w:cs="宋体"/>
                <w:sz w:val="18"/>
                <w:szCs w:val="18"/>
              </w:rPr>
              <w:t>603032</w:t>
            </w:r>
            <w:r w:rsidRPr="00980BC4">
              <w:rPr>
                <w:rFonts w:ascii="宋体" w:eastAsia="宋体" w:hAnsi="宋体" w:cs="宋体" w:hint="eastAsia"/>
                <w:sz w:val="18"/>
                <w:szCs w:val="18"/>
              </w:rPr>
              <w:t>，主要经营：锂电设备的研发、设计、制造、销售与服务以及道路旅客运输和客运汽车站业务。</w:t>
            </w:r>
          </w:p>
        </w:tc>
      </w:tr>
    </w:tbl>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实际控制人报告期内变更</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 xml:space="preserve">□适用 </w:t>
      </w:r>
      <w:r w:rsidR="0005283B" w:rsidRPr="00980BC4">
        <w:rPr>
          <w:rFonts w:ascii="仿宋" w:eastAsia="仿宋" w:hAnsi="仿宋" w:cs="Calibri" w:hint="eastAsia"/>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公司报告期实际控制人未发生变更。</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公司与实际控制人之间的产权及控制关系的方框图</w:t>
      </w:r>
    </w:p>
    <w:p w:rsidR="002A3304" w:rsidRPr="00980BC4" w:rsidRDefault="00DF4EBF" w:rsidP="0005283B">
      <w:pPr>
        <w:spacing w:before="40" w:after="40" w:line="0" w:lineRule="atLeast"/>
        <w:jc w:val="center"/>
        <w:rPr>
          <w:rFonts w:ascii="Times New Roman" w:eastAsia="宋体" w:hAnsi="Times New Roman" w:cs="Times New Roman"/>
        </w:rPr>
      </w:pPr>
      <w:r w:rsidRPr="00980BC4">
        <w:rPr>
          <w:rFonts w:ascii="Times New Roman" w:eastAsia="宋体" w:hAnsi="Times New Roman" w:cs="Times New Roman"/>
          <w:noProof/>
        </w:rPr>
        <w:drawing>
          <wp:inline distT="0" distB="0" distL="0" distR="0">
            <wp:extent cx="2638425" cy="282233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extLst/>
                    </a:blip>
                    <a:stretch>
                      <a:fillRect/>
                    </a:stretch>
                  </pic:blipFill>
                  <pic:spPr>
                    <a:xfrm>
                      <a:off x="0" y="0"/>
                      <a:ext cx="2648414" cy="2833020"/>
                    </a:xfrm>
                    <a:prstGeom prst="rect">
                      <a:avLst/>
                    </a:prstGeom>
                  </pic:spPr>
                </pic:pic>
              </a:graphicData>
            </a:graphic>
          </wp:inline>
        </w:drawing>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实际控制人通过信托或其他资产管理方式控制公司</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□适用</w:t>
      </w:r>
      <w:r w:rsidR="0005283B" w:rsidRPr="00980BC4">
        <w:rPr>
          <w:rFonts w:ascii="仿宋" w:eastAsia="仿宋" w:hAnsi="仿宋" w:cs="Calibri" w:hint="eastAsia"/>
          <w:sz w:val="28"/>
          <w:szCs w:val="28"/>
        </w:rPr>
        <w:t xml:space="preserve"> </w:t>
      </w:r>
      <w:r w:rsidRPr="00980BC4">
        <w:rPr>
          <w:rFonts w:ascii="仿宋" w:eastAsia="仿宋" w:hAnsi="仿宋" w:cs="Calibri"/>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bookmarkStart w:id="139" w:name="_Toc989028"/>
      <w:r w:rsidRPr="00980BC4">
        <w:rPr>
          <w:rFonts w:ascii="仿宋" w:eastAsia="仿宋" w:hAnsi="仿宋" w:cs="Calibri"/>
          <w:b/>
          <w:sz w:val="28"/>
          <w:szCs w:val="28"/>
        </w:rPr>
        <w:lastRenderedPageBreak/>
        <w:t>4、公司控股股东或第一大股东及其一致行动人累计质押股份数量占其所持公司股份数量比例达到80%</w:t>
      </w:r>
      <w:bookmarkEnd w:id="139"/>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 xml:space="preserve">□适用 </w:t>
      </w:r>
      <w:r w:rsidR="0005283B" w:rsidRPr="00980BC4">
        <w:rPr>
          <w:rFonts w:ascii="仿宋" w:eastAsia="仿宋" w:hAnsi="仿宋" w:cs="Calibri" w:hint="eastAsia"/>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bookmarkStart w:id="140" w:name="_Toc989029"/>
      <w:r w:rsidRPr="00980BC4">
        <w:rPr>
          <w:rFonts w:ascii="仿宋" w:eastAsia="仿宋" w:hAnsi="仿宋" w:cs="Calibri"/>
          <w:b/>
          <w:sz w:val="28"/>
          <w:szCs w:val="28"/>
        </w:rPr>
        <w:t>5、其他持股在10%以上的法人股东</w:t>
      </w:r>
      <w:bookmarkEnd w:id="140"/>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 xml:space="preserve">□适用 </w:t>
      </w:r>
      <w:r w:rsidR="0005283B" w:rsidRPr="00980BC4">
        <w:rPr>
          <w:rFonts w:ascii="仿宋" w:eastAsia="仿宋" w:hAnsi="仿宋" w:cs="Calibri" w:hint="eastAsia"/>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bookmarkStart w:id="141" w:name="_Toc989030"/>
      <w:r w:rsidRPr="00980BC4">
        <w:rPr>
          <w:rFonts w:ascii="仿宋" w:eastAsia="仿宋" w:hAnsi="仿宋" w:cs="Calibri"/>
          <w:b/>
          <w:sz w:val="28"/>
          <w:szCs w:val="28"/>
        </w:rPr>
        <w:t>6、控股股东、实际控制人、重组方及其他承诺主体股份限制减持情况</w:t>
      </w:r>
      <w:bookmarkEnd w:id="141"/>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 xml:space="preserve">□适用 </w:t>
      </w:r>
      <w:r w:rsidR="0005283B" w:rsidRPr="00980BC4">
        <w:rPr>
          <w:rFonts w:ascii="仿宋" w:eastAsia="仿宋" w:hAnsi="仿宋" w:cs="Calibri" w:hint="eastAsia"/>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5283B">
      <w:pPr>
        <w:pStyle w:val="Chapter"/>
        <w:spacing w:before="0" w:after="0" w:line="560" w:lineRule="exact"/>
        <w:ind w:firstLineChars="200" w:firstLine="562"/>
        <w:outlineLvl w:val="1"/>
        <w:rPr>
          <w:bCs w:val="0"/>
          <w:sz w:val="28"/>
          <w:szCs w:val="28"/>
        </w:rPr>
      </w:pPr>
      <w:bookmarkStart w:id="142" w:name="_Toc989031"/>
      <w:r w:rsidRPr="00980BC4">
        <w:rPr>
          <w:bCs w:val="0"/>
          <w:sz w:val="28"/>
          <w:szCs w:val="28"/>
        </w:rPr>
        <w:t>四、股份回购在报告期的具体实施情况</w:t>
      </w:r>
      <w:bookmarkEnd w:id="142"/>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股份回购的实施进展情况</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 xml:space="preserve">□适用 </w:t>
      </w:r>
      <w:r w:rsidR="0005283B" w:rsidRPr="00980BC4">
        <w:rPr>
          <w:rFonts w:ascii="仿宋" w:eastAsia="仿宋" w:hAnsi="仿宋" w:cs="Calibri" w:hint="eastAsia"/>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t>采用集中竞价交易方式减持回购股份的实施进展情况</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□适用</w:t>
      </w:r>
      <w:r w:rsidR="0005283B" w:rsidRPr="00980BC4">
        <w:rPr>
          <w:rFonts w:ascii="仿宋" w:eastAsia="仿宋" w:hAnsi="仿宋" w:cs="Calibri" w:hint="eastAsia"/>
          <w:sz w:val="28"/>
          <w:szCs w:val="28"/>
        </w:rPr>
        <w:t xml:space="preserve"> </w:t>
      </w:r>
      <w:r w:rsidRPr="00980BC4">
        <w:rPr>
          <w:rFonts w:ascii="仿宋" w:eastAsia="仿宋" w:hAnsi="仿宋" w:cs="Calibri"/>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05283B">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br w:type="page"/>
      </w:r>
    </w:p>
    <w:p w:rsidR="002A3304" w:rsidRPr="00980BC4" w:rsidRDefault="00DF4EBF">
      <w:pPr>
        <w:pStyle w:val="headingh1"/>
        <w:spacing w:before="340" w:after="330" w:line="773" w:lineRule="exact"/>
        <w:jc w:val="center"/>
        <w:rPr>
          <w:rFonts w:ascii="宋体" w:eastAsia="宋体" w:hAnsi="宋体" w:cs="宋体"/>
          <w:b/>
          <w:bCs/>
          <w:sz w:val="32"/>
          <w:szCs w:val="32"/>
        </w:rPr>
      </w:pPr>
      <w:bookmarkStart w:id="143" w:name="_Toc989032"/>
      <w:r w:rsidRPr="00980BC4">
        <w:rPr>
          <w:rFonts w:ascii="宋体" w:eastAsia="宋体" w:hAnsi="宋体" w:cs="宋体"/>
          <w:b/>
          <w:bCs/>
          <w:sz w:val="32"/>
          <w:szCs w:val="32"/>
        </w:rPr>
        <w:lastRenderedPageBreak/>
        <w:t>第八节 优先股相关情况</w:t>
      </w:r>
      <w:bookmarkEnd w:id="143"/>
    </w:p>
    <w:p w:rsidR="002A3304" w:rsidRPr="00980BC4" w:rsidRDefault="00DF4EBF" w:rsidP="00DA25EE">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□适用</w:t>
      </w:r>
      <w:r w:rsidR="00DA25EE" w:rsidRPr="00980BC4">
        <w:rPr>
          <w:rFonts w:ascii="仿宋" w:eastAsia="仿宋" w:hAnsi="仿宋" w:cs="Calibri" w:hint="eastAsia"/>
          <w:sz w:val="28"/>
          <w:szCs w:val="28"/>
        </w:rPr>
        <w:t xml:space="preserve"> </w:t>
      </w:r>
      <w:r w:rsidRPr="00980BC4">
        <w:rPr>
          <w:rFonts w:ascii="仿宋" w:eastAsia="仿宋" w:hAnsi="仿宋" w:cs="Calibri"/>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sidP="00DA25EE">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报告期公司不存在优先股。</w:t>
      </w:r>
    </w:p>
    <w:p w:rsidR="002A3304" w:rsidRPr="00980BC4" w:rsidRDefault="00DF4EBF" w:rsidP="00DA25EE">
      <w:pPr>
        <w:pStyle w:val="a3"/>
        <w:spacing w:before="0" w:beforeAutospacing="0" w:after="0" w:afterAutospacing="0" w:line="560" w:lineRule="exact"/>
        <w:ind w:firstLine="560"/>
        <w:jc w:val="both"/>
        <w:rPr>
          <w:rFonts w:ascii="仿宋" w:eastAsia="仿宋" w:hAnsi="仿宋" w:cs="Calibri"/>
          <w:b/>
          <w:sz w:val="28"/>
          <w:szCs w:val="28"/>
        </w:rPr>
      </w:pPr>
      <w:r w:rsidRPr="00980BC4">
        <w:rPr>
          <w:rFonts w:ascii="仿宋" w:eastAsia="仿宋" w:hAnsi="仿宋" w:cs="Calibri"/>
          <w:b/>
          <w:sz w:val="28"/>
          <w:szCs w:val="28"/>
        </w:rPr>
        <w:br w:type="page"/>
      </w:r>
    </w:p>
    <w:p w:rsidR="002A3304" w:rsidRPr="00980BC4" w:rsidRDefault="00DF4EBF">
      <w:pPr>
        <w:pStyle w:val="headingh1"/>
        <w:spacing w:before="340" w:after="330" w:line="773" w:lineRule="exact"/>
        <w:jc w:val="center"/>
        <w:rPr>
          <w:rFonts w:ascii="宋体" w:eastAsia="宋体" w:hAnsi="宋体" w:cs="宋体"/>
          <w:b/>
          <w:bCs/>
          <w:sz w:val="32"/>
          <w:szCs w:val="32"/>
        </w:rPr>
      </w:pPr>
      <w:bookmarkStart w:id="144" w:name="_Toc989033"/>
      <w:r w:rsidRPr="00980BC4">
        <w:rPr>
          <w:rFonts w:ascii="宋体" w:eastAsia="宋体" w:hAnsi="宋体" w:cs="宋体"/>
          <w:b/>
          <w:bCs/>
          <w:sz w:val="32"/>
          <w:szCs w:val="32"/>
        </w:rPr>
        <w:lastRenderedPageBreak/>
        <w:t>第九节 债券相关情况</w:t>
      </w:r>
      <w:bookmarkEnd w:id="144"/>
    </w:p>
    <w:p w:rsidR="002A3304" w:rsidRPr="00980BC4" w:rsidRDefault="00DF4EBF" w:rsidP="00DA25EE">
      <w:pPr>
        <w:pStyle w:val="a3"/>
        <w:spacing w:before="0" w:beforeAutospacing="0" w:after="0" w:afterAutospacing="0" w:line="560" w:lineRule="exact"/>
        <w:ind w:firstLine="560"/>
        <w:jc w:val="both"/>
        <w:rPr>
          <w:rFonts w:ascii="仿宋" w:eastAsia="仿宋" w:hAnsi="仿宋" w:cs="Calibri"/>
          <w:sz w:val="28"/>
          <w:szCs w:val="28"/>
        </w:rPr>
      </w:pPr>
      <w:r w:rsidRPr="00980BC4">
        <w:rPr>
          <w:rFonts w:ascii="仿宋" w:eastAsia="仿宋" w:hAnsi="仿宋" w:cs="Calibri"/>
          <w:sz w:val="28"/>
          <w:szCs w:val="28"/>
        </w:rPr>
        <w:t xml:space="preserve">□适用 </w:t>
      </w:r>
      <w:r w:rsidR="00DA25EE" w:rsidRPr="00980BC4">
        <w:rPr>
          <w:rFonts w:ascii="仿宋" w:eastAsia="仿宋" w:hAnsi="仿宋" w:cs="Calibri" w:hint="eastAsia"/>
          <w:sz w:val="28"/>
          <w:szCs w:val="28"/>
        </w:rPr>
        <w:t xml:space="preserve"> </w:t>
      </w:r>
      <w:r w:rsidRPr="00980BC4">
        <w:rPr>
          <w:rFonts w:ascii="仿宋" w:eastAsia="仿宋" w:hAnsi="仿宋" w:cs="Calibri"/>
          <w:sz w:val="28"/>
          <w:szCs w:val="28"/>
        </w:rPr>
        <w:sym w:font="Wingdings 2" w:char="F052"/>
      </w:r>
      <w:r w:rsidRPr="00980BC4">
        <w:rPr>
          <w:rFonts w:ascii="仿宋" w:eastAsia="仿宋" w:hAnsi="仿宋" w:cs="Calibri"/>
          <w:sz w:val="28"/>
          <w:szCs w:val="28"/>
        </w:rPr>
        <w:t>不适用</w:t>
      </w:r>
    </w:p>
    <w:p w:rsidR="002A3304" w:rsidRPr="00980BC4" w:rsidRDefault="00DF4EBF">
      <w:r w:rsidRPr="00980BC4">
        <w:br w:type="page"/>
      </w:r>
    </w:p>
    <w:p w:rsidR="00F67D6F" w:rsidRPr="00980BC4" w:rsidRDefault="00F67D6F" w:rsidP="00F67D6F">
      <w:pPr>
        <w:pStyle w:val="headingh1"/>
        <w:spacing w:before="340" w:after="330" w:line="773" w:lineRule="exact"/>
        <w:jc w:val="center"/>
        <w:divId w:val="969553885"/>
        <w:rPr>
          <w:rFonts w:ascii="宋体" w:eastAsia="宋体" w:hAnsi="宋体" w:cs="宋体"/>
          <w:b/>
          <w:bCs/>
          <w:sz w:val="32"/>
          <w:szCs w:val="32"/>
        </w:rPr>
      </w:pPr>
      <w:bookmarkStart w:id="145" w:name="_Toc989034"/>
      <w:r w:rsidRPr="00980BC4">
        <w:rPr>
          <w:rFonts w:ascii="宋体" w:eastAsia="宋体" w:hAnsi="宋体" w:cs="宋体"/>
          <w:b/>
          <w:bCs/>
          <w:sz w:val="32"/>
          <w:szCs w:val="32"/>
        </w:rPr>
        <w:lastRenderedPageBreak/>
        <w:t>第十节 财务报告</w:t>
      </w:r>
      <w:bookmarkEnd w:id="145"/>
    </w:p>
    <w:p w:rsidR="00F67D6F" w:rsidRPr="00980BC4" w:rsidRDefault="00F67D6F" w:rsidP="00F67D6F">
      <w:pPr>
        <w:pStyle w:val="2"/>
        <w:spacing w:before="300" w:after="300" w:line="320" w:lineRule="exact"/>
        <w:divId w:val="969553885"/>
        <w:rPr>
          <w:rFonts w:ascii="宋体" w:eastAsia="宋体" w:hAnsi="宋体" w:cs="宋体"/>
          <w:b/>
          <w:bCs/>
          <w:sz w:val="24"/>
          <w:szCs w:val="24"/>
        </w:rPr>
      </w:pPr>
      <w:bookmarkStart w:id="146" w:name="_Toc989035"/>
      <w:r w:rsidRPr="00980BC4">
        <w:rPr>
          <w:rFonts w:ascii="宋体" w:eastAsia="宋体" w:hAnsi="宋体" w:cs="宋体"/>
          <w:b/>
          <w:bCs/>
          <w:sz w:val="24"/>
          <w:szCs w:val="24"/>
        </w:rPr>
        <w:t>一、审计报告</w:t>
      </w:r>
      <w:bookmarkEnd w:id="14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2982">
            <w:pPr>
              <w:spacing w:before="40" w:after="40" w:line="280" w:lineRule="exact"/>
              <w:rPr>
                <w:rFonts w:ascii="宋体" w:eastAsia="宋体" w:hAnsi="宋体" w:cs="宋体"/>
                <w:sz w:val="18"/>
                <w:szCs w:val="18"/>
              </w:rPr>
            </w:pPr>
            <w:r w:rsidRPr="00980BC4">
              <w:rPr>
                <w:rFonts w:ascii="宋体" w:eastAsia="宋体" w:hAnsi="宋体" w:cs="宋体"/>
                <w:sz w:val="18"/>
                <w:szCs w:val="18"/>
              </w:rPr>
              <w:t>审计意见类型</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2982">
            <w:pPr>
              <w:spacing w:line="280" w:lineRule="exact"/>
              <w:rPr>
                <w:rFonts w:ascii="宋体" w:eastAsia="宋体" w:hAnsi="宋体" w:cs="宋体"/>
                <w:sz w:val="18"/>
                <w:szCs w:val="18"/>
              </w:rPr>
            </w:pPr>
            <w:r w:rsidRPr="00980BC4">
              <w:rPr>
                <w:rFonts w:ascii="宋体" w:eastAsia="宋体" w:hAnsi="宋体" w:cs="宋体"/>
                <w:sz w:val="18"/>
                <w:szCs w:val="18"/>
              </w:rPr>
              <w:t>标准的无保留意见</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2982">
            <w:pPr>
              <w:spacing w:before="40" w:after="40" w:line="280" w:lineRule="exact"/>
              <w:rPr>
                <w:rFonts w:ascii="宋体" w:eastAsia="宋体" w:hAnsi="宋体" w:cs="宋体"/>
                <w:sz w:val="18"/>
                <w:szCs w:val="18"/>
              </w:rPr>
            </w:pPr>
            <w:r w:rsidRPr="00980BC4">
              <w:rPr>
                <w:rFonts w:ascii="宋体" w:eastAsia="宋体" w:hAnsi="宋体" w:cs="宋体"/>
                <w:sz w:val="18"/>
                <w:szCs w:val="18"/>
              </w:rPr>
              <w:t>审计报告签署日期</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2982">
            <w:pPr>
              <w:spacing w:line="280" w:lineRule="exact"/>
              <w:rPr>
                <w:rFonts w:ascii="宋体" w:eastAsia="宋体" w:hAnsi="宋体" w:cs="宋体"/>
                <w:sz w:val="18"/>
                <w:szCs w:val="18"/>
              </w:rPr>
            </w:pPr>
            <w:r w:rsidRPr="00980BC4">
              <w:rPr>
                <w:rFonts w:ascii="宋体" w:eastAsia="宋体" w:hAnsi="宋体" w:cs="宋体"/>
                <w:sz w:val="18"/>
                <w:szCs w:val="18"/>
              </w:rPr>
              <w:t>2023年04月06日</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2982">
            <w:pPr>
              <w:spacing w:before="40" w:after="40" w:line="280" w:lineRule="exact"/>
              <w:rPr>
                <w:rFonts w:ascii="宋体" w:eastAsia="宋体" w:hAnsi="宋体" w:cs="宋体"/>
                <w:sz w:val="18"/>
                <w:szCs w:val="18"/>
              </w:rPr>
            </w:pPr>
            <w:r w:rsidRPr="00980BC4">
              <w:rPr>
                <w:rFonts w:ascii="宋体" w:eastAsia="宋体" w:hAnsi="宋体" w:cs="宋体"/>
                <w:sz w:val="18"/>
                <w:szCs w:val="18"/>
              </w:rPr>
              <w:t>审计机构名称</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2982">
            <w:pPr>
              <w:spacing w:line="280" w:lineRule="exact"/>
              <w:rPr>
                <w:rFonts w:ascii="宋体" w:eastAsia="宋体" w:hAnsi="宋体" w:cs="宋体"/>
                <w:sz w:val="18"/>
                <w:szCs w:val="18"/>
              </w:rPr>
            </w:pPr>
            <w:r w:rsidRPr="00980BC4">
              <w:rPr>
                <w:rFonts w:ascii="宋体" w:eastAsia="宋体" w:hAnsi="宋体" w:cs="宋体"/>
                <w:sz w:val="18"/>
                <w:szCs w:val="18"/>
              </w:rPr>
              <w:t>广东司农会计师事务所(特殊普通合伙)</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2982">
            <w:pPr>
              <w:spacing w:before="40" w:after="40" w:line="280" w:lineRule="exact"/>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审计报告文号</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4F2CDA" w:rsidP="004F2CDA">
            <w:pPr>
              <w:spacing w:line="280" w:lineRule="exact"/>
              <w:rPr>
                <w:rFonts w:ascii="宋体" w:eastAsia="宋体" w:hAnsi="宋体" w:cs="宋体"/>
                <w:color w:val="000000" w:themeColor="text1"/>
                <w:sz w:val="18"/>
                <w:szCs w:val="18"/>
              </w:rPr>
            </w:pPr>
            <w:r w:rsidRPr="00980BC4">
              <w:rPr>
                <w:rFonts w:ascii="宋体" w:eastAsia="宋体" w:hAnsi="宋体" w:cs="宋体" w:hint="eastAsia"/>
                <w:color w:val="000000" w:themeColor="text1"/>
                <w:sz w:val="18"/>
                <w:szCs w:val="18"/>
              </w:rPr>
              <w:t xml:space="preserve"> (2023)51004号</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2982">
            <w:pPr>
              <w:spacing w:before="40" w:after="40" w:line="280" w:lineRule="exact"/>
              <w:rPr>
                <w:rFonts w:ascii="宋体" w:eastAsia="宋体" w:hAnsi="宋体" w:cs="宋体"/>
                <w:sz w:val="18"/>
                <w:szCs w:val="18"/>
              </w:rPr>
            </w:pPr>
            <w:r w:rsidRPr="00980BC4">
              <w:rPr>
                <w:rFonts w:ascii="宋体" w:eastAsia="宋体" w:hAnsi="宋体" w:cs="宋体"/>
                <w:sz w:val="18"/>
                <w:szCs w:val="18"/>
              </w:rPr>
              <w:t>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2982">
            <w:pPr>
              <w:spacing w:line="280" w:lineRule="exact"/>
              <w:rPr>
                <w:rFonts w:ascii="宋体" w:eastAsia="宋体" w:hAnsi="宋体" w:cs="宋体"/>
                <w:sz w:val="18"/>
                <w:szCs w:val="18"/>
              </w:rPr>
            </w:pPr>
            <w:r w:rsidRPr="00980BC4">
              <w:rPr>
                <w:rFonts w:ascii="宋体" w:eastAsia="宋体" w:hAnsi="宋体" w:cs="宋体"/>
                <w:sz w:val="18"/>
                <w:szCs w:val="18"/>
              </w:rPr>
              <w:t>陈皓淳、梁剑云</w:t>
            </w:r>
          </w:p>
        </w:tc>
      </w:tr>
    </w:tbl>
    <w:p w:rsidR="00F67D6F" w:rsidRPr="00980BC4" w:rsidRDefault="00F67D6F" w:rsidP="00E42982">
      <w:pPr>
        <w:pStyle w:val="headingh1"/>
        <w:spacing w:before="340" w:after="330" w:line="773" w:lineRule="exact"/>
        <w:jc w:val="center"/>
        <w:divId w:val="969553885"/>
        <w:rPr>
          <w:rFonts w:ascii="宋体" w:eastAsia="宋体" w:hAnsi="宋体" w:cs="宋体"/>
          <w:b/>
          <w:bCs/>
          <w:sz w:val="32"/>
          <w:szCs w:val="32"/>
        </w:rPr>
      </w:pPr>
      <w:r w:rsidRPr="00980BC4">
        <w:rPr>
          <w:rFonts w:ascii="宋体" w:eastAsia="宋体" w:hAnsi="宋体" w:cs="宋体"/>
          <w:b/>
          <w:bCs/>
          <w:sz w:val="32"/>
          <w:szCs w:val="32"/>
        </w:rPr>
        <w:t>审计报告正文</w:t>
      </w:r>
    </w:p>
    <w:p w:rsidR="00F67D6F" w:rsidRPr="00980BC4" w:rsidRDefault="00F67D6F" w:rsidP="00E42982">
      <w:pPr>
        <w:pStyle w:val="a3"/>
        <w:spacing w:before="0" w:beforeAutospacing="0" w:after="0" w:afterAutospacing="0" w:line="560" w:lineRule="exact"/>
        <w:jc w:val="both"/>
        <w:divId w:val="969553885"/>
      </w:pPr>
      <w:r w:rsidRPr="00980BC4">
        <w:rPr>
          <w:rFonts w:ascii="仿宋" w:eastAsia="仿宋" w:hAnsi="仿宋" w:hint="eastAsia"/>
          <w:sz w:val="28"/>
          <w:szCs w:val="28"/>
        </w:rPr>
        <w:t>广东甘化科工股份有限公司全体股东：</w:t>
      </w:r>
    </w:p>
    <w:p w:rsidR="00F67D6F" w:rsidRPr="00980BC4" w:rsidRDefault="00F67D6F" w:rsidP="00E42982">
      <w:pPr>
        <w:pStyle w:val="a3"/>
        <w:spacing w:before="0" w:beforeAutospacing="0" w:after="0" w:afterAutospacing="0" w:line="560" w:lineRule="exact"/>
        <w:ind w:firstLine="482"/>
        <w:jc w:val="both"/>
        <w:divId w:val="969553885"/>
      </w:pPr>
      <w:r w:rsidRPr="00980BC4">
        <w:rPr>
          <w:rStyle w:val="a4"/>
          <w:rFonts w:ascii="仿宋" w:eastAsia="仿宋" w:hAnsi="仿宋" w:hint="eastAsia"/>
          <w:sz w:val="28"/>
          <w:szCs w:val="28"/>
        </w:rPr>
        <w:t>一、审计意见</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我们审计了广东甘化科工股份有限公司（以下简称</w:t>
      </w:r>
      <w:r w:rsidRPr="00980BC4">
        <w:rPr>
          <w:rFonts w:ascii="仿宋" w:eastAsia="仿宋" w:hAnsi="仿宋" w:hint="eastAsia"/>
          <w:color w:val="000000"/>
          <w:sz w:val="28"/>
          <w:szCs w:val="28"/>
        </w:rPr>
        <w:t>甘化科工公司</w:t>
      </w:r>
      <w:r w:rsidRPr="00980BC4">
        <w:rPr>
          <w:rFonts w:ascii="仿宋" w:eastAsia="仿宋" w:hAnsi="仿宋" w:hint="eastAsia"/>
          <w:sz w:val="28"/>
          <w:szCs w:val="28"/>
        </w:rPr>
        <w:t>）财务报表，包括2022年12月31日的合并及母公司资产负债表，2022年度的合并及母公司利润表、合并及母公司现金流量表、合并及母公司所有者权益变动表以及相关财务报表附注。</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我们认为，后附的财务报表在所有重大方面按照企业会计准则的规定编制，公允反映了甘化科工公司2022年12月31日的合并及母公司财务状况以及2022年度的合并及母公司经营成果和现金流量。</w:t>
      </w:r>
    </w:p>
    <w:p w:rsidR="00F67D6F" w:rsidRPr="00980BC4" w:rsidRDefault="00F67D6F" w:rsidP="00E42982">
      <w:pPr>
        <w:pStyle w:val="a3"/>
        <w:spacing w:before="0" w:beforeAutospacing="0" w:after="0" w:afterAutospacing="0" w:line="560" w:lineRule="exact"/>
        <w:ind w:firstLine="482"/>
        <w:jc w:val="both"/>
        <w:divId w:val="969553885"/>
      </w:pPr>
      <w:r w:rsidRPr="00980BC4">
        <w:rPr>
          <w:rStyle w:val="a4"/>
          <w:rFonts w:ascii="仿宋" w:eastAsia="仿宋" w:hAnsi="仿宋" w:hint="eastAsia"/>
          <w:sz w:val="28"/>
          <w:szCs w:val="28"/>
        </w:rPr>
        <w:t>二、形成审计意见的基础</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我们按照中国注册会计师审计准则的规定执行了审计工作。审计报告的“注册会计师对财务报表审计的责任”部分进一步阐述了我们在这些准则下的责任。按照中国注册会计师职业道德守则，我们独立于甘化科工公司，并履行了职业道德方面的其他责任。我们相信，我们获取的审计证据是充分、适当的，为发表审计意见提供了基础。</w:t>
      </w:r>
    </w:p>
    <w:p w:rsidR="00F67D6F" w:rsidRPr="00980BC4" w:rsidRDefault="00F67D6F" w:rsidP="00E42982">
      <w:pPr>
        <w:pStyle w:val="a3"/>
        <w:spacing w:before="0" w:beforeAutospacing="0" w:after="0" w:afterAutospacing="0" w:line="560" w:lineRule="exact"/>
        <w:ind w:firstLine="482"/>
        <w:jc w:val="both"/>
        <w:divId w:val="969553885"/>
      </w:pPr>
      <w:r w:rsidRPr="00980BC4">
        <w:rPr>
          <w:rStyle w:val="a4"/>
          <w:rFonts w:ascii="仿宋" w:eastAsia="仿宋" w:hAnsi="仿宋" w:hint="eastAsia"/>
          <w:sz w:val="28"/>
          <w:szCs w:val="28"/>
        </w:rPr>
        <w:lastRenderedPageBreak/>
        <w:t>三、关键审计事项</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关键审计事项是我们根据职业判断，认为对本期财务报表审计最为重要的事项。这些事项的应对以对财务报表整体进行审计并形成审计意见为背景，我们不对这些事项单独发表意见。</w:t>
      </w:r>
    </w:p>
    <w:p w:rsidR="00F67D6F" w:rsidRPr="00980BC4" w:rsidRDefault="00F67D6F" w:rsidP="00E42982">
      <w:pPr>
        <w:pStyle w:val="a3"/>
        <w:spacing w:before="0" w:beforeAutospacing="0" w:after="0" w:afterAutospacing="0" w:line="560" w:lineRule="exact"/>
        <w:ind w:firstLine="482"/>
        <w:jc w:val="both"/>
        <w:divId w:val="969553885"/>
      </w:pPr>
      <w:r w:rsidRPr="00980BC4">
        <w:rPr>
          <w:rStyle w:val="a4"/>
          <w:rFonts w:ascii="仿宋" w:eastAsia="仿宋" w:hAnsi="仿宋" w:hint="eastAsia"/>
          <w:sz w:val="28"/>
          <w:szCs w:val="28"/>
        </w:rPr>
        <w:t>（一）收入确认</w:t>
      </w:r>
    </w:p>
    <w:p w:rsidR="00F67D6F" w:rsidRPr="00980BC4" w:rsidRDefault="00F67D6F" w:rsidP="00E42982">
      <w:pPr>
        <w:pStyle w:val="a3"/>
        <w:spacing w:before="0" w:beforeAutospacing="0" w:after="0" w:afterAutospacing="0" w:line="560" w:lineRule="exact"/>
        <w:ind w:firstLine="480"/>
        <w:jc w:val="both"/>
        <w:divId w:val="969553885"/>
      </w:pPr>
      <w:r w:rsidRPr="00980BC4">
        <w:rPr>
          <w:rStyle w:val="a4"/>
          <w:rFonts w:ascii="仿宋" w:eastAsia="仿宋" w:hAnsi="仿宋" w:hint="eastAsia"/>
          <w:sz w:val="28"/>
          <w:szCs w:val="28"/>
        </w:rPr>
        <w:t>1、事项描述</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相关披露参见财务报表附注七、61，甘化科工公司2022年度营业收入人民币445,381,991.65元，关于收入确认的会计政策参见财务报表附注五、39。</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由于收入是公司的关键指标之一，从而存在管理层为了达到特定目标或期望而操纵收入确认时点的固有风险，我们将收入确认识别为关键审计事项。</w:t>
      </w:r>
    </w:p>
    <w:p w:rsidR="00F67D6F" w:rsidRPr="00980BC4" w:rsidRDefault="00F67D6F" w:rsidP="00E42982">
      <w:pPr>
        <w:pStyle w:val="a3"/>
        <w:spacing w:before="0" w:beforeAutospacing="0" w:after="0" w:afterAutospacing="0" w:line="560" w:lineRule="exact"/>
        <w:ind w:firstLine="480"/>
        <w:jc w:val="both"/>
        <w:divId w:val="969553885"/>
      </w:pPr>
      <w:r w:rsidRPr="00980BC4">
        <w:rPr>
          <w:rStyle w:val="a4"/>
          <w:rFonts w:ascii="仿宋" w:eastAsia="仿宋" w:hAnsi="仿宋" w:hint="eastAsia"/>
          <w:sz w:val="28"/>
          <w:szCs w:val="28"/>
        </w:rPr>
        <w:t>2、审计应对</w:t>
      </w:r>
    </w:p>
    <w:p w:rsidR="00863E71" w:rsidRPr="00980BC4" w:rsidRDefault="00863E71" w:rsidP="00863E71">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我们对收入确认实施的相关程序主要包括：</w:t>
      </w:r>
    </w:p>
    <w:p w:rsidR="00863E71" w:rsidRPr="00980BC4" w:rsidRDefault="00863E71" w:rsidP="00863E71">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（1）了解和评价公司与收入确认相关的关键内部控制的设计和运行有效性；</w:t>
      </w:r>
    </w:p>
    <w:p w:rsidR="00863E71" w:rsidRPr="00980BC4" w:rsidRDefault="00863E71" w:rsidP="00863E71">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（2）通过与管理层沟通等程序，了解公司的收入确认政策；通过检查主要客户销售合同、销售订单的相关条款，评价公司实际执行的收入确认政策是否适当，并复核相关会计政策是否一贯运用；</w:t>
      </w:r>
    </w:p>
    <w:p w:rsidR="00863E71" w:rsidRPr="00980BC4" w:rsidRDefault="00863E71" w:rsidP="00863E71">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（3）选取样本实施细节测试，检查收入确认的支持性文件，包括获取公司的合同台账，抽查销售合同、收入确认的支持性证据（货物发运凭证、验收单）、</w:t>
      </w:r>
      <w:r>
        <w:rPr>
          <w:rFonts w:ascii="仿宋" w:eastAsia="仿宋" w:hAnsi="仿宋" w:hint="eastAsia"/>
          <w:sz w:val="28"/>
          <w:szCs w:val="28"/>
        </w:rPr>
        <w:t>销售发票、</w:t>
      </w:r>
      <w:r w:rsidRPr="00980BC4">
        <w:rPr>
          <w:rFonts w:ascii="仿宋" w:eastAsia="仿宋" w:hAnsi="仿宋" w:hint="eastAsia"/>
          <w:sz w:val="28"/>
          <w:szCs w:val="28"/>
        </w:rPr>
        <w:t>回款单等；</w:t>
      </w:r>
    </w:p>
    <w:p w:rsidR="00863E71" w:rsidRPr="00980BC4" w:rsidRDefault="00863E71" w:rsidP="00863E71">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（4）实施截止测试程序，对于临近资产负债表日确认的收入，查询其货物签收单或验收单</w:t>
      </w:r>
      <w:r>
        <w:rPr>
          <w:rFonts w:ascii="仿宋" w:eastAsia="仿宋" w:hAnsi="仿宋" w:hint="eastAsia"/>
          <w:sz w:val="28"/>
          <w:szCs w:val="28"/>
        </w:rPr>
        <w:t>信息，</w:t>
      </w:r>
      <w:r w:rsidRPr="009C5C2A">
        <w:rPr>
          <w:rFonts w:ascii="仿宋" w:eastAsia="仿宋" w:hAnsi="仿宋" w:hint="eastAsia"/>
          <w:sz w:val="28"/>
          <w:szCs w:val="28"/>
        </w:rPr>
        <w:t>判断收入确认是否跨期</w:t>
      </w:r>
      <w:r w:rsidRPr="00980BC4">
        <w:rPr>
          <w:rFonts w:ascii="仿宋" w:eastAsia="仿宋" w:hAnsi="仿宋" w:hint="eastAsia"/>
          <w:sz w:val="28"/>
          <w:szCs w:val="28"/>
        </w:rPr>
        <w:t>；</w:t>
      </w:r>
    </w:p>
    <w:p w:rsidR="00863E71" w:rsidRPr="00980BC4" w:rsidRDefault="00863E71" w:rsidP="00863E71">
      <w:pPr>
        <w:pStyle w:val="a3"/>
        <w:spacing w:before="0" w:beforeAutospacing="0" w:after="0" w:afterAutospacing="0" w:line="560" w:lineRule="exact"/>
        <w:ind w:firstLine="482"/>
        <w:jc w:val="both"/>
        <w:divId w:val="969553885"/>
      </w:pPr>
      <w:r w:rsidRPr="00980BC4">
        <w:rPr>
          <w:rFonts w:ascii="仿宋" w:eastAsia="仿宋" w:hAnsi="仿宋" w:hint="eastAsia"/>
          <w:sz w:val="28"/>
          <w:szCs w:val="28"/>
        </w:rPr>
        <w:t>选取样本对客户进行函证，函证内容包括本期收入金额；</w:t>
      </w:r>
    </w:p>
    <w:p w:rsidR="00863E71" w:rsidRPr="00980BC4" w:rsidRDefault="00863E71" w:rsidP="00863E71">
      <w:pPr>
        <w:pStyle w:val="a3"/>
        <w:spacing w:before="0" w:beforeAutospacing="0" w:after="0" w:afterAutospacing="0" w:line="560" w:lineRule="exact"/>
        <w:ind w:firstLine="482"/>
        <w:jc w:val="both"/>
        <w:divId w:val="969553885"/>
      </w:pPr>
      <w:r w:rsidRPr="00980BC4">
        <w:rPr>
          <w:rFonts w:ascii="仿宋" w:eastAsia="仿宋" w:hAnsi="仿宋" w:hint="eastAsia"/>
          <w:sz w:val="28"/>
          <w:szCs w:val="28"/>
        </w:rPr>
        <w:lastRenderedPageBreak/>
        <w:t>（6）按客户对比分析本期毛利率异常原因、检查主要客户及供应商工商资料识别关联关系、结合费用检查识别是否通过支付差价将无商业实质的</w:t>
      </w:r>
      <w:r>
        <w:rPr>
          <w:rFonts w:ascii="仿宋" w:eastAsia="仿宋" w:hAnsi="仿宋" w:hint="eastAsia"/>
          <w:sz w:val="28"/>
          <w:szCs w:val="28"/>
        </w:rPr>
        <w:t>交易</w:t>
      </w:r>
      <w:r w:rsidRPr="00980BC4">
        <w:rPr>
          <w:rFonts w:ascii="仿宋" w:eastAsia="仿宋" w:hAnsi="仿宋" w:hint="eastAsia"/>
          <w:sz w:val="28"/>
          <w:szCs w:val="28"/>
        </w:rPr>
        <w:t>计入收入成本。</w:t>
      </w:r>
    </w:p>
    <w:p w:rsidR="00F67D6F" w:rsidRPr="00980BC4" w:rsidRDefault="00F67D6F" w:rsidP="00E42982">
      <w:pPr>
        <w:pStyle w:val="a3"/>
        <w:spacing w:before="0" w:beforeAutospacing="0" w:after="0" w:afterAutospacing="0" w:line="560" w:lineRule="exact"/>
        <w:ind w:firstLine="480"/>
        <w:jc w:val="both"/>
        <w:divId w:val="969553885"/>
      </w:pPr>
      <w:r w:rsidRPr="00980BC4">
        <w:rPr>
          <w:rStyle w:val="a4"/>
          <w:rFonts w:ascii="仿宋" w:eastAsia="仿宋" w:hAnsi="仿宋" w:hint="eastAsia"/>
          <w:sz w:val="28"/>
          <w:szCs w:val="28"/>
        </w:rPr>
        <w:t>（二）商誉减值</w:t>
      </w:r>
    </w:p>
    <w:p w:rsidR="00352914" w:rsidRPr="00980BC4" w:rsidRDefault="00352914" w:rsidP="00352914">
      <w:pPr>
        <w:pStyle w:val="a3"/>
        <w:spacing w:before="0" w:beforeAutospacing="0" w:after="0" w:afterAutospacing="0" w:line="560" w:lineRule="exact"/>
        <w:ind w:firstLine="480"/>
        <w:jc w:val="both"/>
        <w:divId w:val="969553885"/>
      </w:pPr>
      <w:r w:rsidRPr="00980BC4">
        <w:rPr>
          <w:rStyle w:val="a4"/>
          <w:rFonts w:ascii="仿宋" w:eastAsia="仿宋" w:hAnsi="仿宋" w:hint="eastAsia"/>
          <w:sz w:val="28"/>
          <w:szCs w:val="28"/>
        </w:rPr>
        <w:t>1、事项描述</w:t>
      </w:r>
    </w:p>
    <w:p w:rsidR="00352914" w:rsidRPr="00980BC4" w:rsidRDefault="00352914" w:rsidP="00352914">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相关披露参见财务报表附注七、28。</w:t>
      </w:r>
    </w:p>
    <w:p w:rsidR="00352914" w:rsidRPr="00980BC4" w:rsidRDefault="00352914" w:rsidP="00352914">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2022年12月31日，甘化科工公司合并财务报表中商誉账面原值为人民币</w:t>
      </w:r>
      <w:r w:rsidRPr="00EC30FE">
        <w:rPr>
          <w:rFonts w:ascii="仿宋" w:eastAsia="仿宋" w:hAnsi="仿宋"/>
          <w:sz w:val="28"/>
          <w:szCs w:val="28"/>
        </w:rPr>
        <w:t>776,293,721.43</w:t>
      </w:r>
      <w:r w:rsidRPr="00980BC4">
        <w:rPr>
          <w:rFonts w:ascii="仿宋" w:eastAsia="仿宋" w:hAnsi="仿宋" w:hint="eastAsia"/>
          <w:sz w:val="28"/>
          <w:szCs w:val="28"/>
        </w:rPr>
        <w:t>元、期</w:t>
      </w:r>
      <w:r>
        <w:rPr>
          <w:rFonts w:ascii="仿宋" w:eastAsia="仿宋" w:hAnsi="仿宋" w:hint="eastAsia"/>
          <w:sz w:val="28"/>
          <w:szCs w:val="28"/>
        </w:rPr>
        <w:t>末</w:t>
      </w:r>
      <w:r w:rsidRPr="00980BC4">
        <w:rPr>
          <w:rFonts w:ascii="仿宋" w:eastAsia="仿宋" w:hAnsi="仿宋" w:hint="eastAsia"/>
          <w:sz w:val="28"/>
          <w:szCs w:val="28"/>
        </w:rPr>
        <w:t>减值准备为57,668,942.23元。根据企业会计准则，甘化科工公司每年需要对商誉进行减值测试。甘化科工公司关于商誉减值的会计政策参见财务报表附注五、31。</w:t>
      </w:r>
    </w:p>
    <w:p w:rsidR="00352914" w:rsidRPr="00980BC4" w:rsidRDefault="00352914" w:rsidP="00352914">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由于商誉金额重大，商誉减值对甘化公司财务报表的影响重大，且商誉减值测试涉及管理层的重大判断和估计，我们将商誉减值测试识别为关键审计事项。</w:t>
      </w:r>
    </w:p>
    <w:p w:rsidR="00F67D6F" w:rsidRPr="00980BC4" w:rsidRDefault="00F67D6F" w:rsidP="00E42982">
      <w:pPr>
        <w:pStyle w:val="a3"/>
        <w:spacing w:before="0" w:beforeAutospacing="0" w:after="0" w:afterAutospacing="0" w:line="560" w:lineRule="exact"/>
        <w:ind w:firstLine="480"/>
        <w:jc w:val="both"/>
        <w:divId w:val="969553885"/>
      </w:pPr>
      <w:r w:rsidRPr="00980BC4">
        <w:rPr>
          <w:rStyle w:val="a4"/>
          <w:rFonts w:ascii="仿宋" w:eastAsia="仿宋" w:hAnsi="仿宋" w:hint="eastAsia"/>
          <w:sz w:val="28"/>
          <w:szCs w:val="28"/>
        </w:rPr>
        <w:t>2、审计应对</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我们对商誉减值测试实施的相关程序主要包括：</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（1）与公司管理层及管理层聘请的评估专家讨论，了解形成商誉的被投资单位历史业绩情况及发展规划，评估宏观经济对行业发展的影响；</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（2）评价评估专家的独立性及专业胜任能力，评价其工作结果的相关性和合理性；</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（3）了解并评价评估专家所使用的评估方法、重要假设和相关参数的合理性等；</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（4）对商誉减值测试中所依据的预测数据，了解及评价管理层预测的相关依据及假设的合理性；</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lastRenderedPageBreak/>
        <w:t>（5）将公司以前期间对商誉进行减值测试时采用的预测参数与本期进行比较，了解偏差的合理性；关注并复核公司管理层在作出相关估计时的判断依据，以识别是否可能存在管理层偏向的迹象。</w:t>
      </w:r>
    </w:p>
    <w:p w:rsidR="00F67D6F" w:rsidRPr="00980BC4" w:rsidRDefault="00F67D6F" w:rsidP="00E42982">
      <w:pPr>
        <w:pStyle w:val="a3"/>
        <w:spacing w:before="0" w:beforeAutospacing="0" w:after="0" w:afterAutospacing="0" w:line="560" w:lineRule="exact"/>
        <w:ind w:firstLine="482"/>
        <w:jc w:val="both"/>
        <w:divId w:val="969553885"/>
      </w:pPr>
      <w:r w:rsidRPr="00980BC4">
        <w:rPr>
          <w:rStyle w:val="a4"/>
          <w:rFonts w:ascii="仿宋" w:eastAsia="仿宋" w:hAnsi="仿宋" w:hint="eastAsia"/>
          <w:sz w:val="28"/>
          <w:szCs w:val="28"/>
        </w:rPr>
        <w:t>四、其他信息</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甘化科工公司管理层（以下简称管理层）对其他信息负责。其他信息包括甘化科工公司2022年度报告中涵盖的信息，但不包括财务报表和我们的审计报告。</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我们对财务报表发表的审计意见不涵盖其他信息，我们也不对其他信息发表任何形式的鉴证结论。</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结合我们对财务报表的审计，我们的责任是阅读其他信息，在此过程中，考虑其他信息是否与财务报表或我们在审计过程中了解到的情况存在重大不一致或者似乎存在重大错报。</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基于我们已执行的工作，如果我们确定其他信息存在重大错报，我们应当报告该事实。在这方面，我们无任何事项需要报告。</w:t>
      </w:r>
    </w:p>
    <w:p w:rsidR="00F67D6F" w:rsidRPr="00980BC4" w:rsidRDefault="00F67D6F" w:rsidP="00E42982">
      <w:pPr>
        <w:pStyle w:val="a3"/>
        <w:spacing w:before="0" w:beforeAutospacing="0" w:after="0" w:afterAutospacing="0" w:line="560" w:lineRule="exact"/>
        <w:ind w:firstLine="482"/>
        <w:jc w:val="both"/>
        <w:divId w:val="969553885"/>
      </w:pPr>
      <w:r w:rsidRPr="00980BC4">
        <w:rPr>
          <w:rStyle w:val="a4"/>
          <w:rFonts w:ascii="仿宋" w:eastAsia="仿宋" w:hAnsi="仿宋" w:hint="eastAsia"/>
          <w:sz w:val="28"/>
          <w:szCs w:val="28"/>
        </w:rPr>
        <w:t>五、管理层和治理层对财务报表的责任</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甘化科工公司管理层（以下简称管理层）负责按照企业会计准则的规定编制财务报表，使其实现公允反映，并设计、执行和维护必要的内部控制，以使财务报表不存在由于舞弊或错误导致的重大错报。</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在编制财务报表时，管理层负责评估甘化科工公司的持续经营能力，披露与持续经营相关的事项（如适用），并运用持续经营假设，除非管理层计划清算甘化科工公司、终止运营或别无其他现实的选择。</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治理层负责监督甘化科工公司的财务报告过程。</w:t>
      </w:r>
    </w:p>
    <w:p w:rsidR="007F1C4E" w:rsidRDefault="00F67D6F" w:rsidP="007F1C4E">
      <w:pPr>
        <w:pStyle w:val="a3"/>
        <w:widowControl w:val="0"/>
        <w:spacing w:before="0" w:beforeAutospacing="0" w:after="0" w:afterAutospacing="0" w:line="560" w:lineRule="exact"/>
        <w:ind w:firstLine="482"/>
        <w:jc w:val="both"/>
        <w:divId w:val="969553885"/>
        <w:rPr>
          <w:rStyle w:val="a4"/>
          <w:rFonts w:ascii="仿宋" w:eastAsia="仿宋" w:hAnsi="仿宋"/>
          <w:sz w:val="28"/>
          <w:szCs w:val="28"/>
        </w:rPr>
      </w:pPr>
      <w:r w:rsidRPr="00980BC4">
        <w:rPr>
          <w:rStyle w:val="a4"/>
          <w:rFonts w:ascii="仿宋" w:eastAsia="仿宋" w:hAnsi="仿宋" w:hint="eastAsia"/>
          <w:sz w:val="28"/>
          <w:szCs w:val="28"/>
        </w:rPr>
        <w:t>六、注册会计师对财务报表审计的责任</w:t>
      </w:r>
    </w:p>
    <w:p w:rsidR="00F67D6F" w:rsidRPr="00980BC4" w:rsidRDefault="00F67D6F" w:rsidP="007F1C4E">
      <w:pPr>
        <w:pStyle w:val="a3"/>
        <w:widowControl w:val="0"/>
        <w:spacing w:before="0" w:beforeAutospacing="0" w:after="0" w:afterAutospacing="0" w:line="560" w:lineRule="exact"/>
        <w:ind w:firstLine="482"/>
        <w:jc w:val="both"/>
        <w:divId w:val="969553885"/>
      </w:pPr>
      <w:r w:rsidRPr="00980BC4">
        <w:rPr>
          <w:rFonts w:ascii="仿宋" w:eastAsia="仿宋" w:hAnsi="仿宋" w:hint="eastAsia"/>
          <w:sz w:val="28"/>
          <w:szCs w:val="28"/>
        </w:rPr>
        <w:t>我们的目标是对财务报表整体是否不存在由于舞弊或错误导致的重大错报</w:t>
      </w:r>
      <w:r w:rsidRPr="00980BC4">
        <w:rPr>
          <w:rFonts w:ascii="仿宋" w:eastAsia="仿宋" w:hAnsi="仿宋" w:hint="eastAsia"/>
          <w:sz w:val="28"/>
          <w:szCs w:val="28"/>
        </w:rPr>
        <w:lastRenderedPageBreak/>
        <w:t>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在按照审计准则执行审计工作的过程中，我们运用职业判断，并保持职业怀疑。同时，我们也执行以下工作：</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（2）了解与审计相关的内部控制，以设计恰当的审计程序。</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（3）评价管理层选用会计政策的恰当性和作出会计估计及相关披露的合理性。</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4）对管理层使用持续经营假设的恰当性得出结论。同时，根据获取的审计证据，就可能导致对甘化科工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甘化科工公司不能持续经营。</w:t>
      </w:r>
    </w:p>
    <w:p w:rsidR="00A8241F" w:rsidRDefault="00F67D6F" w:rsidP="00A8241F">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（5）评价财务报表的总体列报、结构和内容，并评价财务报表是否公允反映相关交易和事项。</w:t>
      </w:r>
    </w:p>
    <w:p w:rsidR="00F67D6F" w:rsidRPr="00980BC4" w:rsidRDefault="00F67D6F" w:rsidP="00A8241F">
      <w:pPr>
        <w:pStyle w:val="a3"/>
        <w:widowControl w:val="0"/>
        <w:spacing w:before="0" w:beforeAutospacing="0" w:after="0" w:afterAutospacing="0" w:line="560" w:lineRule="exact"/>
        <w:ind w:firstLine="482"/>
        <w:jc w:val="both"/>
        <w:divId w:val="969553885"/>
      </w:pPr>
      <w:r w:rsidRPr="00980BC4">
        <w:rPr>
          <w:rFonts w:ascii="仿宋" w:eastAsia="仿宋" w:hAnsi="仿宋" w:hint="eastAsia"/>
          <w:sz w:val="28"/>
          <w:szCs w:val="28"/>
        </w:rPr>
        <w:t>（6）就甘化科工公司中实体或业务活动的财务信息获取充分、适当的审</w:t>
      </w:r>
      <w:r w:rsidRPr="00980BC4">
        <w:rPr>
          <w:rFonts w:ascii="仿宋" w:eastAsia="仿宋" w:hAnsi="仿宋" w:hint="eastAsia"/>
          <w:sz w:val="28"/>
          <w:szCs w:val="28"/>
        </w:rPr>
        <w:lastRenderedPageBreak/>
        <w:t>计证据，以对财务报表发表审计意见。我们负责指导、监督和执行集团审计，并对审计意见承担全部责任。</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我们与治理层就计划的审计范围、时间安排和重大审计发现等事项进行沟通，包括沟通我们在审计中识别出的值得关注的内部控制缺陷。</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我们还就已遵守与独立性相关的职业道德要求向治理层提供声明，并与治理层沟通可能被合理认为影响我们独立性的所有关系和其他事项，以及相关的防范措施（如适用）。</w:t>
      </w:r>
    </w:p>
    <w:p w:rsidR="00F67D6F" w:rsidRPr="00980BC4" w:rsidRDefault="00F67D6F" w:rsidP="00E42982">
      <w:pPr>
        <w:pStyle w:val="a3"/>
        <w:spacing w:before="0" w:beforeAutospacing="0" w:after="0" w:afterAutospacing="0" w:line="560" w:lineRule="exact"/>
        <w:ind w:firstLine="480"/>
        <w:jc w:val="both"/>
        <w:divId w:val="969553885"/>
      </w:pPr>
      <w:r w:rsidRPr="00980BC4">
        <w:rPr>
          <w:rFonts w:ascii="仿宋" w:eastAsia="仿宋" w:hAnsi="仿宋" w:hint="eastAsia"/>
          <w:sz w:val="28"/>
          <w:szCs w:val="28"/>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F67D6F" w:rsidRPr="00980BC4" w:rsidRDefault="00F67D6F" w:rsidP="00F67D6F">
      <w:pPr>
        <w:pStyle w:val="a3"/>
        <w:spacing w:before="0" w:beforeAutospacing="0" w:after="120" w:afterAutospacing="0" w:line="360" w:lineRule="auto"/>
        <w:ind w:firstLine="480"/>
        <w:jc w:val="both"/>
        <w:divId w:val="969553885"/>
      </w:pPr>
      <w:r w:rsidRPr="00980BC4">
        <w:rPr>
          <w:rFonts w:ascii="Times New Roman" w:hAnsi="Times New Roman" w:cs="Times New Roman"/>
        </w:rPr>
        <w:t> </w:t>
      </w:r>
    </w:p>
    <w:tbl>
      <w:tblPr>
        <w:tblW w:w="4835" w:type="pct"/>
        <w:tblCellMar>
          <w:left w:w="0" w:type="dxa"/>
          <w:right w:w="0" w:type="dxa"/>
        </w:tblCellMar>
        <w:tblLook w:val="04A0"/>
      </w:tblPr>
      <w:tblGrid>
        <w:gridCol w:w="2628"/>
        <w:gridCol w:w="1641"/>
        <w:gridCol w:w="5259"/>
      </w:tblGrid>
      <w:tr w:rsidR="00F67D6F" w:rsidRPr="00980BC4" w:rsidTr="00E42982">
        <w:trPr>
          <w:divId w:val="969553885"/>
          <w:trHeight w:val="397"/>
        </w:trPr>
        <w:tc>
          <w:tcPr>
            <w:tcW w:w="1379" w:type="pct"/>
            <w:tcMar>
              <w:top w:w="0" w:type="dxa"/>
              <w:left w:w="108" w:type="dxa"/>
              <w:bottom w:w="0" w:type="dxa"/>
              <w:right w:w="108" w:type="dxa"/>
            </w:tcMar>
            <w:hideMark/>
          </w:tcPr>
          <w:p w:rsidR="00F67D6F" w:rsidRPr="00980BC4" w:rsidRDefault="00F67D6F" w:rsidP="008D6E99">
            <w:pPr>
              <w:pStyle w:val="a3"/>
              <w:spacing w:before="60" w:beforeAutospacing="0" w:after="0" w:afterAutospacing="0" w:line="400" w:lineRule="atLeast"/>
              <w:jc w:val="center"/>
            </w:pPr>
            <w:r w:rsidRPr="00980BC4">
              <w:rPr>
                <w:rFonts w:ascii="仿宋" w:eastAsia="仿宋" w:hAnsi="仿宋" w:hint="eastAsia"/>
                <w:sz w:val="28"/>
                <w:szCs w:val="28"/>
              </w:rPr>
              <w:t>广东司农会计师事务所</w:t>
            </w:r>
          </w:p>
          <w:p w:rsidR="00F67D6F" w:rsidRPr="00980BC4" w:rsidRDefault="00F67D6F" w:rsidP="008D6E99">
            <w:pPr>
              <w:pStyle w:val="a3"/>
              <w:spacing w:before="60" w:beforeAutospacing="0" w:after="0" w:afterAutospacing="0" w:line="400" w:lineRule="atLeast"/>
              <w:jc w:val="center"/>
            </w:pPr>
            <w:r w:rsidRPr="00980BC4">
              <w:rPr>
                <w:rFonts w:ascii="仿宋" w:eastAsia="仿宋" w:hAnsi="仿宋" w:hint="eastAsia"/>
                <w:sz w:val="28"/>
                <w:szCs w:val="28"/>
              </w:rPr>
              <w:t>（特殊普通合伙）</w:t>
            </w:r>
          </w:p>
          <w:p w:rsidR="00F67D6F" w:rsidRPr="00980BC4" w:rsidRDefault="00F67D6F" w:rsidP="008D6E99">
            <w:pPr>
              <w:pStyle w:val="a3"/>
              <w:spacing w:before="60" w:beforeAutospacing="0" w:after="0" w:afterAutospacing="0" w:line="400" w:lineRule="atLeast"/>
              <w:jc w:val="center"/>
            </w:pPr>
            <w:r w:rsidRPr="00980BC4">
              <w:rPr>
                <w:rFonts w:ascii="Times New Roman" w:hAnsi="Times New Roman" w:cs="Times New Roman"/>
                <w:sz w:val="28"/>
                <w:szCs w:val="28"/>
              </w:rPr>
              <w:t> </w:t>
            </w:r>
          </w:p>
        </w:tc>
        <w:tc>
          <w:tcPr>
            <w:tcW w:w="861" w:type="pct"/>
            <w:tcMar>
              <w:top w:w="0" w:type="dxa"/>
              <w:left w:w="108" w:type="dxa"/>
              <w:bottom w:w="0" w:type="dxa"/>
              <w:right w:w="108" w:type="dxa"/>
            </w:tcMar>
            <w:hideMark/>
          </w:tcPr>
          <w:p w:rsidR="00F67D6F" w:rsidRPr="00980BC4" w:rsidRDefault="00F67D6F" w:rsidP="008D6E99">
            <w:pPr>
              <w:pStyle w:val="a3"/>
              <w:spacing w:before="25" w:beforeAutospacing="0" w:after="0" w:afterAutospacing="0" w:line="400" w:lineRule="atLeast"/>
              <w:jc w:val="center"/>
            </w:pPr>
            <w:r w:rsidRPr="00980BC4">
              <w:rPr>
                <w:rFonts w:ascii="Times New Roman" w:hAnsi="Times New Roman" w:cs="Times New Roman"/>
                <w:sz w:val="28"/>
                <w:szCs w:val="28"/>
              </w:rPr>
              <w:t> </w:t>
            </w:r>
          </w:p>
        </w:tc>
        <w:tc>
          <w:tcPr>
            <w:tcW w:w="2760" w:type="pct"/>
            <w:tcMar>
              <w:top w:w="0" w:type="dxa"/>
              <w:left w:w="108" w:type="dxa"/>
              <w:bottom w:w="0" w:type="dxa"/>
              <w:right w:w="108" w:type="dxa"/>
            </w:tcMar>
            <w:hideMark/>
          </w:tcPr>
          <w:p w:rsidR="00F67D6F" w:rsidRPr="00980BC4" w:rsidRDefault="00F67D6F" w:rsidP="008D6E99">
            <w:pPr>
              <w:pStyle w:val="a3"/>
              <w:spacing w:before="60" w:beforeAutospacing="0" w:after="0" w:afterAutospacing="0" w:line="400" w:lineRule="atLeast"/>
              <w:jc w:val="both"/>
            </w:pPr>
            <w:r w:rsidRPr="00980BC4">
              <w:rPr>
                <w:rFonts w:ascii="仿宋" w:eastAsia="仿宋" w:hAnsi="仿宋" w:hint="eastAsia"/>
                <w:sz w:val="28"/>
                <w:szCs w:val="28"/>
              </w:rPr>
              <w:t>中国注册会计师：</w:t>
            </w:r>
            <w:r w:rsidRPr="00980BC4">
              <w:rPr>
                <w:rFonts w:ascii="Times New Roman" w:hAnsi="Times New Roman" w:cs="Times New Roman"/>
                <w:sz w:val="28"/>
                <w:szCs w:val="28"/>
                <w:u w:val="single"/>
              </w:rPr>
              <w:t>                </w:t>
            </w:r>
            <w:r w:rsidRPr="00980BC4">
              <w:rPr>
                <w:rFonts w:ascii="仿宋" w:eastAsia="仿宋" w:hAnsi="仿宋" w:hint="eastAsia"/>
                <w:sz w:val="28"/>
                <w:szCs w:val="28"/>
                <w:u w:val="single"/>
              </w:rPr>
              <w:t xml:space="preserve"> </w:t>
            </w:r>
            <w:r w:rsidRPr="00980BC4">
              <w:rPr>
                <w:rFonts w:ascii="Times New Roman" w:hAnsi="Times New Roman" w:cs="Times New Roman"/>
                <w:sz w:val="28"/>
                <w:szCs w:val="28"/>
              </w:rPr>
              <w:t>  </w:t>
            </w:r>
          </w:p>
          <w:p w:rsidR="00F67D6F" w:rsidRPr="00980BC4" w:rsidRDefault="00F67D6F" w:rsidP="008D6E99">
            <w:pPr>
              <w:pStyle w:val="a3"/>
              <w:spacing w:before="60" w:beforeAutospacing="0" w:after="0" w:afterAutospacing="0" w:line="400" w:lineRule="atLeast"/>
              <w:jc w:val="both"/>
            </w:pPr>
            <w:r w:rsidRPr="00980BC4">
              <w:rPr>
                <w:rFonts w:ascii="Times New Roman" w:hAnsi="Times New Roman" w:cs="Times New Roman"/>
                <w:sz w:val="28"/>
                <w:szCs w:val="28"/>
              </w:rPr>
              <w:t>                </w:t>
            </w:r>
            <w:r w:rsidRPr="00980BC4">
              <w:rPr>
                <w:rFonts w:ascii="仿宋" w:eastAsia="仿宋" w:hAnsi="仿宋" w:hint="eastAsia"/>
                <w:sz w:val="28"/>
                <w:szCs w:val="28"/>
              </w:rPr>
              <w:t xml:space="preserve"> 陈皓淳（项目合伙人）</w:t>
            </w:r>
          </w:p>
          <w:p w:rsidR="00F67D6F" w:rsidRPr="00980BC4" w:rsidRDefault="00F67D6F" w:rsidP="008D6E99">
            <w:pPr>
              <w:pStyle w:val="a3"/>
              <w:spacing w:before="60" w:beforeAutospacing="0" w:after="0" w:afterAutospacing="0" w:line="400" w:lineRule="atLeast"/>
              <w:jc w:val="both"/>
            </w:pPr>
            <w:r w:rsidRPr="00980BC4">
              <w:rPr>
                <w:rFonts w:ascii="Times New Roman" w:hAnsi="Times New Roman" w:cs="Times New Roman"/>
                <w:sz w:val="28"/>
                <w:szCs w:val="28"/>
              </w:rPr>
              <w:t> </w:t>
            </w:r>
          </w:p>
          <w:p w:rsidR="00F67D6F" w:rsidRPr="00980BC4" w:rsidRDefault="00F67D6F" w:rsidP="008D6E99">
            <w:pPr>
              <w:pStyle w:val="a3"/>
              <w:spacing w:before="60" w:beforeAutospacing="0" w:after="0" w:afterAutospacing="0" w:line="400" w:lineRule="atLeast"/>
              <w:jc w:val="both"/>
            </w:pPr>
            <w:r w:rsidRPr="00980BC4">
              <w:rPr>
                <w:rFonts w:ascii="仿宋" w:eastAsia="仿宋" w:hAnsi="仿宋" w:hint="eastAsia"/>
                <w:sz w:val="28"/>
                <w:szCs w:val="28"/>
              </w:rPr>
              <w:t>中国注册会计师：</w:t>
            </w:r>
            <w:r w:rsidRPr="00980BC4">
              <w:rPr>
                <w:rFonts w:ascii="Times New Roman" w:hAnsi="Times New Roman" w:cs="Times New Roman"/>
                <w:sz w:val="28"/>
                <w:szCs w:val="28"/>
                <w:u w:val="single"/>
              </w:rPr>
              <w:t>                </w:t>
            </w:r>
            <w:r w:rsidRPr="00980BC4">
              <w:rPr>
                <w:rFonts w:ascii="仿宋" w:eastAsia="仿宋" w:hAnsi="仿宋" w:hint="eastAsia"/>
                <w:sz w:val="28"/>
                <w:szCs w:val="28"/>
                <w:u w:val="single"/>
              </w:rPr>
              <w:t xml:space="preserve"> </w:t>
            </w:r>
            <w:r w:rsidRPr="00980BC4">
              <w:rPr>
                <w:rFonts w:ascii="Times New Roman" w:hAnsi="Times New Roman" w:cs="Times New Roman"/>
                <w:sz w:val="28"/>
                <w:szCs w:val="28"/>
              </w:rPr>
              <w:t> </w:t>
            </w:r>
          </w:p>
          <w:p w:rsidR="00F67D6F" w:rsidRPr="00980BC4" w:rsidRDefault="00F67D6F" w:rsidP="008D6E99">
            <w:pPr>
              <w:pStyle w:val="a3"/>
              <w:spacing w:before="60" w:beforeAutospacing="0" w:after="0" w:afterAutospacing="0" w:line="400" w:lineRule="atLeast"/>
              <w:jc w:val="both"/>
            </w:pPr>
            <w:r w:rsidRPr="00980BC4">
              <w:rPr>
                <w:rFonts w:ascii="Times New Roman" w:hAnsi="Times New Roman" w:cs="Times New Roman"/>
                <w:sz w:val="28"/>
                <w:szCs w:val="28"/>
              </w:rPr>
              <w:t>                </w:t>
            </w:r>
            <w:r w:rsidRPr="00980BC4">
              <w:rPr>
                <w:rFonts w:ascii="仿宋" w:eastAsia="仿宋" w:hAnsi="仿宋" w:hint="eastAsia"/>
                <w:sz w:val="28"/>
                <w:szCs w:val="28"/>
              </w:rPr>
              <w:t xml:space="preserve"> 梁剑云</w:t>
            </w:r>
          </w:p>
          <w:p w:rsidR="00F67D6F" w:rsidRPr="00980BC4" w:rsidRDefault="00F67D6F" w:rsidP="008D6E99">
            <w:pPr>
              <w:pStyle w:val="a3"/>
              <w:spacing w:before="60" w:beforeAutospacing="0" w:after="0" w:afterAutospacing="0" w:line="400" w:lineRule="atLeast"/>
              <w:jc w:val="both"/>
            </w:pPr>
            <w:r w:rsidRPr="00980BC4">
              <w:rPr>
                <w:rFonts w:ascii="Times New Roman" w:hAnsi="Times New Roman" w:cs="Times New Roman"/>
                <w:sz w:val="28"/>
                <w:szCs w:val="28"/>
              </w:rPr>
              <w:t> </w:t>
            </w:r>
          </w:p>
        </w:tc>
      </w:tr>
      <w:tr w:rsidR="00F67D6F" w:rsidRPr="00980BC4" w:rsidTr="00E42982">
        <w:trPr>
          <w:divId w:val="969553885"/>
          <w:trHeight w:val="633"/>
        </w:trPr>
        <w:tc>
          <w:tcPr>
            <w:tcW w:w="1379" w:type="pct"/>
            <w:tcMar>
              <w:top w:w="0" w:type="dxa"/>
              <w:left w:w="108" w:type="dxa"/>
              <w:bottom w:w="0" w:type="dxa"/>
              <w:right w:w="108" w:type="dxa"/>
            </w:tcMar>
            <w:vAlign w:val="center"/>
            <w:hideMark/>
          </w:tcPr>
          <w:p w:rsidR="00F67D6F" w:rsidRPr="00980BC4" w:rsidRDefault="00F67D6F" w:rsidP="008D6E99">
            <w:pPr>
              <w:pStyle w:val="a3"/>
              <w:spacing w:before="25" w:beforeAutospacing="0" w:after="0" w:afterAutospacing="0" w:line="400" w:lineRule="atLeast"/>
              <w:jc w:val="center"/>
            </w:pPr>
            <w:r w:rsidRPr="00980BC4">
              <w:rPr>
                <w:rFonts w:ascii="仿宋" w:eastAsia="仿宋" w:hAnsi="仿宋" w:hint="eastAsia"/>
                <w:sz w:val="28"/>
                <w:szCs w:val="28"/>
              </w:rPr>
              <w:t>中国·广州</w:t>
            </w:r>
          </w:p>
          <w:p w:rsidR="00F67D6F" w:rsidRPr="00980BC4" w:rsidRDefault="00F67D6F" w:rsidP="008D6E99">
            <w:pPr>
              <w:pStyle w:val="a3"/>
              <w:spacing w:before="25" w:beforeAutospacing="0" w:after="0" w:afterAutospacing="0" w:line="400" w:lineRule="atLeast"/>
              <w:jc w:val="center"/>
            </w:pPr>
            <w:r w:rsidRPr="00980BC4">
              <w:rPr>
                <w:rFonts w:ascii="Times New Roman" w:hAnsi="Times New Roman" w:cs="Times New Roman"/>
                <w:sz w:val="28"/>
                <w:szCs w:val="28"/>
              </w:rPr>
              <w:t> </w:t>
            </w:r>
          </w:p>
        </w:tc>
        <w:tc>
          <w:tcPr>
            <w:tcW w:w="861" w:type="pct"/>
            <w:tcMar>
              <w:top w:w="0" w:type="dxa"/>
              <w:left w:w="108" w:type="dxa"/>
              <w:bottom w:w="0" w:type="dxa"/>
              <w:right w:w="108" w:type="dxa"/>
            </w:tcMar>
            <w:vAlign w:val="center"/>
            <w:hideMark/>
          </w:tcPr>
          <w:p w:rsidR="00F67D6F" w:rsidRPr="00980BC4" w:rsidRDefault="00F67D6F" w:rsidP="008D6E99">
            <w:pPr>
              <w:pStyle w:val="a3"/>
              <w:spacing w:before="25" w:beforeAutospacing="0" w:after="0" w:afterAutospacing="0" w:line="400" w:lineRule="atLeast"/>
              <w:jc w:val="center"/>
            </w:pPr>
            <w:r w:rsidRPr="00980BC4">
              <w:rPr>
                <w:rFonts w:ascii="Times New Roman" w:hAnsi="Times New Roman" w:cs="Times New Roman"/>
                <w:sz w:val="28"/>
                <w:szCs w:val="28"/>
              </w:rPr>
              <w:t> </w:t>
            </w:r>
          </w:p>
        </w:tc>
        <w:tc>
          <w:tcPr>
            <w:tcW w:w="2760" w:type="pct"/>
            <w:tcMar>
              <w:top w:w="0" w:type="dxa"/>
              <w:left w:w="108" w:type="dxa"/>
              <w:bottom w:w="0" w:type="dxa"/>
              <w:right w:w="108" w:type="dxa"/>
            </w:tcMar>
            <w:vAlign w:val="center"/>
            <w:hideMark/>
          </w:tcPr>
          <w:p w:rsidR="00F67D6F" w:rsidRPr="00980BC4" w:rsidRDefault="00F67D6F" w:rsidP="008D6E99">
            <w:pPr>
              <w:pStyle w:val="a3"/>
              <w:spacing w:before="25" w:beforeAutospacing="0" w:after="0" w:afterAutospacing="0" w:line="400" w:lineRule="atLeast"/>
              <w:jc w:val="both"/>
            </w:pPr>
            <w:r w:rsidRPr="00980BC4">
              <w:rPr>
                <w:rFonts w:ascii="Times New Roman" w:hAnsi="Times New Roman" w:cs="Times New Roman"/>
                <w:sz w:val="28"/>
                <w:szCs w:val="28"/>
              </w:rPr>
              <w:t> </w:t>
            </w:r>
          </w:p>
        </w:tc>
      </w:tr>
      <w:tr w:rsidR="00F67D6F" w:rsidRPr="00980BC4" w:rsidTr="00E42982">
        <w:trPr>
          <w:divId w:val="969553885"/>
          <w:trHeight w:val="397"/>
        </w:trPr>
        <w:tc>
          <w:tcPr>
            <w:tcW w:w="1379" w:type="pct"/>
            <w:tcMar>
              <w:top w:w="0" w:type="dxa"/>
              <w:left w:w="108" w:type="dxa"/>
              <w:bottom w:w="0" w:type="dxa"/>
              <w:right w:w="108" w:type="dxa"/>
            </w:tcMar>
            <w:vAlign w:val="center"/>
            <w:hideMark/>
          </w:tcPr>
          <w:p w:rsidR="00F67D6F" w:rsidRPr="00980BC4" w:rsidRDefault="00F67D6F" w:rsidP="008D6E99">
            <w:pPr>
              <w:pStyle w:val="a3"/>
              <w:spacing w:before="60" w:beforeAutospacing="0" w:after="0" w:afterAutospacing="0" w:line="400" w:lineRule="atLeast"/>
              <w:jc w:val="both"/>
            </w:pPr>
            <w:r w:rsidRPr="00980BC4">
              <w:rPr>
                <w:rFonts w:hint="eastAsia"/>
                <w:sz w:val="28"/>
                <w:szCs w:val="28"/>
              </w:rPr>
              <w:t> </w:t>
            </w:r>
          </w:p>
        </w:tc>
        <w:tc>
          <w:tcPr>
            <w:tcW w:w="861" w:type="pct"/>
            <w:tcMar>
              <w:top w:w="0" w:type="dxa"/>
              <w:left w:w="108" w:type="dxa"/>
              <w:bottom w:w="0" w:type="dxa"/>
              <w:right w:w="108" w:type="dxa"/>
            </w:tcMar>
            <w:vAlign w:val="center"/>
            <w:hideMark/>
          </w:tcPr>
          <w:p w:rsidR="00F67D6F" w:rsidRPr="00980BC4" w:rsidRDefault="00F67D6F" w:rsidP="008D6E99">
            <w:pPr>
              <w:pStyle w:val="a3"/>
              <w:spacing w:before="60" w:beforeAutospacing="0" w:after="0" w:afterAutospacing="0" w:line="400" w:lineRule="atLeast"/>
              <w:jc w:val="both"/>
            </w:pPr>
            <w:r w:rsidRPr="00980BC4">
              <w:rPr>
                <w:rFonts w:hint="eastAsia"/>
                <w:sz w:val="28"/>
                <w:szCs w:val="28"/>
              </w:rPr>
              <w:t> </w:t>
            </w:r>
          </w:p>
        </w:tc>
        <w:tc>
          <w:tcPr>
            <w:tcW w:w="2760" w:type="pct"/>
            <w:tcMar>
              <w:top w:w="0" w:type="dxa"/>
              <w:left w:w="108" w:type="dxa"/>
              <w:bottom w:w="0" w:type="dxa"/>
              <w:right w:w="108" w:type="dxa"/>
            </w:tcMar>
            <w:vAlign w:val="center"/>
            <w:hideMark/>
          </w:tcPr>
          <w:p w:rsidR="00F67D6F" w:rsidRPr="00980BC4" w:rsidRDefault="00F67D6F" w:rsidP="008D6E99">
            <w:pPr>
              <w:pStyle w:val="a3"/>
              <w:spacing w:before="60" w:beforeAutospacing="0" w:after="0" w:afterAutospacing="0" w:line="400" w:lineRule="atLeast"/>
              <w:jc w:val="both"/>
            </w:pPr>
            <w:r w:rsidRPr="00980BC4">
              <w:rPr>
                <w:rFonts w:hint="eastAsia"/>
                <w:sz w:val="28"/>
                <w:szCs w:val="28"/>
              </w:rPr>
              <w:t> </w:t>
            </w:r>
          </w:p>
        </w:tc>
      </w:tr>
      <w:tr w:rsidR="00F67D6F" w:rsidRPr="00980BC4" w:rsidTr="00E42982">
        <w:trPr>
          <w:divId w:val="969553885"/>
          <w:trHeight w:val="642"/>
        </w:trPr>
        <w:tc>
          <w:tcPr>
            <w:tcW w:w="1379" w:type="pct"/>
            <w:tcMar>
              <w:top w:w="0" w:type="dxa"/>
              <w:left w:w="108" w:type="dxa"/>
              <w:bottom w:w="0" w:type="dxa"/>
              <w:right w:w="108" w:type="dxa"/>
            </w:tcMar>
            <w:vAlign w:val="center"/>
            <w:hideMark/>
          </w:tcPr>
          <w:p w:rsidR="00F67D6F" w:rsidRPr="00980BC4" w:rsidRDefault="00F67D6F" w:rsidP="008D6E99">
            <w:pPr>
              <w:pStyle w:val="a3"/>
              <w:spacing w:before="60" w:beforeAutospacing="0" w:after="0" w:afterAutospacing="0" w:line="400" w:lineRule="atLeast"/>
              <w:jc w:val="both"/>
            </w:pPr>
            <w:r w:rsidRPr="00980BC4">
              <w:rPr>
                <w:rFonts w:hint="eastAsia"/>
                <w:sz w:val="28"/>
                <w:szCs w:val="28"/>
              </w:rPr>
              <w:t> </w:t>
            </w:r>
          </w:p>
        </w:tc>
        <w:tc>
          <w:tcPr>
            <w:tcW w:w="861" w:type="pct"/>
            <w:tcMar>
              <w:top w:w="0" w:type="dxa"/>
              <w:left w:w="108" w:type="dxa"/>
              <w:bottom w:w="0" w:type="dxa"/>
              <w:right w:w="108" w:type="dxa"/>
            </w:tcMar>
            <w:vAlign w:val="center"/>
            <w:hideMark/>
          </w:tcPr>
          <w:p w:rsidR="00F67D6F" w:rsidRPr="00980BC4" w:rsidRDefault="00F67D6F" w:rsidP="008D6E99">
            <w:pPr>
              <w:pStyle w:val="a3"/>
              <w:spacing w:before="60" w:beforeAutospacing="0" w:after="0" w:afterAutospacing="0" w:line="400" w:lineRule="atLeast"/>
              <w:jc w:val="both"/>
            </w:pPr>
            <w:r w:rsidRPr="00980BC4">
              <w:rPr>
                <w:rFonts w:hint="eastAsia"/>
                <w:sz w:val="28"/>
                <w:szCs w:val="28"/>
              </w:rPr>
              <w:t> </w:t>
            </w:r>
          </w:p>
        </w:tc>
        <w:tc>
          <w:tcPr>
            <w:tcW w:w="2760" w:type="pct"/>
            <w:tcMar>
              <w:top w:w="0" w:type="dxa"/>
              <w:left w:w="108" w:type="dxa"/>
              <w:bottom w:w="0" w:type="dxa"/>
              <w:right w:w="108" w:type="dxa"/>
            </w:tcMar>
            <w:vAlign w:val="center"/>
            <w:hideMark/>
          </w:tcPr>
          <w:p w:rsidR="00F67D6F" w:rsidRPr="00980BC4" w:rsidRDefault="00F67D6F" w:rsidP="00E42982">
            <w:pPr>
              <w:pStyle w:val="a3"/>
              <w:spacing w:before="60" w:beforeAutospacing="0" w:after="0" w:afterAutospacing="0" w:line="400" w:lineRule="atLeast"/>
              <w:jc w:val="both"/>
            </w:pPr>
            <w:r w:rsidRPr="00980BC4">
              <w:rPr>
                <w:rFonts w:ascii="仿宋" w:eastAsia="仿宋" w:hAnsi="仿宋" w:hint="eastAsia"/>
                <w:sz w:val="28"/>
                <w:szCs w:val="28"/>
              </w:rPr>
              <w:t>2023年04月0</w:t>
            </w:r>
            <w:r w:rsidR="00E42982" w:rsidRPr="00980BC4">
              <w:rPr>
                <w:rFonts w:ascii="仿宋" w:eastAsia="仿宋" w:hAnsi="仿宋" w:hint="eastAsia"/>
                <w:sz w:val="28"/>
                <w:szCs w:val="28"/>
              </w:rPr>
              <w:t>6</w:t>
            </w:r>
            <w:r w:rsidRPr="00980BC4">
              <w:rPr>
                <w:rFonts w:ascii="仿宋" w:eastAsia="仿宋" w:hAnsi="仿宋" w:hint="eastAsia"/>
                <w:sz w:val="28"/>
                <w:szCs w:val="28"/>
              </w:rPr>
              <w:t>日</w:t>
            </w:r>
          </w:p>
        </w:tc>
      </w:tr>
    </w:tbl>
    <w:p w:rsidR="00F67D6F" w:rsidRPr="00980BC4" w:rsidRDefault="00F67D6F" w:rsidP="00F67D6F">
      <w:pPr>
        <w:divId w:val="969553885"/>
        <w:rPr>
          <w:sz w:val="24"/>
          <w:szCs w:val="24"/>
        </w:rPr>
      </w:pPr>
    </w:p>
    <w:p w:rsidR="008D6E99" w:rsidRPr="00980BC4" w:rsidRDefault="008D6E99" w:rsidP="008D6E99">
      <w:pPr>
        <w:pStyle w:val="Chapter"/>
        <w:spacing w:before="0" w:after="0" w:line="560" w:lineRule="exact"/>
        <w:ind w:firstLineChars="200" w:firstLine="562"/>
        <w:outlineLvl w:val="1"/>
        <w:divId w:val="969553885"/>
        <w:rPr>
          <w:bCs w:val="0"/>
          <w:sz w:val="28"/>
          <w:szCs w:val="28"/>
        </w:rPr>
      </w:pPr>
      <w:bookmarkStart w:id="147" w:name="_Toc989036"/>
    </w:p>
    <w:p w:rsidR="008D6E99" w:rsidRPr="00980BC4" w:rsidRDefault="008D6E99" w:rsidP="008D6E99">
      <w:pPr>
        <w:rPr>
          <w:rFonts w:ascii="Times New Roman" w:eastAsia="宋体" w:hAnsi="Times New Roman" w:cs="Times New Roman"/>
          <w:kern w:val="28"/>
        </w:rPr>
      </w:pPr>
      <w:r w:rsidRPr="00980BC4">
        <w:br w:type="page"/>
      </w:r>
    </w:p>
    <w:p w:rsidR="00F67D6F" w:rsidRPr="00980BC4" w:rsidRDefault="00F67D6F" w:rsidP="008D6E99">
      <w:pPr>
        <w:pStyle w:val="Chapter"/>
        <w:spacing w:before="0" w:after="0" w:line="560" w:lineRule="exact"/>
        <w:ind w:firstLineChars="200" w:firstLine="562"/>
        <w:outlineLvl w:val="1"/>
        <w:divId w:val="969553885"/>
        <w:rPr>
          <w:bCs w:val="0"/>
          <w:sz w:val="28"/>
          <w:szCs w:val="28"/>
        </w:rPr>
      </w:pPr>
      <w:r w:rsidRPr="00980BC4">
        <w:rPr>
          <w:bCs w:val="0"/>
          <w:sz w:val="28"/>
          <w:szCs w:val="28"/>
        </w:rPr>
        <w:lastRenderedPageBreak/>
        <w:t>二、财务报表</w:t>
      </w:r>
      <w:bookmarkEnd w:id="147"/>
    </w:p>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sz w:val="28"/>
          <w:szCs w:val="28"/>
        </w:rPr>
      </w:pPr>
      <w:r w:rsidRPr="00980BC4">
        <w:rPr>
          <w:rFonts w:ascii="仿宋" w:eastAsia="仿宋" w:hAnsi="仿宋"/>
          <w:sz w:val="28"/>
          <w:szCs w:val="28"/>
        </w:rPr>
        <w:t>财务附注中报表的单位为：元</w:t>
      </w:r>
    </w:p>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bookmarkStart w:id="148" w:name="_Toc989037"/>
      <w:r w:rsidRPr="00980BC4">
        <w:rPr>
          <w:rFonts w:ascii="仿宋" w:eastAsia="仿宋" w:hAnsi="仿宋"/>
          <w:b/>
          <w:sz w:val="28"/>
          <w:szCs w:val="28"/>
        </w:rPr>
        <w:t>1、合并资产负债表</w:t>
      </w:r>
      <w:bookmarkEnd w:id="148"/>
    </w:p>
    <w:p w:rsidR="00F67D6F" w:rsidRPr="00980BC4" w:rsidRDefault="00F67D6F" w:rsidP="008D6E99">
      <w:pPr>
        <w:spacing w:line="560" w:lineRule="exact"/>
        <w:divId w:val="969553885"/>
        <w:rPr>
          <w:rFonts w:ascii="宋体" w:eastAsia="宋体" w:hAnsi="宋体" w:cs="宋体"/>
          <w:sz w:val="18"/>
          <w:szCs w:val="18"/>
        </w:rPr>
      </w:pPr>
      <w:r w:rsidRPr="00980BC4">
        <w:rPr>
          <w:rFonts w:ascii="宋体" w:eastAsia="宋体" w:hAnsi="宋体" w:cs="宋体"/>
          <w:sz w:val="18"/>
          <w:szCs w:val="18"/>
        </w:rPr>
        <w:t>编制单位：广东甘化科工股份有限公司</w:t>
      </w:r>
    </w:p>
    <w:p w:rsidR="00F67D6F" w:rsidRPr="00980BC4" w:rsidRDefault="00F67D6F" w:rsidP="00F67D6F">
      <w:pPr>
        <w:spacing w:line="240" w:lineRule="exact"/>
        <w:jc w:val="center"/>
        <w:divId w:val="969553885"/>
        <w:rPr>
          <w:rFonts w:ascii="宋体" w:eastAsia="宋体" w:hAnsi="宋体" w:cs="宋体"/>
          <w:sz w:val="18"/>
          <w:szCs w:val="18"/>
        </w:rPr>
      </w:pPr>
      <w:r w:rsidRPr="00980BC4">
        <w:rPr>
          <w:rFonts w:ascii="宋体" w:eastAsia="宋体" w:hAnsi="宋体" w:cs="宋体"/>
          <w:sz w:val="18"/>
          <w:szCs w:val="18"/>
        </w:rPr>
        <w:t>2022年12月31日</w:t>
      </w:r>
    </w:p>
    <w:p w:rsidR="00F67D6F" w:rsidRPr="00980BC4" w:rsidRDefault="00F67D6F" w:rsidP="00F67D6F">
      <w:pPr>
        <w:spacing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2022年12月31日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2022年1月1日</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141,639,744.87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122,849,662.46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292,231,491.07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292,481,315.59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156,156,288.85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77,930,640.69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151,471,551.63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93,657,626.97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2,576,171.12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12,585,315.12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3,567,612.39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2,862,346.53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200" w:firstLine="360"/>
              <w:rPr>
                <w:rFonts w:ascii="宋体" w:eastAsia="宋体" w:hAnsi="宋体" w:cs="宋体"/>
                <w:sz w:val="18"/>
                <w:szCs w:val="18"/>
              </w:rPr>
            </w:pPr>
            <w:r w:rsidRPr="00980BC4">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500" w:firstLine="900"/>
              <w:rPr>
                <w:rFonts w:ascii="宋体" w:eastAsia="宋体" w:hAnsi="宋体" w:cs="宋体"/>
                <w:sz w:val="18"/>
                <w:szCs w:val="18"/>
              </w:rPr>
            </w:pPr>
            <w:r w:rsidRPr="00980BC4">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159,144,000.01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114,068,172.37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555,645.54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4,259,768.85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151,300,076.60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911,602,274.33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867,735,156.33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5,260,610.02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6,345,441.79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lastRenderedPageBreak/>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685343" w:rsidP="008D6E99">
            <w:pPr>
              <w:spacing w:line="300" w:lineRule="exact"/>
              <w:jc w:val="right"/>
              <w:rPr>
                <w:rFonts w:ascii="宋体" w:eastAsia="宋体" w:hAnsi="宋体" w:cs="宋体"/>
                <w:sz w:val="18"/>
                <w:szCs w:val="18"/>
              </w:rPr>
            </w:pPr>
            <w:r w:rsidRPr="00444C00">
              <w:rPr>
                <w:rFonts w:ascii="宋体" w:eastAsia="宋体" w:hAnsi="宋体" w:cs="宋体"/>
                <w:sz w:val="18"/>
                <w:szCs w:val="18"/>
              </w:rPr>
              <w:t>164,439,177.20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157,858,508.52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22,000,000.00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20,000,000.00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22,577,561.65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23,297,125.81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57,770,822.39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39,274,854.67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273,451.33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375,558.55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57,660,520.15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59,413,719.69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10,951,948.68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8,226,045.12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718,624,779.20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650,263,070.56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14,366,851.59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4,162,669.26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19,028,178.81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15,049,410.58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2,126,692.16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2,459,547.57</w:t>
            </w:r>
          </w:p>
        </w:tc>
      </w:tr>
      <w:tr w:rsidR="00685343"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85343" w:rsidRPr="00980BC4" w:rsidRDefault="00685343"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685343" w:rsidRPr="00980BC4" w:rsidRDefault="00685343" w:rsidP="007F1C4E">
            <w:pPr>
              <w:spacing w:line="300" w:lineRule="exact"/>
              <w:jc w:val="right"/>
              <w:rPr>
                <w:rFonts w:ascii="宋体" w:eastAsia="宋体" w:hAnsi="宋体" w:cs="宋体"/>
                <w:sz w:val="18"/>
                <w:szCs w:val="18"/>
              </w:rPr>
            </w:pPr>
            <w:r w:rsidRPr="00444C00">
              <w:rPr>
                <w:rFonts w:ascii="宋体" w:eastAsia="宋体" w:hAnsi="宋体" w:cs="宋体"/>
                <w:sz w:val="18"/>
                <w:szCs w:val="18"/>
              </w:rPr>
              <w:t>1,095,080,593.18</w:t>
            </w:r>
          </w:p>
        </w:tc>
        <w:tc>
          <w:tcPr>
            <w:tcW w:w="3213" w:type="dxa"/>
            <w:tcBorders>
              <w:top w:val="single" w:sz="2" w:space="0" w:color="auto"/>
              <w:left w:val="single" w:sz="2" w:space="0" w:color="auto"/>
              <w:bottom w:val="single" w:sz="2" w:space="0" w:color="auto"/>
              <w:right w:val="single" w:sz="2" w:space="0" w:color="auto"/>
            </w:tcBorders>
            <w:vAlign w:val="center"/>
          </w:tcPr>
          <w:p w:rsidR="00685343" w:rsidRPr="00980BC4" w:rsidRDefault="00685343"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986,725,952.12</w:t>
            </w:r>
          </w:p>
        </w:tc>
      </w:tr>
      <w:tr w:rsidR="00685343"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85343" w:rsidRPr="00980BC4" w:rsidRDefault="00685343"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685343" w:rsidRPr="00980BC4" w:rsidRDefault="00685343" w:rsidP="007F1C4E">
            <w:pPr>
              <w:spacing w:line="300" w:lineRule="exact"/>
              <w:jc w:val="right"/>
              <w:rPr>
                <w:rFonts w:ascii="宋体" w:eastAsia="宋体" w:hAnsi="宋体" w:cs="宋体"/>
                <w:sz w:val="18"/>
                <w:szCs w:val="18"/>
              </w:rPr>
            </w:pPr>
            <w:r w:rsidRPr="00444C00">
              <w:rPr>
                <w:rFonts w:ascii="宋体" w:eastAsia="宋体" w:hAnsi="宋体" w:cs="宋体"/>
                <w:sz w:val="18"/>
                <w:szCs w:val="18"/>
              </w:rPr>
              <w:t>2,006,682,867.51</w:t>
            </w:r>
          </w:p>
        </w:tc>
        <w:tc>
          <w:tcPr>
            <w:tcW w:w="3213" w:type="dxa"/>
            <w:tcBorders>
              <w:top w:val="single" w:sz="2" w:space="0" w:color="auto"/>
              <w:left w:val="single" w:sz="2" w:space="0" w:color="auto"/>
              <w:bottom w:val="single" w:sz="2" w:space="0" w:color="auto"/>
              <w:right w:val="single" w:sz="2" w:space="0" w:color="auto"/>
            </w:tcBorders>
            <w:vAlign w:val="center"/>
          </w:tcPr>
          <w:p w:rsidR="00685343" w:rsidRPr="00980BC4" w:rsidRDefault="00685343"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1,854,461,108.45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24,091,793.12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10,368,919.23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30,547,001.40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21,570,288.82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5,520,477.18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24,629,339.09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40,046,442.41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38,194,616.06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20,732,485.44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18,265,870.22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28,106,873.04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44,182,126.90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200" w:firstLine="360"/>
              <w:rPr>
                <w:rFonts w:ascii="宋体" w:eastAsia="宋体" w:hAnsi="宋体" w:cs="宋体"/>
                <w:sz w:val="18"/>
                <w:szCs w:val="18"/>
              </w:rPr>
            </w:pPr>
            <w:r w:rsidRPr="00980BC4">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500" w:firstLine="900"/>
              <w:rPr>
                <w:rFonts w:ascii="宋体" w:eastAsia="宋体" w:hAnsi="宋体" w:cs="宋体"/>
                <w:sz w:val="18"/>
                <w:szCs w:val="18"/>
              </w:rPr>
            </w:pPr>
            <w:r w:rsidRPr="00980BC4">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923,915.18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1,273,624.65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lastRenderedPageBreak/>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2,693,991.27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2,112,688.15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718,789.14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63,343.39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152,457,853.00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159,387,191.86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200" w:firstLine="360"/>
              <w:rPr>
                <w:rFonts w:ascii="宋体" w:eastAsia="宋体" w:hAnsi="宋体" w:cs="宋体"/>
                <w:sz w:val="18"/>
                <w:szCs w:val="18"/>
              </w:rPr>
            </w:pPr>
            <w:r w:rsidRPr="00980BC4">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500" w:firstLine="900"/>
              <w:rPr>
                <w:rFonts w:ascii="宋体" w:eastAsia="宋体" w:hAnsi="宋体" w:cs="宋体"/>
                <w:sz w:val="18"/>
                <w:szCs w:val="18"/>
              </w:rPr>
            </w:pPr>
            <w:r w:rsidRPr="00980BC4">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60,071,068.19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60,897,403.69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32,993.52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245,997.80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1,720,365.19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1,076,413.66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3,423,779.10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2,146,898.50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65,248,206.00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64,366,713.65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217,706,059.00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223,753,905.51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442,861,324.00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200" w:firstLine="360"/>
              <w:rPr>
                <w:rFonts w:ascii="宋体" w:eastAsia="宋体" w:hAnsi="宋体" w:cs="宋体"/>
                <w:sz w:val="18"/>
                <w:szCs w:val="18"/>
              </w:rPr>
            </w:pPr>
            <w:r w:rsidRPr="00980BC4">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500" w:firstLine="900"/>
              <w:rPr>
                <w:rFonts w:ascii="宋体" w:eastAsia="宋体" w:hAnsi="宋体" w:cs="宋体"/>
                <w:sz w:val="18"/>
                <w:szCs w:val="18"/>
              </w:rPr>
            </w:pPr>
            <w:r w:rsidRPr="00980BC4">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685343" w:rsidP="008D6E99">
            <w:pPr>
              <w:spacing w:line="300" w:lineRule="exact"/>
              <w:jc w:val="right"/>
              <w:rPr>
                <w:rFonts w:ascii="宋体" w:eastAsia="宋体" w:hAnsi="宋体" w:cs="宋体"/>
                <w:sz w:val="18"/>
                <w:szCs w:val="18"/>
              </w:rPr>
            </w:pPr>
            <w:r w:rsidRPr="00444C00">
              <w:rPr>
                <w:rFonts w:ascii="宋体" w:eastAsia="宋体" w:hAnsi="宋体" w:cs="宋体"/>
                <w:sz w:val="18"/>
                <w:szCs w:val="18"/>
              </w:rPr>
              <w:t>708,693,669.05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704,254,180.85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65,326,541.77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74,214,504.38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5,317,066.43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4,475,651.97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90,928,947.53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85,729,477.01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572,279,282.75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458,070,573.76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685343" w:rsidP="008D6E99">
            <w:pPr>
              <w:spacing w:line="300" w:lineRule="exact"/>
              <w:jc w:val="right"/>
              <w:rPr>
                <w:rFonts w:ascii="宋体" w:eastAsia="宋体" w:hAnsi="宋体" w:cs="宋体"/>
                <w:sz w:val="18"/>
                <w:szCs w:val="18"/>
              </w:rPr>
            </w:pPr>
            <w:r w:rsidRPr="00444C00">
              <w:rPr>
                <w:rFonts w:ascii="宋体" w:eastAsia="宋体" w:hAnsi="宋体" w:cs="宋体"/>
                <w:sz w:val="18"/>
                <w:szCs w:val="18"/>
              </w:rPr>
              <w:t>1,754,753,747.99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1,621,176,703.21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34,223,060.52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9,530,499.73</w:t>
            </w:r>
          </w:p>
        </w:tc>
      </w:tr>
      <w:tr w:rsidR="00685343"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85343" w:rsidRPr="00980BC4" w:rsidRDefault="00685343" w:rsidP="008D6E99">
            <w:pPr>
              <w:spacing w:line="300" w:lineRule="exact"/>
              <w:rPr>
                <w:rFonts w:ascii="宋体" w:eastAsia="宋体" w:hAnsi="宋体" w:cs="宋体"/>
                <w:sz w:val="18"/>
                <w:szCs w:val="18"/>
              </w:rPr>
            </w:pPr>
            <w:r w:rsidRPr="00980BC4">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685343" w:rsidRPr="00980BC4" w:rsidRDefault="00685343" w:rsidP="007F1C4E">
            <w:pPr>
              <w:spacing w:line="300" w:lineRule="exact"/>
              <w:jc w:val="right"/>
              <w:rPr>
                <w:rFonts w:ascii="宋体" w:eastAsia="宋体" w:hAnsi="宋体" w:cs="宋体"/>
                <w:sz w:val="18"/>
                <w:szCs w:val="18"/>
              </w:rPr>
            </w:pPr>
            <w:r w:rsidRPr="00444C00">
              <w:rPr>
                <w:rFonts w:ascii="宋体" w:eastAsia="宋体" w:hAnsi="宋体" w:cs="宋体"/>
                <w:sz w:val="18"/>
                <w:szCs w:val="18"/>
              </w:rPr>
              <w:t>1,788,976,808.51</w:t>
            </w:r>
          </w:p>
        </w:tc>
        <w:tc>
          <w:tcPr>
            <w:tcW w:w="3213" w:type="dxa"/>
            <w:tcBorders>
              <w:top w:val="single" w:sz="2" w:space="0" w:color="auto"/>
              <w:left w:val="single" w:sz="2" w:space="0" w:color="auto"/>
              <w:bottom w:val="single" w:sz="2" w:space="0" w:color="auto"/>
              <w:right w:val="single" w:sz="2" w:space="0" w:color="auto"/>
            </w:tcBorders>
            <w:vAlign w:val="center"/>
          </w:tcPr>
          <w:p w:rsidR="00685343" w:rsidRPr="00980BC4" w:rsidRDefault="00685343"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1,630,707,202.94</w:t>
            </w:r>
          </w:p>
        </w:tc>
      </w:tr>
      <w:tr w:rsidR="00685343"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85343" w:rsidRPr="00980BC4" w:rsidRDefault="00685343" w:rsidP="008D6E99">
            <w:pPr>
              <w:spacing w:line="300" w:lineRule="exact"/>
              <w:rPr>
                <w:rFonts w:ascii="宋体" w:eastAsia="宋体" w:hAnsi="宋体" w:cs="宋体"/>
                <w:sz w:val="18"/>
                <w:szCs w:val="18"/>
              </w:rPr>
            </w:pPr>
            <w:r w:rsidRPr="00980BC4">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685343" w:rsidRPr="00980BC4" w:rsidRDefault="00685343" w:rsidP="007F1C4E">
            <w:pPr>
              <w:spacing w:line="300" w:lineRule="exact"/>
              <w:jc w:val="right"/>
              <w:rPr>
                <w:rFonts w:ascii="宋体" w:eastAsia="宋体" w:hAnsi="宋体" w:cs="宋体"/>
                <w:sz w:val="18"/>
                <w:szCs w:val="18"/>
              </w:rPr>
            </w:pPr>
            <w:r w:rsidRPr="00444C00">
              <w:rPr>
                <w:rFonts w:ascii="宋体" w:eastAsia="宋体" w:hAnsi="宋体" w:cs="宋体"/>
                <w:sz w:val="18"/>
                <w:szCs w:val="18"/>
              </w:rPr>
              <w:t>2,006,682,867.51</w:t>
            </w:r>
          </w:p>
        </w:tc>
        <w:tc>
          <w:tcPr>
            <w:tcW w:w="3213" w:type="dxa"/>
            <w:tcBorders>
              <w:top w:val="single" w:sz="2" w:space="0" w:color="auto"/>
              <w:left w:val="single" w:sz="2" w:space="0" w:color="auto"/>
              <w:bottom w:val="single" w:sz="2" w:space="0" w:color="auto"/>
              <w:right w:val="single" w:sz="2" w:space="0" w:color="auto"/>
            </w:tcBorders>
            <w:vAlign w:val="center"/>
          </w:tcPr>
          <w:p w:rsidR="00685343" w:rsidRPr="00980BC4" w:rsidRDefault="00685343"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1,854,461,108.45</w:t>
            </w:r>
          </w:p>
        </w:tc>
      </w:tr>
    </w:tbl>
    <w:p w:rsidR="00F67D6F" w:rsidRPr="00980BC4" w:rsidRDefault="00F67D6F" w:rsidP="008D6E99">
      <w:pPr>
        <w:spacing w:line="560" w:lineRule="exact"/>
        <w:jc w:val="center"/>
        <w:divId w:val="969553885"/>
        <w:rPr>
          <w:rFonts w:ascii="宋体" w:eastAsia="宋体" w:hAnsi="宋体" w:cs="宋体"/>
          <w:sz w:val="18"/>
          <w:szCs w:val="18"/>
        </w:rPr>
      </w:pPr>
      <w:r w:rsidRPr="00980BC4">
        <w:rPr>
          <w:rFonts w:ascii="宋体" w:eastAsia="宋体" w:hAnsi="宋体" w:cs="宋体"/>
          <w:sz w:val="18"/>
          <w:szCs w:val="18"/>
        </w:rPr>
        <w:t>法定代表人：黄克</w:t>
      </w:r>
      <w:r w:rsidR="008D6E99" w:rsidRPr="00980BC4">
        <w:rPr>
          <w:rFonts w:ascii="宋体" w:eastAsia="宋体" w:hAnsi="宋体" w:cs="宋体" w:hint="eastAsia"/>
          <w:sz w:val="18"/>
          <w:szCs w:val="18"/>
        </w:rPr>
        <w:t xml:space="preserve">          </w:t>
      </w:r>
      <w:r w:rsidRPr="00980BC4">
        <w:rPr>
          <w:rFonts w:ascii="宋体" w:eastAsia="宋体" w:hAnsi="宋体" w:cs="宋体"/>
          <w:sz w:val="18"/>
          <w:szCs w:val="18"/>
        </w:rPr>
        <w:t xml:space="preserve">    主管会计工作负责人：陈波  </w:t>
      </w:r>
      <w:r w:rsidR="008D6E99" w:rsidRPr="00980BC4">
        <w:rPr>
          <w:rFonts w:ascii="宋体" w:eastAsia="宋体" w:hAnsi="宋体" w:cs="宋体" w:hint="eastAsia"/>
          <w:sz w:val="18"/>
          <w:szCs w:val="18"/>
        </w:rPr>
        <w:t xml:space="preserve">         </w:t>
      </w:r>
      <w:r w:rsidRPr="00980BC4">
        <w:rPr>
          <w:rFonts w:ascii="宋体" w:eastAsia="宋体" w:hAnsi="宋体" w:cs="宋体"/>
          <w:sz w:val="18"/>
          <w:szCs w:val="18"/>
        </w:rPr>
        <w:t xml:space="preserve">    会计机构负责人：徐佳君</w:t>
      </w:r>
    </w:p>
    <w:p w:rsidR="008D6E99" w:rsidRPr="00980BC4" w:rsidRDefault="008D6E99" w:rsidP="008D6E99">
      <w:pPr>
        <w:pStyle w:val="a3"/>
        <w:spacing w:before="0" w:beforeAutospacing="0" w:after="0" w:afterAutospacing="0" w:line="320" w:lineRule="exact"/>
        <w:ind w:firstLine="482"/>
        <w:jc w:val="both"/>
        <w:divId w:val="969553885"/>
        <w:rPr>
          <w:rFonts w:ascii="仿宋" w:eastAsia="仿宋" w:hAnsi="仿宋"/>
          <w:b/>
          <w:sz w:val="28"/>
          <w:szCs w:val="28"/>
        </w:rPr>
      </w:pPr>
      <w:bookmarkStart w:id="149" w:name="_Toc989038"/>
    </w:p>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r w:rsidRPr="00980BC4">
        <w:rPr>
          <w:rFonts w:ascii="仿宋" w:eastAsia="仿宋" w:hAnsi="仿宋"/>
          <w:b/>
          <w:sz w:val="28"/>
          <w:szCs w:val="28"/>
        </w:rPr>
        <w:lastRenderedPageBreak/>
        <w:t>2、母公司资产负债表</w:t>
      </w:r>
      <w:bookmarkEnd w:id="149"/>
    </w:p>
    <w:p w:rsidR="00F67D6F" w:rsidRPr="00980BC4" w:rsidRDefault="00F67D6F" w:rsidP="00F67D6F">
      <w:pPr>
        <w:spacing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2022年12月31日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2022年1月1日</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54,520,838.84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45,747,489.31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208,776,123.46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167,703,252.82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56,301.70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56,301.70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26,966,418.11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47,976,699.34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500" w:firstLine="900"/>
              <w:rPr>
                <w:rFonts w:ascii="宋体" w:eastAsia="宋体" w:hAnsi="宋体" w:cs="宋体"/>
                <w:sz w:val="18"/>
                <w:szCs w:val="18"/>
              </w:rPr>
            </w:pPr>
            <w:r w:rsidRPr="00980BC4">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25,774,035.49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46,818,773.83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555,645.54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3,733,428.54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145,613,517.26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294,608,756.19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407,097,260.43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5,260,610.02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6,345,441.79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376A63" w:rsidP="008D6E99">
            <w:pPr>
              <w:spacing w:line="280" w:lineRule="exact"/>
              <w:jc w:val="right"/>
              <w:rPr>
                <w:rFonts w:ascii="宋体" w:eastAsia="宋体" w:hAnsi="宋体" w:cs="宋体"/>
                <w:sz w:val="18"/>
                <w:szCs w:val="18"/>
              </w:rPr>
            </w:pPr>
            <w:r w:rsidRPr="00444C00">
              <w:rPr>
                <w:rFonts w:ascii="宋体" w:eastAsia="宋体" w:hAnsi="宋体" w:cs="宋体"/>
                <w:sz w:val="18"/>
                <w:szCs w:val="18"/>
              </w:rPr>
              <w:t>1,290,102,254.87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1,131,436,671.61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20,000,000.00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22,577,561.65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23,297,125.81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16,825,918.79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17,244,048.23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1,745,176.53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532,572.93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1,606,765.14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1,677,353.36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14,506,246.58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12,726,983.85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lastRenderedPageBreak/>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376A63"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76A63" w:rsidRPr="00980BC4" w:rsidRDefault="00376A63"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376A63" w:rsidRPr="00980BC4" w:rsidRDefault="00376A63"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1,372,624,533.58</w:t>
            </w:r>
          </w:p>
        </w:tc>
        <w:tc>
          <w:tcPr>
            <w:tcW w:w="3213" w:type="dxa"/>
            <w:tcBorders>
              <w:top w:val="single" w:sz="2" w:space="0" w:color="auto"/>
              <w:left w:val="single" w:sz="2" w:space="0" w:color="auto"/>
              <w:bottom w:val="single" w:sz="2" w:space="0" w:color="auto"/>
              <w:right w:val="single" w:sz="2" w:space="0" w:color="auto"/>
            </w:tcBorders>
            <w:vAlign w:val="center"/>
          </w:tcPr>
          <w:p w:rsidR="00376A63" w:rsidRPr="00980BC4" w:rsidRDefault="00376A63"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1,213,260,197.58</w:t>
            </w:r>
          </w:p>
        </w:tc>
      </w:tr>
      <w:tr w:rsidR="00376A63"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76A63" w:rsidRPr="00980BC4" w:rsidRDefault="00376A63"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376A63" w:rsidRPr="00980BC4" w:rsidRDefault="00376A63"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1,667,233,289.77</w:t>
            </w:r>
          </w:p>
        </w:tc>
        <w:tc>
          <w:tcPr>
            <w:tcW w:w="3213" w:type="dxa"/>
            <w:tcBorders>
              <w:top w:val="single" w:sz="2" w:space="0" w:color="auto"/>
              <w:left w:val="single" w:sz="2" w:space="0" w:color="auto"/>
              <w:bottom w:val="single" w:sz="2" w:space="0" w:color="auto"/>
              <w:right w:val="single" w:sz="2" w:space="0" w:color="auto"/>
            </w:tcBorders>
            <w:vAlign w:val="center"/>
          </w:tcPr>
          <w:p w:rsidR="00376A63" w:rsidRPr="00980BC4" w:rsidRDefault="00376A63"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1,620,357,458.01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1,843.00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1,843.00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6,840,394.35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7,103,923.85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1,804,895.83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6,641,391.02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26,761,178.67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41,900,831.60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500" w:firstLine="900"/>
              <w:rPr>
                <w:rFonts w:ascii="宋体" w:eastAsia="宋体" w:hAnsi="宋体" w:cs="宋体"/>
                <w:sz w:val="18"/>
                <w:szCs w:val="18"/>
              </w:rPr>
            </w:pPr>
            <w:r w:rsidRPr="00980BC4">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923,915.18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1,273,624.65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688,190.32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415,224.65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36,096,502.17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56,063,214.12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500" w:firstLine="900"/>
              <w:rPr>
                <w:rFonts w:ascii="宋体" w:eastAsia="宋体" w:hAnsi="宋体" w:cs="宋体"/>
                <w:sz w:val="18"/>
                <w:szCs w:val="18"/>
              </w:rPr>
            </w:pPr>
            <w:r w:rsidRPr="00980BC4">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831,115.20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452,116.58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16,431.47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1,283,231.78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16,431.47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37,379,733.95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56,079,645.59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rPr>
                <w:rFonts w:ascii="宋体" w:eastAsia="宋体" w:hAnsi="宋体" w:cs="宋体"/>
                <w:sz w:val="18"/>
                <w:szCs w:val="18"/>
              </w:rPr>
            </w:pPr>
            <w:r w:rsidRPr="00980BC4">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ind w:firstLineChars="100" w:firstLine="180"/>
              <w:rPr>
                <w:rFonts w:ascii="宋体" w:eastAsia="宋体" w:hAnsi="宋体" w:cs="宋体"/>
                <w:sz w:val="18"/>
                <w:szCs w:val="18"/>
              </w:rPr>
            </w:pPr>
            <w:r w:rsidRPr="00980BC4">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ind w:firstLineChars="100" w:firstLine="180"/>
              <w:rPr>
                <w:rFonts w:ascii="宋体" w:eastAsia="宋体" w:hAnsi="宋体" w:cs="宋体"/>
                <w:sz w:val="18"/>
                <w:szCs w:val="18"/>
              </w:rPr>
            </w:pPr>
            <w:r w:rsidRPr="00980BC4">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ind w:firstLineChars="200" w:firstLine="360"/>
              <w:rPr>
                <w:rFonts w:ascii="宋体" w:eastAsia="宋体" w:hAnsi="宋体" w:cs="宋体"/>
                <w:sz w:val="18"/>
                <w:szCs w:val="18"/>
              </w:rPr>
            </w:pPr>
            <w:r w:rsidRPr="00980BC4">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ind w:firstLineChars="500" w:firstLine="900"/>
              <w:rPr>
                <w:rFonts w:ascii="宋体" w:eastAsia="宋体" w:hAnsi="宋体" w:cs="宋体"/>
                <w:sz w:val="18"/>
                <w:szCs w:val="18"/>
              </w:rPr>
            </w:pPr>
            <w:r w:rsidRPr="00980BC4">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ind w:firstLineChars="100" w:firstLine="180"/>
              <w:rPr>
                <w:rFonts w:ascii="宋体" w:eastAsia="宋体" w:hAnsi="宋体" w:cs="宋体"/>
                <w:sz w:val="18"/>
                <w:szCs w:val="18"/>
              </w:rPr>
            </w:pPr>
            <w:r w:rsidRPr="00980BC4">
              <w:rPr>
                <w:rFonts w:ascii="宋体" w:eastAsia="宋体" w:hAnsi="宋体" w:cs="宋体"/>
                <w:sz w:val="18"/>
                <w:szCs w:val="18"/>
              </w:rPr>
              <w:lastRenderedPageBreak/>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376A63" w:rsidP="008D6E99">
            <w:pPr>
              <w:spacing w:line="280" w:lineRule="exact"/>
              <w:jc w:val="right"/>
              <w:rPr>
                <w:rFonts w:ascii="宋体" w:eastAsia="宋体" w:hAnsi="宋体" w:cs="宋体"/>
                <w:sz w:val="18"/>
                <w:szCs w:val="18"/>
              </w:rPr>
            </w:pPr>
            <w:r w:rsidRPr="00444C00">
              <w:rPr>
                <w:rFonts w:ascii="宋体" w:eastAsia="宋体" w:hAnsi="宋体" w:cs="宋体"/>
                <w:sz w:val="18"/>
                <w:szCs w:val="18"/>
              </w:rPr>
              <w:t>854,298,803.51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849,605,727.94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ind w:firstLineChars="100" w:firstLine="180"/>
              <w:rPr>
                <w:rFonts w:ascii="宋体" w:eastAsia="宋体" w:hAnsi="宋体" w:cs="宋体"/>
                <w:sz w:val="18"/>
                <w:szCs w:val="18"/>
              </w:rPr>
            </w:pPr>
            <w:r w:rsidRPr="00980BC4">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65,326,541.77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74,214,504.38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ind w:firstLineChars="100" w:firstLine="180"/>
              <w:rPr>
                <w:rFonts w:ascii="宋体" w:eastAsia="宋体" w:hAnsi="宋体" w:cs="宋体"/>
                <w:sz w:val="18"/>
                <w:szCs w:val="18"/>
              </w:rPr>
            </w:pPr>
            <w:r w:rsidRPr="00980BC4">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1,463,894.95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1,463,894.95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ind w:firstLineChars="100" w:firstLine="180"/>
              <w:rPr>
                <w:rFonts w:ascii="宋体" w:eastAsia="宋体" w:hAnsi="宋体" w:cs="宋体"/>
                <w:sz w:val="18"/>
                <w:szCs w:val="18"/>
              </w:rPr>
            </w:pPr>
            <w:r w:rsidRPr="00980BC4">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90,928,947.53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85,729,477.01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ind w:firstLineChars="100" w:firstLine="180"/>
              <w:rPr>
                <w:rFonts w:ascii="宋体" w:eastAsia="宋体" w:hAnsi="宋体" w:cs="宋体"/>
                <w:sz w:val="18"/>
                <w:szCs w:val="18"/>
              </w:rPr>
            </w:pPr>
            <w:r w:rsidRPr="00980BC4">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305,627,127.60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258,831,892.90</w:t>
            </w:r>
          </w:p>
        </w:tc>
      </w:tr>
      <w:tr w:rsidR="00376A63"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76A63" w:rsidRPr="00980BC4" w:rsidRDefault="00376A63" w:rsidP="008D6E99">
            <w:pPr>
              <w:spacing w:line="280" w:lineRule="exact"/>
              <w:rPr>
                <w:rFonts w:ascii="宋体" w:eastAsia="宋体" w:hAnsi="宋体" w:cs="宋体"/>
                <w:sz w:val="18"/>
                <w:szCs w:val="18"/>
              </w:rPr>
            </w:pPr>
            <w:r w:rsidRPr="00980BC4">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376A63" w:rsidRPr="00980BC4" w:rsidRDefault="00376A63"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1,629,853,555.82</w:t>
            </w:r>
          </w:p>
        </w:tc>
        <w:tc>
          <w:tcPr>
            <w:tcW w:w="3213" w:type="dxa"/>
            <w:tcBorders>
              <w:top w:val="single" w:sz="2" w:space="0" w:color="auto"/>
              <w:left w:val="single" w:sz="2" w:space="0" w:color="auto"/>
              <w:bottom w:val="single" w:sz="2" w:space="0" w:color="auto"/>
              <w:right w:val="single" w:sz="2" w:space="0" w:color="auto"/>
            </w:tcBorders>
            <w:vAlign w:val="center"/>
          </w:tcPr>
          <w:p w:rsidR="00376A63" w:rsidRPr="00980BC4" w:rsidRDefault="00376A63"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1,564,277,812.42</w:t>
            </w:r>
          </w:p>
        </w:tc>
      </w:tr>
      <w:tr w:rsidR="00376A63"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76A63" w:rsidRPr="00980BC4" w:rsidRDefault="00376A63" w:rsidP="008D6E99">
            <w:pPr>
              <w:spacing w:line="280" w:lineRule="exact"/>
              <w:rPr>
                <w:rFonts w:ascii="宋体" w:eastAsia="宋体" w:hAnsi="宋体" w:cs="宋体"/>
                <w:sz w:val="18"/>
                <w:szCs w:val="18"/>
              </w:rPr>
            </w:pPr>
            <w:r w:rsidRPr="00980BC4">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376A63" w:rsidRPr="00980BC4" w:rsidRDefault="00376A63"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1,667,233,289.77</w:t>
            </w:r>
          </w:p>
        </w:tc>
        <w:tc>
          <w:tcPr>
            <w:tcW w:w="3213" w:type="dxa"/>
            <w:tcBorders>
              <w:top w:val="single" w:sz="2" w:space="0" w:color="auto"/>
              <w:left w:val="single" w:sz="2" w:space="0" w:color="auto"/>
              <w:bottom w:val="single" w:sz="2" w:space="0" w:color="auto"/>
              <w:right w:val="single" w:sz="2" w:space="0" w:color="auto"/>
            </w:tcBorders>
            <w:vAlign w:val="center"/>
          </w:tcPr>
          <w:p w:rsidR="00376A63" w:rsidRPr="00980BC4" w:rsidRDefault="00376A63"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1,620,357,458.01</w:t>
            </w:r>
          </w:p>
        </w:tc>
      </w:tr>
    </w:tbl>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bookmarkStart w:id="150" w:name="_Toc989039"/>
      <w:r w:rsidRPr="00980BC4">
        <w:rPr>
          <w:rFonts w:ascii="仿宋" w:eastAsia="仿宋" w:hAnsi="仿宋"/>
          <w:b/>
          <w:sz w:val="28"/>
          <w:szCs w:val="28"/>
        </w:rPr>
        <w:t>3、合并利润表</w:t>
      </w:r>
      <w:bookmarkEnd w:id="15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644"/>
        <w:gridCol w:w="2552"/>
        <w:gridCol w:w="2443"/>
      </w:tblGrid>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2022年度</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2021年度</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一、营业总收入</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445,381,991.65</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539,626,377.05</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其中：营业收入</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445,381,991.65</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539,626,377.05</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利息收入</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已赚保费</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手续费及佣金收入</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二、营业总成本</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344,611,064.61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468,004,086.38</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其中：营业成本</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176,597,423.74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321,486,463.29</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利息支出</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手续费及佣金支出</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退保金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赔付支出净额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提取保险责任合同准备金净额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保单红利支出</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分保费用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税金及附加</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2,859,850.07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2,618,711.35</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销售费用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30,195,807.26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27,848,292.63</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管理费用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60,715,991.69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69,548,714.72</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研发费用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72,840,111.49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50,643,326.97</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财务费用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1,401,880.36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-4,141,422.58</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500" w:firstLine="900"/>
              <w:rPr>
                <w:rFonts w:ascii="宋体" w:eastAsia="宋体" w:hAnsi="宋体" w:cs="宋体"/>
                <w:sz w:val="18"/>
                <w:szCs w:val="18"/>
              </w:rPr>
            </w:pPr>
            <w:r w:rsidRPr="00980BC4">
              <w:rPr>
                <w:rFonts w:ascii="宋体" w:eastAsia="宋体" w:hAnsi="宋体" w:cs="宋体"/>
                <w:sz w:val="18"/>
                <w:szCs w:val="18"/>
              </w:rPr>
              <w:t>其中：利息费用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3,056,877.85</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1,760,970.05</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800" w:firstLine="1440"/>
              <w:rPr>
                <w:rFonts w:ascii="宋体" w:eastAsia="宋体" w:hAnsi="宋体" w:cs="宋体"/>
                <w:sz w:val="18"/>
                <w:szCs w:val="18"/>
              </w:rPr>
            </w:pPr>
            <w:r w:rsidRPr="00980BC4">
              <w:rPr>
                <w:rFonts w:ascii="宋体" w:eastAsia="宋体" w:hAnsi="宋体" w:cs="宋体"/>
                <w:sz w:val="18"/>
                <w:szCs w:val="18"/>
              </w:rPr>
              <w:t>利息收入</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1,449,228.08</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5,772,257.35</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加：其他收益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10,320,363.87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11,865,105.26</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投资收益（损失以“－”号填列）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17,355,042.93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29,400,281.08</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500" w:firstLine="900"/>
              <w:rPr>
                <w:rFonts w:ascii="宋体" w:eastAsia="宋体" w:hAnsi="宋体" w:cs="宋体"/>
                <w:sz w:val="18"/>
                <w:szCs w:val="18"/>
              </w:rPr>
            </w:pPr>
            <w:r w:rsidRPr="00980BC4">
              <w:rPr>
                <w:rFonts w:ascii="宋体" w:eastAsia="宋体" w:hAnsi="宋体" w:cs="宋体"/>
                <w:sz w:val="18"/>
                <w:szCs w:val="18"/>
              </w:rPr>
              <w:t>其中：对联营企业和合营企业的投资收益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E76CDC"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9,500,828.58</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6,144,642.65</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800" w:firstLine="1440"/>
              <w:rPr>
                <w:rFonts w:ascii="宋体" w:eastAsia="宋体" w:hAnsi="宋体" w:cs="宋体"/>
                <w:sz w:val="18"/>
                <w:szCs w:val="18"/>
              </w:rPr>
            </w:pPr>
            <w:r w:rsidRPr="00980BC4">
              <w:rPr>
                <w:rFonts w:ascii="宋体" w:eastAsia="宋体" w:hAnsi="宋体" w:cs="宋体"/>
                <w:sz w:val="18"/>
                <w:szCs w:val="18"/>
              </w:rPr>
              <w:t>以摊余成本计量的金融资产终止确认收益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汇兑收益（损失以“-”号填列）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lastRenderedPageBreak/>
              <w:t>净敞口套期收益（损失以“－”号填列）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公允价值变动收益（损失以“－”号填列）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-2,995,137.67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-1,959,208.59</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信用减值损失（损失以“-”号填列）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-8,354,005.24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-3,283,357.49</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资产减值损失（损失以“-”号填列）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-4,187,718.17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-57,668,942.23</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资产处置收益（损失以“-”号填列）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17,193.76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-40,613.46</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三、营业利润（亏损以“－”号填列）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112,926,666.52</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49,935,555.24</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加：营业外收入</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16,568,321.42</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818,988.33</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减：营业外支出</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157,265.68</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114,696.35</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四、利润总额（亏损总额以“－”号填列）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129,337,722.26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50,639,847.22</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减：所得税费用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10,648,543.63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11,289,808.32</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五、净利润（净亏损以“－”号填列）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118,689,178.63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39,350,038.90</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（一）按经营持续性分类</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A276D5"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A276D5" w:rsidRPr="00980BC4" w:rsidRDefault="00A276D5" w:rsidP="008D6E99">
            <w:pPr>
              <w:spacing w:line="300" w:lineRule="exact"/>
              <w:ind w:firstLineChars="200" w:firstLine="360"/>
              <w:rPr>
                <w:rFonts w:ascii="宋体" w:eastAsia="宋体" w:hAnsi="宋体" w:cs="宋体"/>
                <w:sz w:val="18"/>
                <w:szCs w:val="18"/>
              </w:rPr>
            </w:pPr>
            <w:r w:rsidRPr="00980BC4">
              <w:rPr>
                <w:rFonts w:ascii="宋体" w:eastAsia="宋体" w:hAnsi="宋体" w:cs="宋体"/>
                <w:sz w:val="18"/>
                <w:szCs w:val="18"/>
              </w:rPr>
              <w:t>1.持续经营净利润（净亏损以“－”号填列）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A276D5" w:rsidRPr="00980BC4" w:rsidRDefault="00A276D5" w:rsidP="00880C64">
            <w:pPr>
              <w:spacing w:line="300" w:lineRule="exact"/>
              <w:jc w:val="right"/>
              <w:rPr>
                <w:rFonts w:ascii="宋体" w:eastAsia="宋体" w:hAnsi="宋体" w:cs="宋体"/>
                <w:sz w:val="18"/>
                <w:szCs w:val="18"/>
              </w:rPr>
            </w:pPr>
            <w:r w:rsidRPr="00980BC4">
              <w:rPr>
                <w:rFonts w:ascii="宋体" w:eastAsia="宋体" w:hAnsi="宋体" w:cs="宋体"/>
                <w:sz w:val="18"/>
                <w:szCs w:val="18"/>
              </w:rPr>
              <w:t>118,840,078.28</w:t>
            </w:r>
          </w:p>
        </w:tc>
        <w:tc>
          <w:tcPr>
            <w:tcW w:w="2443" w:type="dxa"/>
            <w:tcBorders>
              <w:top w:val="single" w:sz="2" w:space="0" w:color="auto"/>
              <w:left w:val="single" w:sz="2" w:space="0" w:color="auto"/>
              <w:bottom w:val="single" w:sz="2" w:space="0" w:color="auto"/>
              <w:right w:val="single" w:sz="2" w:space="0" w:color="auto"/>
            </w:tcBorders>
            <w:vAlign w:val="center"/>
          </w:tcPr>
          <w:p w:rsidR="00A276D5" w:rsidRPr="00980BC4" w:rsidRDefault="00A276D5"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39,350,038.90</w:t>
            </w:r>
          </w:p>
        </w:tc>
      </w:tr>
      <w:tr w:rsidR="00A276D5"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A276D5" w:rsidRPr="00980BC4" w:rsidRDefault="00A276D5" w:rsidP="008D6E99">
            <w:pPr>
              <w:spacing w:line="300" w:lineRule="exact"/>
              <w:ind w:firstLineChars="200" w:firstLine="360"/>
              <w:rPr>
                <w:rFonts w:ascii="宋体" w:eastAsia="宋体" w:hAnsi="宋体" w:cs="宋体"/>
                <w:sz w:val="18"/>
                <w:szCs w:val="18"/>
              </w:rPr>
            </w:pPr>
            <w:r w:rsidRPr="00980BC4">
              <w:rPr>
                <w:rFonts w:ascii="宋体" w:eastAsia="宋体" w:hAnsi="宋体" w:cs="宋体"/>
                <w:sz w:val="18"/>
                <w:szCs w:val="18"/>
              </w:rPr>
              <w:t>2.终止经营净利润（净亏损以“－”号填列）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A276D5" w:rsidRPr="00980BC4" w:rsidRDefault="00A276D5" w:rsidP="00880C64">
            <w:pPr>
              <w:spacing w:line="300" w:lineRule="exact"/>
              <w:jc w:val="right"/>
              <w:rPr>
                <w:rFonts w:ascii="宋体" w:eastAsia="宋体" w:hAnsi="宋体" w:cs="宋体"/>
                <w:sz w:val="18"/>
                <w:szCs w:val="18"/>
              </w:rPr>
            </w:pPr>
            <w:r w:rsidRPr="00980BC4">
              <w:rPr>
                <w:rFonts w:ascii="宋体" w:eastAsia="宋体" w:hAnsi="宋体" w:cs="宋体"/>
                <w:sz w:val="18"/>
                <w:szCs w:val="18"/>
              </w:rPr>
              <w:t>-150,899.65</w:t>
            </w:r>
          </w:p>
        </w:tc>
        <w:tc>
          <w:tcPr>
            <w:tcW w:w="2443" w:type="dxa"/>
            <w:tcBorders>
              <w:top w:val="single" w:sz="2" w:space="0" w:color="auto"/>
              <w:left w:val="single" w:sz="2" w:space="0" w:color="auto"/>
              <w:bottom w:val="single" w:sz="2" w:space="0" w:color="auto"/>
              <w:right w:val="single" w:sz="2" w:space="0" w:color="auto"/>
            </w:tcBorders>
            <w:vAlign w:val="center"/>
          </w:tcPr>
          <w:p w:rsidR="00A276D5" w:rsidRPr="00980BC4" w:rsidRDefault="00A276D5"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（二）按所有权归属分类</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200" w:firstLine="360"/>
              <w:rPr>
                <w:rFonts w:ascii="宋体" w:eastAsia="宋体" w:hAnsi="宋体" w:cs="宋体"/>
                <w:sz w:val="18"/>
                <w:szCs w:val="18"/>
              </w:rPr>
            </w:pPr>
            <w:r w:rsidRPr="00980BC4">
              <w:rPr>
                <w:rFonts w:ascii="宋体" w:eastAsia="宋体" w:hAnsi="宋体" w:cs="宋体"/>
                <w:sz w:val="18"/>
                <w:szCs w:val="18"/>
              </w:rPr>
              <w:t>1.归属于母公司股东的净利润</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119,408,179.51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31,858,231.32</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200" w:firstLine="360"/>
              <w:rPr>
                <w:rFonts w:ascii="宋体" w:eastAsia="宋体" w:hAnsi="宋体" w:cs="宋体"/>
                <w:sz w:val="18"/>
                <w:szCs w:val="18"/>
              </w:rPr>
            </w:pPr>
            <w:r w:rsidRPr="00980BC4">
              <w:rPr>
                <w:rFonts w:ascii="宋体" w:eastAsia="宋体" w:hAnsi="宋体" w:cs="宋体"/>
                <w:sz w:val="18"/>
                <w:szCs w:val="18"/>
              </w:rPr>
              <w:t>2.少数股东损益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-719,000.88</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7,491,807.58</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六、其他综合收益的税后净额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归属母公司所有者的其他综合收益的税后净额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200" w:firstLine="360"/>
              <w:rPr>
                <w:rFonts w:ascii="宋体" w:eastAsia="宋体" w:hAnsi="宋体" w:cs="宋体"/>
                <w:sz w:val="18"/>
                <w:szCs w:val="18"/>
              </w:rPr>
            </w:pPr>
            <w:r w:rsidRPr="00980BC4">
              <w:rPr>
                <w:rFonts w:ascii="宋体" w:eastAsia="宋体" w:hAnsi="宋体" w:cs="宋体"/>
                <w:sz w:val="18"/>
                <w:szCs w:val="18"/>
              </w:rPr>
              <w:t>（一）不能重分类进损益的其他综合收益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1.重新计量设定受益计划变动额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2.权益法下不能转损益的其他综合收益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3.其他权益工具投资公允价值变动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4.企业自身信用风险公允价值变动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5.其他</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200" w:firstLine="360"/>
              <w:rPr>
                <w:rFonts w:ascii="宋体" w:eastAsia="宋体" w:hAnsi="宋体" w:cs="宋体"/>
                <w:sz w:val="18"/>
                <w:szCs w:val="18"/>
              </w:rPr>
            </w:pPr>
            <w:r w:rsidRPr="00980BC4">
              <w:rPr>
                <w:rFonts w:ascii="宋体" w:eastAsia="宋体" w:hAnsi="宋体" w:cs="宋体"/>
                <w:sz w:val="18"/>
                <w:szCs w:val="18"/>
              </w:rPr>
              <w:t>（二）将重分类进损益的其他综合收益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1.权益法下可转损益的其他综合收益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2.其他债权投资公允价值变动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3.金融资产重分类计入其他综合收益的金额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4.其他债权投资信用减值准备</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5.现金流量套期储备</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6.外币财务报表折算差额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7.其他</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归属于少数股东的其他综合收益的税后净额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七、综合收益总额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118,689,178.63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39,350,038.90</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归属于母公司所有者的综合收益总额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119,408,179.51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31,858,231.32</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归属于少数股东的综合收益总额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-719,000.88</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7,491,807.58</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八、每股收益</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（一）基本每股收益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0.28</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0.07</w:t>
            </w:r>
          </w:p>
        </w:tc>
      </w:tr>
      <w:tr w:rsidR="00F67D6F" w:rsidRPr="00980BC4" w:rsidTr="008D6E99">
        <w:trPr>
          <w:divId w:val="969553885"/>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（二）稀释每股收益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0.27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0.07</w:t>
            </w:r>
          </w:p>
        </w:tc>
      </w:tr>
    </w:tbl>
    <w:p w:rsidR="00F67D6F" w:rsidRPr="00980BC4" w:rsidRDefault="00F67D6F" w:rsidP="008D6E99">
      <w:pPr>
        <w:spacing w:before="40" w:after="40" w:line="560" w:lineRule="exact"/>
        <w:ind w:firstLineChars="150" w:firstLine="270"/>
        <w:divId w:val="969553885"/>
        <w:rPr>
          <w:rFonts w:ascii="宋体" w:eastAsia="宋体" w:hAnsi="宋体" w:cs="宋体"/>
          <w:sz w:val="18"/>
          <w:szCs w:val="18"/>
        </w:rPr>
      </w:pPr>
      <w:r w:rsidRPr="00980BC4">
        <w:rPr>
          <w:rFonts w:ascii="宋体" w:eastAsia="宋体" w:hAnsi="宋体" w:cs="宋体"/>
          <w:sz w:val="18"/>
          <w:szCs w:val="18"/>
        </w:rPr>
        <w:t xml:space="preserve">法定代表人：黄克    </w:t>
      </w:r>
      <w:r w:rsidR="008D6E99" w:rsidRPr="00980BC4">
        <w:rPr>
          <w:rFonts w:ascii="宋体" w:eastAsia="宋体" w:hAnsi="宋体" w:cs="宋体" w:hint="eastAsia"/>
          <w:sz w:val="18"/>
          <w:szCs w:val="18"/>
        </w:rPr>
        <w:t xml:space="preserve">              </w:t>
      </w:r>
      <w:r w:rsidRPr="00980BC4">
        <w:rPr>
          <w:rFonts w:ascii="宋体" w:eastAsia="宋体" w:hAnsi="宋体" w:cs="宋体"/>
          <w:sz w:val="18"/>
          <w:szCs w:val="18"/>
        </w:rPr>
        <w:t xml:space="preserve">主管会计工作负责人：陈波    </w:t>
      </w:r>
      <w:r w:rsidR="008D6E99" w:rsidRPr="00980BC4">
        <w:rPr>
          <w:rFonts w:ascii="宋体" w:eastAsia="宋体" w:hAnsi="宋体" w:cs="宋体" w:hint="eastAsia"/>
          <w:sz w:val="18"/>
          <w:szCs w:val="18"/>
        </w:rPr>
        <w:t xml:space="preserve">                  </w:t>
      </w:r>
      <w:r w:rsidRPr="00980BC4">
        <w:rPr>
          <w:rFonts w:ascii="宋体" w:eastAsia="宋体" w:hAnsi="宋体" w:cs="宋体"/>
          <w:sz w:val="18"/>
          <w:szCs w:val="18"/>
        </w:rPr>
        <w:t>会计机构负责人：徐佳君</w:t>
      </w:r>
    </w:p>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bookmarkStart w:id="151" w:name="_Toc989040"/>
      <w:r w:rsidRPr="00980BC4">
        <w:rPr>
          <w:rFonts w:ascii="仿宋" w:eastAsia="仿宋" w:hAnsi="仿宋"/>
          <w:b/>
          <w:sz w:val="28"/>
          <w:szCs w:val="28"/>
        </w:rPr>
        <w:lastRenderedPageBreak/>
        <w:t>4、母公司利润表</w:t>
      </w:r>
      <w:bookmarkEnd w:id="15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644"/>
        <w:gridCol w:w="2552"/>
        <w:gridCol w:w="2443"/>
      </w:tblGrid>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2022年度</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2021年度</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一、营业收入</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32,712,509.83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220,606,134.60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减：营业成本</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28,233,760.54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215,243,967.26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税金及附加</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788,045.19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1,066,722.18</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销售费用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531,857.67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557,006.41</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管理费用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26,413,478.75</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26,861,336.25</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研发费用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财务费用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-1,062,688.95</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-5,374,830.09</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其中：利息费用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55,183.79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31,349.51</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700" w:firstLine="1260"/>
              <w:rPr>
                <w:rFonts w:ascii="宋体" w:eastAsia="宋体" w:hAnsi="宋体" w:cs="宋体"/>
                <w:sz w:val="18"/>
                <w:szCs w:val="18"/>
              </w:rPr>
            </w:pPr>
            <w:r w:rsidRPr="00980BC4">
              <w:rPr>
                <w:rFonts w:ascii="宋体" w:eastAsia="宋体" w:hAnsi="宋体" w:cs="宋体"/>
                <w:sz w:val="18"/>
                <w:szCs w:val="18"/>
              </w:rPr>
              <w:t>利息收入</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1,133,278.57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5,421,304.77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加：其他收益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92,390.53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16,731.64</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投资收益（损失以“－”号填列）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60,713,349.95</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55,329,125.67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400" w:firstLine="720"/>
              <w:rPr>
                <w:rFonts w:ascii="宋体" w:eastAsia="宋体" w:hAnsi="宋体" w:cs="宋体"/>
                <w:sz w:val="18"/>
                <w:szCs w:val="18"/>
              </w:rPr>
            </w:pPr>
            <w:r w:rsidRPr="00980BC4">
              <w:rPr>
                <w:rFonts w:ascii="宋体" w:eastAsia="宋体" w:hAnsi="宋体" w:cs="宋体"/>
                <w:sz w:val="18"/>
                <w:szCs w:val="18"/>
              </w:rPr>
              <w:t>其中：对联营企业和合营企业的投资收益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A276D5"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11,324,502.61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7,690,269.04</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700" w:firstLine="1260"/>
              <w:rPr>
                <w:rFonts w:ascii="宋体" w:eastAsia="宋体" w:hAnsi="宋体" w:cs="宋体"/>
                <w:sz w:val="18"/>
                <w:szCs w:val="18"/>
              </w:rPr>
            </w:pPr>
            <w:r w:rsidRPr="00980BC4">
              <w:rPr>
                <w:rFonts w:ascii="宋体" w:eastAsia="宋体" w:hAnsi="宋体" w:cs="宋体"/>
                <w:sz w:val="18"/>
                <w:szCs w:val="18"/>
              </w:rPr>
              <w:t>以摊余成本计量的金融资产终止确认收益（损失以“-”号填列）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净敞口套期收益（损失以“－”号填列）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公允价值变动收益（损失以“－”号填列）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-4,247,624.40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-3,155,394.86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信用减值损失（损失以“-”号填列）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292,287.90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-92,791.90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资产减值损失（损失以“-”号填列）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-66,805,322.04</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资产处置收益（损失以“-”号填列）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-131.10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-27,938.87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二、营业利润（亏损以“－”号填列）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34,658,329.51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-32,483,657.77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加：营业外收入</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15,990,308.82</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12,885.40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减：营业外支出</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57,205.60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114,696.35</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rPr>
                <w:rFonts w:ascii="宋体" w:eastAsia="宋体" w:hAnsi="宋体" w:cs="宋体"/>
                <w:sz w:val="18"/>
                <w:szCs w:val="18"/>
              </w:rPr>
            </w:pPr>
            <w:r w:rsidRPr="00980BC4">
              <w:rPr>
                <w:rFonts w:ascii="宋体" w:eastAsia="宋体" w:hAnsi="宋体" w:cs="宋体"/>
                <w:sz w:val="18"/>
                <w:szCs w:val="18"/>
              </w:rPr>
              <w:t>三、利润总额（亏损总额以“－”号填列）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50,591,432.73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-32,585,468.72</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减：所得税费用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-1,403,272.49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540,589.10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四、净利润（净亏损以“－”号填列）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51,994,705.22</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-33,126,057.82</w:t>
            </w:r>
          </w:p>
        </w:tc>
      </w:tr>
      <w:tr w:rsidR="00A276D5"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A276D5" w:rsidRPr="00980BC4" w:rsidRDefault="00A276D5"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（一）持续经营净利润（净亏损以“－”号填列）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A276D5" w:rsidRPr="00980BC4" w:rsidRDefault="00A276D5" w:rsidP="00880C64">
            <w:pPr>
              <w:spacing w:line="300" w:lineRule="exact"/>
              <w:jc w:val="right"/>
              <w:rPr>
                <w:rFonts w:ascii="宋体" w:eastAsia="宋体" w:hAnsi="宋体" w:cs="宋体"/>
                <w:sz w:val="18"/>
                <w:szCs w:val="18"/>
              </w:rPr>
            </w:pPr>
            <w:r w:rsidRPr="00980BC4">
              <w:rPr>
                <w:rFonts w:ascii="宋体" w:eastAsia="宋体" w:hAnsi="宋体" w:cs="宋体"/>
                <w:sz w:val="18"/>
                <w:szCs w:val="18"/>
              </w:rPr>
              <w:t>52,145,604.87</w:t>
            </w:r>
          </w:p>
        </w:tc>
        <w:tc>
          <w:tcPr>
            <w:tcW w:w="2443" w:type="dxa"/>
            <w:tcBorders>
              <w:top w:val="single" w:sz="2" w:space="0" w:color="auto"/>
              <w:left w:val="single" w:sz="2" w:space="0" w:color="auto"/>
              <w:bottom w:val="single" w:sz="2" w:space="0" w:color="auto"/>
              <w:right w:val="single" w:sz="2" w:space="0" w:color="auto"/>
            </w:tcBorders>
            <w:vAlign w:val="center"/>
          </w:tcPr>
          <w:p w:rsidR="00A276D5" w:rsidRPr="00980BC4" w:rsidRDefault="00A276D5"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-33,126,057.82</w:t>
            </w:r>
          </w:p>
        </w:tc>
      </w:tr>
      <w:tr w:rsidR="00A276D5"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A276D5" w:rsidRPr="00980BC4" w:rsidRDefault="00A276D5"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（二）终止经营净利润（净亏损以“－”号填列）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A276D5" w:rsidRPr="00980BC4" w:rsidRDefault="00A276D5" w:rsidP="00880C64">
            <w:pPr>
              <w:spacing w:line="300" w:lineRule="exact"/>
              <w:jc w:val="right"/>
              <w:rPr>
                <w:rFonts w:ascii="宋体" w:eastAsia="宋体" w:hAnsi="宋体" w:cs="宋体"/>
                <w:sz w:val="18"/>
                <w:szCs w:val="18"/>
              </w:rPr>
            </w:pPr>
            <w:r w:rsidRPr="00980BC4">
              <w:rPr>
                <w:rFonts w:ascii="宋体" w:eastAsia="宋体" w:hAnsi="宋体" w:cs="宋体"/>
                <w:sz w:val="18"/>
                <w:szCs w:val="18"/>
              </w:rPr>
              <w:t>-150,899.65</w:t>
            </w:r>
          </w:p>
        </w:tc>
        <w:tc>
          <w:tcPr>
            <w:tcW w:w="2443" w:type="dxa"/>
            <w:tcBorders>
              <w:top w:val="single" w:sz="2" w:space="0" w:color="auto"/>
              <w:left w:val="single" w:sz="2" w:space="0" w:color="auto"/>
              <w:bottom w:val="single" w:sz="2" w:space="0" w:color="auto"/>
              <w:right w:val="single" w:sz="2" w:space="0" w:color="auto"/>
            </w:tcBorders>
            <w:vAlign w:val="center"/>
          </w:tcPr>
          <w:p w:rsidR="00A276D5" w:rsidRPr="00980BC4" w:rsidRDefault="00A276D5"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五、其他综合收益的税后净额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200" w:firstLine="360"/>
              <w:rPr>
                <w:rFonts w:ascii="宋体" w:eastAsia="宋体" w:hAnsi="宋体" w:cs="宋体"/>
                <w:sz w:val="18"/>
                <w:szCs w:val="18"/>
              </w:rPr>
            </w:pPr>
            <w:r w:rsidRPr="00980BC4">
              <w:rPr>
                <w:rFonts w:ascii="宋体" w:eastAsia="宋体" w:hAnsi="宋体" w:cs="宋体"/>
                <w:sz w:val="18"/>
                <w:szCs w:val="18"/>
              </w:rPr>
              <w:t>（一）不能重分类进损益的其他综合收益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1.重新计量设定受益计划变动额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2.权益法下不能转损益的其他综合收益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3.其他权益工具投资公允价值变动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4.企业自身信用风险公允价值变动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5.其他</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200" w:firstLine="360"/>
              <w:rPr>
                <w:rFonts w:ascii="宋体" w:eastAsia="宋体" w:hAnsi="宋体" w:cs="宋体"/>
                <w:sz w:val="18"/>
                <w:szCs w:val="18"/>
              </w:rPr>
            </w:pPr>
            <w:r w:rsidRPr="00980BC4">
              <w:rPr>
                <w:rFonts w:ascii="宋体" w:eastAsia="宋体" w:hAnsi="宋体" w:cs="宋体"/>
                <w:sz w:val="18"/>
                <w:szCs w:val="18"/>
              </w:rPr>
              <w:t>（二）将重分类进损益的其他综合收益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lastRenderedPageBreak/>
              <w:t>1.权益法下可转损益的其他综合收益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2.其他债权投资公允价值变动</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3.金融资产重分类计入其他综合收益的金额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4.其他债权投资信用减值准备</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5.现金流量套期储备</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6.外币财务报表折算差额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7.其他</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六、综合收益总额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51,994,705.22</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-33,126,057.82</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七、每股收益</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（一）基本每股收益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（二）稀释每股收益</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bl>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bookmarkStart w:id="152" w:name="_Toc989041"/>
      <w:r w:rsidRPr="00980BC4">
        <w:rPr>
          <w:rFonts w:ascii="仿宋" w:eastAsia="仿宋" w:hAnsi="仿宋"/>
          <w:b/>
          <w:sz w:val="28"/>
          <w:szCs w:val="28"/>
        </w:rPr>
        <w:t>5、合并现金流量表</w:t>
      </w:r>
      <w:bookmarkEnd w:id="15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644"/>
        <w:gridCol w:w="2552"/>
        <w:gridCol w:w="2443"/>
      </w:tblGrid>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jc w:val="center"/>
              <w:rPr>
                <w:rFonts w:ascii="宋体" w:eastAsia="宋体" w:hAnsi="宋体" w:cs="宋体"/>
                <w:sz w:val="18"/>
                <w:szCs w:val="18"/>
              </w:rPr>
            </w:pPr>
            <w:r w:rsidRPr="00980BC4">
              <w:rPr>
                <w:rFonts w:ascii="宋体" w:eastAsia="宋体" w:hAnsi="宋体" w:cs="宋体"/>
                <w:sz w:val="18"/>
                <w:szCs w:val="18"/>
              </w:rPr>
              <w:t>2022年度</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jc w:val="center"/>
              <w:rPr>
                <w:rFonts w:ascii="宋体" w:eastAsia="宋体" w:hAnsi="宋体" w:cs="宋体"/>
                <w:sz w:val="18"/>
                <w:szCs w:val="18"/>
              </w:rPr>
            </w:pPr>
            <w:r w:rsidRPr="00980BC4">
              <w:rPr>
                <w:rFonts w:ascii="宋体" w:eastAsia="宋体" w:hAnsi="宋体" w:cs="宋体"/>
                <w:sz w:val="18"/>
                <w:szCs w:val="18"/>
              </w:rPr>
              <w:t>2021年度</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一、经营活动产生的现金流量：</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销售商品、提供劳务收到的现金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335,434,545.96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578,058,789.79</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客户存款和同业存放款项净增加额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向中央银行借款净增加额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向其他金融机构拆入资金净增加额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收到原保险合同保费取得的现金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收到再保业务现金净额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保户储金及投资款净增加额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收取利息、手续费及佣金的现金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拆入资金净增加额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回购业务资金净增加额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代理买卖证券收到的现金净额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收到的税费返还</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1,904,079.04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35,721,467.26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收到其他与经营活动有关的现金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13,511,227.58</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18,284,526.39</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经营活动现金流入小计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350,849,852.58</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632,064,783.44</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购买商品、接受劳务支付的现金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352914" w:rsidP="008D6E99">
            <w:pPr>
              <w:spacing w:line="300" w:lineRule="exact"/>
              <w:jc w:val="right"/>
              <w:rPr>
                <w:rFonts w:ascii="宋体" w:eastAsia="宋体" w:hAnsi="宋体" w:cs="宋体"/>
                <w:sz w:val="18"/>
                <w:szCs w:val="18"/>
              </w:rPr>
            </w:pPr>
            <w:r w:rsidRPr="00986BB1">
              <w:rPr>
                <w:rFonts w:ascii="宋体" w:eastAsia="宋体" w:hAnsi="宋体" w:cs="宋体"/>
                <w:sz w:val="18"/>
                <w:szCs w:val="18"/>
              </w:rPr>
              <w:t>207,978,518.46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347,379,836.23</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客户贷款及垫款净增加额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存放中央银行和同业款项净增加额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支付原保险合同赔付款项的现金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拆出资金净增加额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支付利息、手续费及佣金的现金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支付保单红利的现金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支付给职工以及为职工支付的现金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93,939,896.76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82,761,913.37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支付的各项税费</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30,953,318.45</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32,841,922.40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支付其他与经营活动有关的现金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71,044,467.41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48,696,548.22</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经营活动现金流出小计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352914" w:rsidP="008D6E99">
            <w:pPr>
              <w:spacing w:line="300" w:lineRule="exact"/>
              <w:jc w:val="right"/>
              <w:rPr>
                <w:rFonts w:ascii="宋体" w:eastAsia="宋体" w:hAnsi="宋体" w:cs="宋体"/>
                <w:sz w:val="18"/>
                <w:szCs w:val="18"/>
              </w:rPr>
            </w:pPr>
            <w:r w:rsidRPr="00986BB1">
              <w:rPr>
                <w:rFonts w:ascii="宋体" w:eastAsia="宋体" w:hAnsi="宋体" w:cs="宋体"/>
                <w:sz w:val="18"/>
                <w:szCs w:val="18"/>
              </w:rPr>
              <w:t>403,916,201.08</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511,680,220.22</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经营活动产生的现金流量净额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352914" w:rsidP="008D6E99">
            <w:pPr>
              <w:spacing w:line="300" w:lineRule="exact"/>
              <w:jc w:val="right"/>
              <w:rPr>
                <w:rFonts w:ascii="宋体" w:eastAsia="宋体" w:hAnsi="宋体" w:cs="宋体"/>
                <w:sz w:val="18"/>
                <w:szCs w:val="18"/>
              </w:rPr>
            </w:pPr>
            <w:r w:rsidRPr="00986BB1">
              <w:rPr>
                <w:rFonts w:ascii="宋体" w:eastAsia="宋体" w:hAnsi="宋体" w:cs="宋体"/>
                <w:sz w:val="18"/>
                <w:szCs w:val="18"/>
              </w:rPr>
              <w:t>-53,066,348.50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120,384,563.22</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lastRenderedPageBreak/>
              <w:t>二、投资活动产生的现金流量：</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收回投资收到的现金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352914" w:rsidP="008D6E99">
            <w:pPr>
              <w:spacing w:line="300" w:lineRule="exact"/>
              <w:jc w:val="right"/>
              <w:rPr>
                <w:rFonts w:ascii="宋体" w:eastAsia="宋体" w:hAnsi="宋体" w:cs="宋体"/>
                <w:sz w:val="18"/>
                <w:szCs w:val="18"/>
              </w:rPr>
            </w:pPr>
            <w:r w:rsidRPr="00986BB1">
              <w:rPr>
                <w:rFonts w:ascii="宋体" w:eastAsia="宋体" w:hAnsi="宋体" w:cs="宋体"/>
                <w:sz w:val="18"/>
                <w:szCs w:val="18"/>
              </w:rPr>
              <w:t>2,328,232,691.36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3,313,333,184.37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取得投资收益收到的现金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3,404,793.34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6,790,001.29</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处置固定资产、无形资产和其他长期资产收回的现金净额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1,281,154.37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202,829.13</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处置子公司及其他营业单位收到的现金净额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收到其他与投资活动有关的现金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850,000.00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850,000.00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投资活动现金流入小计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352914" w:rsidP="000019C9">
            <w:pPr>
              <w:spacing w:line="300" w:lineRule="exact"/>
              <w:jc w:val="right"/>
              <w:rPr>
                <w:rFonts w:ascii="宋体" w:eastAsia="宋体" w:hAnsi="宋体" w:cs="宋体"/>
                <w:sz w:val="18"/>
                <w:szCs w:val="18"/>
              </w:rPr>
            </w:pPr>
            <w:r w:rsidRPr="00986BB1">
              <w:rPr>
                <w:rFonts w:ascii="宋体" w:eastAsia="宋体" w:hAnsi="宋体" w:cs="宋体"/>
                <w:sz w:val="18"/>
                <w:szCs w:val="18"/>
              </w:rPr>
              <w:t>2,333,768,639.0</w:t>
            </w:r>
            <w:r w:rsidR="000019C9">
              <w:rPr>
                <w:rFonts w:ascii="宋体" w:eastAsia="宋体" w:hAnsi="宋体" w:cs="宋体" w:hint="eastAsia"/>
                <w:sz w:val="18"/>
                <w:szCs w:val="18"/>
              </w:rPr>
              <w:t>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3,321,176,014.79</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购建固定资产、无形资产和其他长期资产支付的现金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30,585,835.91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17,102,310.85</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投资支付的现金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2,176,688,640.91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3,560,503,936.11</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质押贷款净增加额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取得子公司及其他营业单位支付的现金净额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352914" w:rsidP="008D6E99">
            <w:pPr>
              <w:spacing w:line="300" w:lineRule="exact"/>
              <w:jc w:val="right"/>
              <w:rPr>
                <w:rFonts w:ascii="宋体" w:eastAsia="宋体" w:hAnsi="宋体" w:cs="宋体"/>
                <w:sz w:val="18"/>
                <w:szCs w:val="18"/>
              </w:rPr>
            </w:pPr>
            <w:r w:rsidRPr="00986BB1">
              <w:rPr>
                <w:rFonts w:ascii="宋体" w:eastAsia="宋体" w:hAnsi="宋体" w:cs="宋体"/>
                <w:sz w:val="18"/>
                <w:szCs w:val="18"/>
              </w:rPr>
              <w:t>41,998,067.92</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112,200,000.00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支付其他与投资活动有关的现金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投资活动现金流出小计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352914" w:rsidP="008D6E99">
            <w:pPr>
              <w:spacing w:line="300" w:lineRule="exact"/>
              <w:jc w:val="right"/>
              <w:rPr>
                <w:rFonts w:ascii="宋体" w:eastAsia="宋体" w:hAnsi="宋体" w:cs="宋体"/>
                <w:sz w:val="18"/>
                <w:szCs w:val="18"/>
              </w:rPr>
            </w:pPr>
            <w:r w:rsidRPr="00986BB1">
              <w:rPr>
                <w:rFonts w:ascii="宋体" w:eastAsia="宋体" w:hAnsi="宋体" w:cs="宋体"/>
                <w:sz w:val="18"/>
                <w:szCs w:val="18"/>
              </w:rPr>
              <w:t>2,249,272,544.74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3,689,806,246.96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投资活动产生的现金流量净额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352914" w:rsidP="000019C9">
            <w:pPr>
              <w:spacing w:line="300" w:lineRule="exact"/>
              <w:jc w:val="right"/>
              <w:rPr>
                <w:rFonts w:ascii="宋体" w:eastAsia="宋体" w:hAnsi="宋体" w:cs="宋体"/>
                <w:sz w:val="18"/>
                <w:szCs w:val="18"/>
              </w:rPr>
            </w:pPr>
            <w:r w:rsidRPr="00986BB1">
              <w:rPr>
                <w:rFonts w:ascii="宋体" w:eastAsia="宋体" w:hAnsi="宋体" w:cs="宋体"/>
                <w:sz w:val="18"/>
                <w:szCs w:val="18"/>
              </w:rPr>
              <w:t>84,496,094.3</w:t>
            </w:r>
            <w:r w:rsidR="000019C9">
              <w:rPr>
                <w:rFonts w:ascii="宋体" w:eastAsia="宋体" w:hAnsi="宋体" w:cs="宋体" w:hint="eastAsia"/>
                <w:sz w:val="18"/>
                <w:szCs w:val="18"/>
              </w:rPr>
              <w:t>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-368,630,232.17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三、筹资活动产生的现金流量：</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吸收投资收到的现金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1,500,000.00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1,000,000.00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其中：子公司吸收少数股东投资收到的现金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1,500,000.00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1,000,000.00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取得借款收到的现金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收到其他与筹资活动有关的现金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2,374,387.99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21,337,728.00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筹资活动现金流入小计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3,874,387.99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22,337,728.00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偿还债务支付的现金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4,000,000.00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分配股利、利润或偿付利息支付的现金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396,337.24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96,577,343.77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其中：子公司支付给少数股东的股利、利润</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11,046,015.21</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支付其他与筹资活动有关的现金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6,055,059.60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69,034,038.40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筹资活动现金流出小计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10,451,396.84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165,611,382.17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筹资活动产生的现金流量净额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-6,577,008.85</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-143,273,654.17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四、汇率变动对现金及现金等价物的影响</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-12,856.73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-6,334.29</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五、现金及现金等价物净增加额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24,839,880.25</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-391,525,657.41</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加：期初现金及现金等价物余额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69,505,499.46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461,031,156.87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六、期末现金及现金等价物余额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94,345,379.71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69,505,499.46</w:t>
            </w:r>
          </w:p>
        </w:tc>
      </w:tr>
    </w:tbl>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bookmarkStart w:id="153" w:name="_Toc989042"/>
      <w:r w:rsidRPr="00980BC4">
        <w:rPr>
          <w:rFonts w:ascii="仿宋" w:eastAsia="仿宋" w:hAnsi="仿宋"/>
          <w:b/>
          <w:sz w:val="28"/>
          <w:szCs w:val="28"/>
        </w:rPr>
        <w:t>6、母公司现金流量表</w:t>
      </w:r>
      <w:bookmarkEnd w:id="153"/>
    </w:p>
    <w:p w:rsidR="00F67D6F" w:rsidRPr="00980BC4" w:rsidRDefault="00F67D6F" w:rsidP="00F67D6F">
      <w:pPr>
        <w:spacing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644"/>
        <w:gridCol w:w="2552"/>
        <w:gridCol w:w="2443"/>
      </w:tblGrid>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jc w:val="center"/>
              <w:rPr>
                <w:rFonts w:ascii="宋体" w:eastAsia="宋体" w:hAnsi="宋体" w:cs="宋体"/>
                <w:sz w:val="18"/>
                <w:szCs w:val="18"/>
              </w:rPr>
            </w:pPr>
            <w:r w:rsidRPr="00980BC4">
              <w:rPr>
                <w:rFonts w:ascii="宋体" w:eastAsia="宋体" w:hAnsi="宋体" w:cs="宋体"/>
                <w:sz w:val="18"/>
                <w:szCs w:val="18"/>
              </w:rPr>
              <w:t>2022年度</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jc w:val="center"/>
              <w:rPr>
                <w:rFonts w:ascii="宋体" w:eastAsia="宋体" w:hAnsi="宋体" w:cs="宋体"/>
                <w:sz w:val="18"/>
                <w:szCs w:val="18"/>
              </w:rPr>
            </w:pPr>
            <w:r w:rsidRPr="00980BC4">
              <w:rPr>
                <w:rFonts w:ascii="宋体" w:eastAsia="宋体" w:hAnsi="宋体" w:cs="宋体"/>
                <w:sz w:val="18"/>
                <w:szCs w:val="18"/>
              </w:rPr>
              <w:t>2021年度</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一、经营活动产生的现金流量：</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销售商品、提供劳务收到的现金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36,341,492.93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253,113,876.76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收到的税费返还</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1,904,079.04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35,721,467.26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收到其他与经营活动有关的现金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2,518,907.35</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5,494,149.04</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经营活动现金流入小计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40,764,479.32</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294,329,493.06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购买商品、接受劳务支付的现金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31,379,280.74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210,642,330.21</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支付给职工以及为职工支付的现金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14,576,444.46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14,222,110.00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支付的各项税费</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1,212,692.83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5,052,631.30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支付其他与经营活动有关的现金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8,284,823.51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9,275,467.24</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经营活动现金流出小计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55,453,241.54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239,192,538.75</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lastRenderedPageBreak/>
              <w:t>经营活动产生的现金流量净额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-14,688,762.22</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55,136,954.31</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二、投资活动产生的现金流量：</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收回投资收到的现金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1,781,172,026.09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2,892,990,588.13</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取得投资收益收到的现金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65,280,627.81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5,399,184.00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处置固定资产、无形资产和其他长期资产收回的现金净额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199,029.13</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处置子公司及其他营业单位收到的现金净额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收到其他与投资活动有关的现金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850,000.00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850,000.00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投资活动现金流入小计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1,847,302,653.90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2,899,438,801.26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购建固定资产、无形资产和其他长期资产支付的现金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223,642.93</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120,872.28</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投资支付的现金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1,690,959,778.16</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3,020,579,463.37</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取得子公司及其他营业单位支付的现金净额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143,791,000.00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124,409,000.00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支付其他与投资活动有关的现金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投资活动现金流出小计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1,834,974,421.09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3,145,109,335.65</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投资活动产生的现金流量净额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12,328,232.81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-245,670,534.39</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三、筹资活动产生的现金流量：</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吸收投资收到的现金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取得借款收到的现金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收到其他与筹资活动有关的现金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2,374,387.99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21,337,728.00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筹资活动现金流入小计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2,374,387.99</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21,337,728.00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偿还债务支付的现金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分配股利、利润或偿付利息支付的现金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349,709.47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85,524,278.56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支付其他与筹资活动有关的现金</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885,593.80</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69,034,038.40</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筹资活动现金流出小计</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1,235,303.27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154,558,316.96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筹资活动产生的现金流量净额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1,139,084.72</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-133,220,588.96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四、汇率变动对现金及现金等价物的影响</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-5,205.78</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1,316.66</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五、现金及现金等价物净增加额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-1,226,650.47</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-323,752,852.38</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加：期初现金及现金等价物余额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15,747,489.31</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339,500,341.69</w:t>
            </w:r>
          </w:p>
        </w:tc>
      </w:tr>
      <w:tr w:rsidR="00F67D6F" w:rsidRPr="00980BC4" w:rsidTr="008D6E99">
        <w:trPr>
          <w:divId w:val="969553885"/>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300" w:lineRule="exact"/>
              <w:rPr>
                <w:rFonts w:ascii="宋体" w:eastAsia="宋体" w:hAnsi="宋体" w:cs="宋体"/>
                <w:sz w:val="18"/>
                <w:szCs w:val="18"/>
              </w:rPr>
            </w:pPr>
            <w:r w:rsidRPr="00980BC4">
              <w:rPr>
                <w:rFonts w:ascii="宋体" w:eastAsia="宋体" w:hAnsi="宋体" w:cs="宋体"/>
                <w:sz w:val="18"/>
                <w:szCs w:val="18"/>
              </w:rPr>
              <w:t>六、期末现金及现金等价物余额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14,520,838.84</w:t>
            </w:r>
          </w:p>
        </w:tc>
        <w:tc>
          <w:tcPr>
            <w:tcW w:w="24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300" w:lineRule="exact"/>
              <w:jc w:val="right"/>
              <w:rPr>
                <w:rFonts w:ascii="宋体" w:eastAsia="宋体" w:hAnsi="宋体" w:cs="宋体"/>
                <w:sz w:val="18"/>
                <w:szCs w:val="18"/>
              </w:rPr>
            </w:pPr>
            <w:r w:rsidRPr="00980BC4">
              <w:rPr>
                <w:rFonts w:ascii="宋体" w:eastAsia="宋体" w:hAnsi="宋体" w:cs="宋体"/>
                <w:sz w:val="18"/>
                <w:szCs w:val="18"/>
              </w:rPr>
              <w:t>15,747,489.31</w:t>
            </w:r>
          </w:p>
        </w:tc>
      </w:tr>
    </w:tbl>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bookmarkStart w:id="154" w:name="_Toc989043"/>
      <w:r w:rsidRPr="00980BC4">
        <w:rPr>
          <w:rFonts w:ascii="仿宋" w:eastAsia="仿宋" w:hAnsi="仿宋"/>
          <w:b/>
          <w:sz w:val="28"/>
          <w:szCs w:val="28"/>
        </w:rPr>
        <w:t>7、合并所有者权益变动表</w:t>
      </w:r>
      <w:bookmarkEnd w:id="154"/>
    </w:p>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r w:rsidRPr="00980BC4">
        <w:rPr>
          <w:rFonts w:ascii="仿宋" w:eastAsia="仿宋" w:hAnsi="仿宋"/>
          <w:b/>
          <w:sz w:val="28"/>
          <w:szCs w:val="28"/>
        </w:rPr>
        <w:t>本期金额</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73" w:type="dxa"/>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636"/>
        <w:gridCol w:w="602"/>
        <w:gridCol w:w="602"/>
        <w:gridCol w:w="602"/>
        <w:gridCol w:w="603"/>
        <w:gridCol w:w="602"/>
        <w:gridCol w:w="602"/>
        <w:gridCol w:w="602"/>
        <w:gridCol w:w="602"/>
        <w:gridCol w:w="602"/>
        <w:gridCol w:w="602"/>
        <w:gridCol w:w="602"/>
        <w:gridCol w:w="602"/>
        <w:gridCol w:w="607"/>
        <w:gridCol w:w="602"/>
        <w:gridCol w:w="603"/>
      </w:tblGrid>
      <w:tr w:rsidR="00F67D6F" w:rsidRPr="00980BC4" w:rsidTr="008D6E99">
        <w:trPr>
          <w:divId w:val="969553885"/>
          <w:trHeight w:val="240"/>
        </w:trPr>
        <w:tc>
          <w:tcPr>
            <w:tcW w:w="63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2022年度</w:t>
            </w:r>
          </w:p>
        </w:tc>
      </w:tr>
      <w:tr w:rsidR="00F67D6F" w:rsidRPr="00980BC4" w:rsidTr="008D6E99">
        <w:trPr>
          <w:divId w:val="969553885"/>
          <w:trHeight w:val="240"/>
        </w:trPr>
        <w:tc>
          <w:tcPr>
            <w:tcW w:w="63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少数股东权益</w:t>
            </w:r>
          </w:p>
        </w:tc>
        <w:tc>
          <w:tcPr>
            <w:tcW w:w="6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所有者权益合计</w:t>
            </w:r>
          </w:p>
        </w:tc>
      </w:tr>
      <w:tr w:rsidR="00F67D6F" w:rsidRPr="00980BC4" w:rsidTr="008D6E99">
        <w:trPr>
          <w:divId w:val="969553885"/>
          <w:trHeight w:val="240"/>
        </w:trPr>
        <w:tc>
          <w:tcPr>
            <w:tcW w:w="63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60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r>
      <w:tr w:rsidR="00F67D6F" w:rsidRPr="00980BC4" w:rsidTr="008D6E99">
        <w:trPr>
          <w:divId w:val="969553885"/>
          <w:trHeight w:val="240"/>
        </w:trPr>
        <w:tc>
          <w:tcPr>
            <w:tcW w:w="63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永续债</w:t>
            </w:r>
          </w:p>
        </w:tc>
        <w:tc>
          <w:tcPr>
            <w:tcW w:w="6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2" w:type="dxa"/>
            <w:vMerge/>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c>
          <w:tcPr>
            <w:tcW w:w="6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line="280" w:lineRule="exact"/>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704,254,180.85</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74,214,504.38</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4,475,651.97</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458,070,573.76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1,621,176,703.21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9,530,499.73</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1,630,707,202.94</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加：</w:t>
            </w:r>
            <w:r w:rsidRPr="00980BC4">
              <w:rPr>
                <w:rFonts w:ascii="宋体" w:eastAsia="宋体" w:hAnsi="宋体" w:cs="宋体"/>
                <w:sz w:val="18"/>
                <w:szCs w:val="18"/>
              </w:rPr>
              <w:lastRenderedPageBreak/>
              <w:t>会计政策变更</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同一控制下企业合并</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704,254,180.85</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74,214,504.38</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4,475,651.97</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458,070,573.76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1,621,176,703.21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9,530,499.73</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1,630,707,202.94</w:t>
            </w:r>
          </w:p>
        </w:tc>
      </w:tr>
      <w:tr w:rsidR="000019C9"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4,439,488.20</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-8,887,962.61</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841,414.46</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114,208,708.99</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133,577,044.78</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24,692,560.79</w:t>
            </w:r>
          </w:p>
        </w:tc>
        <w:tc>
          <w:tcPr>
            <w:tcW w:w="6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158,269,605.57</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119,408,179.51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119,408,179.51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-719,000.88</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118,689,178.63</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7,359,648.10</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-8,887,962.61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16,247,610.71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25,283,707.73</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41,531,318.44</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1．所有者投入的普通股</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25,120,664.64</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25,120,664.64</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2．其他</w:t>
            </w:r>
            <w:r w:rsidRPr="00980BC4">
              <w:rPr>
                <w:rFonts w:ascii="宋体" w:eastAsia="宋体" w:hAnsi="宋体" w:cs="宋体"/>
                <w:sz w:val="18"/>
                <w:szCs w:val="18"/>
              </w:rPr>
              <w:lastRenderedPageBreak/>
              <w:t>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9,815,527.31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-6,376,883.40</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16,192,410.71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163,043.09</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16,355,453.80</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-2,455,879.21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-2,511,079.21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55,200.00</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55,200.00</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（三）利润分配</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3．对所有者（或股东）的分配</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1．资本公积转增资本（或股本）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4．设定受益计划变动额结转留存收益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（五）专项储备</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841,414.46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841,414.46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127,853.94</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969,268.40</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1．本期提取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1,684,328.99</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1,684,328.99</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235,555.75</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1,919,884.74</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2．</w:t>
            </w:r>
            <w:r w:rsidRPr="00980BC4">
              <w:rPr>
                <w:rFonts w:ascii="宋体" w:eastAsia="宋体" w:hAnsi="宋体" w:cs="宋体"/>
                <w:sz w:val="18"/>
                <w:szCs w:val="18"/>
              </w:rPr>
              <w:lastRenderedPageBreak/>
              <w:t>本期使用</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842,</w:t>
            </w:r>
            <w:r w:rsidRPr="00980BC4">
              <w:rPr>
                <w:rFonts w:ascii="宋体" w:eastAsia="宋体" w:hAnsi="宋体" w:cs="宋体"/>
                <w:sz w:val="18"/>
                <w:szCs w:val="18"/>
              </w:rPr>
              <w:lastRenderedPageBreak/>
              <w:t>914.53</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t>842,</w:t>
            </w:r>
            <w:r w:rsidRPr="00980BC4">
              <w:rPr>
                <w:rFonts w:ascii="宋体" w:eastAsia="宋体" w:hAnsi="宋体" w:cs="宋体"/>
                <w:sz w:val="18"/>
                <w:szCs w:val="18"/>
              </w:rPr>
              <w:lastRenderedPageBreak/>
              <w:t>914.53</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lastRenderedPageBreak/>
              <w:t>107,</w:t>
            </w:r>
            <w:r w:rsidRPr="00980BC4">
              <w:rPr>
                <w:rFonts w:ascii="宋体" w:eastAsia="宋体" w:hAnsi="宋体" w:cs="宋体"/>
                <w:sz w:val="18"/>
                <w:szCs w:val="18"/>
              </w:rPr>
              <w:lastRenderedPageBreak/>
              <w:t>701.81</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80" w:lineRule="exact"/>
              <w:jc w:val="right"/>
              <w:rPr>
                <w:rFonts w:ascii="宋体" w:eastAsia="宋体" w:hAnsi="宋体" w:cs="宋体"/>
                <w:sz w:val="18"/>
                <w:szCs w:val="18"/>
              </w:rPr>
            </w:pPr>
            <w:r w:rsidRPr="00980BC4">
              <w:rPr>
                <w:rFonts w:ascii="宋体" w:eastAsia="宋体" w:hAnsi="宋体" w:cs="宋体"/>
                <w:sz w:val="18"/>
                <w:szCs w:val="18"/>
              </w:rPr>
              <w:lastRenderedPageBreak/>
              <w:t>950,</w:t>
            </w:r>
            <w:r w:rsidRPr="00980BC4">
              <w:rPr>
                <w:rFonts w:ascii="宋体" w:eastAsia="宋体" w:hAnsi="宋体" w:cs="宋体"/>
                <w:sz w:val="18"/>
                <w:szCs w:val="18"/>
              </w:rPr>
              <w:lastRenderedPageBreak/>
              <w:t>616.34</w:t>
            </w:r>
          </w:p>
        </w:tc>
      </w:tr>
      <w:tr w:rsidR="000019C9"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（六）其他</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-2,920,159.90</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-2,920,159.90</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-2,920,159.90</w:t>
            </w:r>
          </w:p>
        </w:tc>
      </w:tr>
      <w:tr w:rsidR="000019C9"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8D6E99">
            <w:pPr>
              <w:spacing w:before="40" w:after="40" w:line="280" w:lineRule="exact"/>
              <w:rPr>
                <w:rFonts w:ascii="宋体" w:eastAsia="宋体" w:hAnsi="宋体" w:cs="宋体"/>
                <w:sz w:val="18"/>
                <w:szCs w:val="18"/>
              </w:rPr>
            </w:pPr>
            <w:r w:rsidRPr="00980BC4">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708,693,669.05</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65,326,541.77</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5,317,066.43</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90,928,947.53</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572,279,282.75</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1,754,753,747.99</w:t>
            </w:r>
          </w:p>
        </w:tc>
        <w:tc>
          <w:tcPr>
            <w:tcW w:w="60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34,223,060.52</w:t>
            </w:r>
          </w:p>
        </w:tc>
        <w:tc>
          <w:tcPr>
            <w:tcW w:w="6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444C00">
              <w:rPr>
                <w:rFonts w:ascii="宋体" w:eastAsia="宋体" w:hAnsi="宋体" w:cs="宋体"/>
                <w:sz w:val="18"/>
                <w:szCs w:val="18"/>
              </w:rPr>
              <w:t>1,788,976,808.51</w:t>
            </w:r>
          </w:p>
        </w:tc>
      </w:tr>
    </w:tbl>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r w:rsidRPr="00980BC4">
        <w:rPr>
          <w:rFonts w:ascii="仿宋" w:eastAsia="仿宋" w:hAnsi="仿宋"/>
          <w:b/>
          <w:sz w:val="28"/>
          <w:szCs w:val="28"/>
        </w:rPr>
        <w:t>上期金额</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73" w:type="dxa"/>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636"/>
        <w:gridCol w:w="602"/>
        <w:gridCol w:w="602"/>
        <w:gridCol w:w="602"/>
        <w:gridCol w:w="603"/>
        <w:gridCol w:w="602"/>
        <w:gridCol w:w="602"/>
        <w:gridCol w:w="602"/>
        <w:gridCol w:w="602"/>
        <w:gridCol w:w="602"/>
        <w:gridCol w:w="602"/>
        <w:gridCol w:w="602"/>
        <w:gridCol w:w="602"/>
        <w:gridCol w:w="607"/>
        <w:gridCol w:w="602"/>
        <w:gridCol w:w="603"/>
      </w:tblGrid>
      <w:tr w:rsidR="00F67D6F" w:rsidRPr="00980BC4" w:rsidTr="008D6E99">
        <w:trPr>
          <w:divId w:val="969553885"/>
          <w:trHeight w:val="240"/>
        </w:trPr>
        <w:tc>
          <w:tcPr>
            <w:tcW w:w="63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2021年度</w:t>
            </w:r>
          </w:p>
        </w:tc>
      </w:tr>
      <w:tr w:rsidR="00F67D6F" w:rsidRPr="00980BC4" w:rsidTr="008D6E99">
        <w:trPr>
          <w:divId w:val="969553885"/>
          <w:trHeight w:val="240"/>
        </w:trPr>
        <w:tc>
          <w:tcPr>
            <w:tcW w:w="63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少数股东权益</w:t>
            </w:r>
          </w:p>
        </w:tc>
        <w:tc>
          <w:tcPr>
            <w:tcW w:w="6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所有者权益合计</w:t>
            </w:r>
          </w:p>
        </w:tc>
      </w:tr>
      <w:tr w:rsidR="00F67D6F" w:rsidRPr="00980BC4" w:rsidTr="008D6E99">
        <w:trPr>
          <w:divId w:val="969553885"/>
          <w:trHeight w:val="240"/>
        </w:trPr>
        <w:tc>
          <w:tcPr>
            <w:tcW w:w="63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60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r>
      <w:tr w:rsidR="00F67D6F" w:rsidRPr="00980BC4" w:rsidTr="008D6E99">
        <w:trPr>
          <w:divId w:val="969553885"/>
          <w:trHeight w:val="240"/>
        </w:trPr>
        <w:tc>
          <w:tcPr>
            <w:tcW w:w="63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永续债</w:t>
            </w:r>
          </w:p>
        </w:tc>
        <w:tc>
          <w:tcPr>
            <w:tcW w:w="6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2" w:type="dxa"/>
            <w:vMerge/>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2" w:type="dxa"/>
            <w:vMerge/>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pPr>
          </w:p>
        </w:tc>
        <w:tc>
          <w:tcPr>
            <w:tcW w:w="607" w:type="dxa"/>
            <w:vMerge/>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pP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c>
          <w:tcPr>
            <w:tcW w:w="6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90" w:lineRule="exact"/>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760,361,578.19</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94,925,877.19</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3,764,148.11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513,010,245.65</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1,710,800,895.77</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25,816,911.56</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1,736,617,807.33</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同一控制下企业合并</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783"/>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760,361,578.19</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94,925,877.19</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3,764,148.11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513,010,245.65</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1,710,800,895.77</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25,816,911.56</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1,736,617,807.33</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三、本期增减</w:t>
            </w:r>
            <w:r w:rsidRPr="00980BC4">
              <w:rPr>
                <w:rFonts w:ascii="宋体" w:eastAsia="宋体" w:hAnsi="宋体" w:cs="宋体"/>
                <w:sz w:val="18"/>
                <w:szCs w:val="18"/>
              </w:rPr>
              <w:lastRenderedPageBreak/>
              <w:t>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-56,107,397.3</w:t>
            </w:r>
            <w:r w:rsidRPr="00980BC4">
              <w:rPr>
                <w:rFonts w:ascii="宋体" w:eastAsia="宋体" w:hAnsi="宋体" w:cs="宋体"/>
                <w:sz w:val="18"/>
                <w:szCs w:val="18"/>
              </w:rPr>
              <w:lastRenderedPageBreak/>
              <w:t>4</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lastRenderedPageBreak/>
              <w:t>-20,711,372.8</w:t>
            </w:r>
            <w:r w:rsidRPr="00980BC4">
              <w:rPr>
                <w:rFonts w:ascii="宋体" w:eastAsia="宋体" w:hAnsi="宋体" w:cs="宋体"/>
                <w:sz w:val="18"/>
                <w:szCs w:val="18"/>
              </w:rPr>
              <w:lastRenderedPageBreak/>
              <w:t>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711,503.86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-54,939,671.8</w:t>
            </w:r>
            <w:r w:rsidRPr="00980BC4">
              <w:rPr>
                <w:rFonts w:ascii="宋体" w:eastAsia="宋体" w:hAnsi="宋体" w:cs="宋体"/>
                <w:sz w:val="18"/>
                <w:szCs w:val="18"/>
              </w:rPr>
              <w:lastRenderedPageBreak/>
              <w:t>9</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-89,624,192.5</w:t>
            </w:r>
            <w:r w:rsidRPr="00980BC4">
              <w:rPr>
                <w:rFonts w:ascii="宋体" w:eastAsia="宋体" w:hAnsi="宋体" w:cs="宋体"/>
                <w:sz w:val="18"/>
                <w:szCs w:val="18"/>
              </w:rPr>
              <w:lastRenderedPageBreak/>
              <w:t>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lastRenderedPageBreak/>
              <w:t>-16,286,411.8</w:t>
            </w:r>
            <w:r w:rsidRPr="00980BC4">
              <w:rPr>
                <w:rFonts w:ascii="宋体" w:eastAsia="宋体" w:hAnsi="宋体" w:cs="宋体"/>
                <w:sz w:val="18"/>
                <w:szCs w:val="18"/>
              </w:rPr>
              <w:lastRenderedPageBreak/>
              <w:t>3</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lastRenderedPageBreak/>
              <w:t>-105,910,604.</w:t>
            </w:r>
            <w:r w:rsidRPr="00980BC4">
              <w:rPr>
                <w:rFonts w:ascii="宋体" w:eastAsia="宋体" w:hAnsi="宋体" w:cs="宋体"/>
                <w:sz w:val="18"/>
                <w:szCs w:val="18"/>
              </w:rPr>
              <w:lastRenderedPageBreak/>
              <w:t>39</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lastRenderedPageBreak/>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31,858,231.32</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31,858,231.32</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7,491,807.58</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39,350,038.90</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-64,365,386.30</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-20,711,372.81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-43,654,013.49</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-13,007,186.55</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-56,661,200.04</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1．所有者投入的普通股</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-13,235,993.65</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-13,235,993.65</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2．其他权益工具持有者投入资本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10,945,992.86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10,945,992.86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228,807.10</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11,174,799.96</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-75,311,379.1</w:t>
            </w:r>
            <w:r w:rsidRPr="00980BC4">
              <w:rPr>
                <w:rFonts w:ascii="宋体" w:eastAsia="宋体" w:hAnsi="宋体" w:cs="宋体"/>
                <w:sz w:val="18"/>
                <w:szCs w:val="18"/>
              </w:rPr>
              <w:lastRenderedPageBreak/>
              <w:t>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lastRenderedPageBreak/>
              <w:t>-20,711,372.8</w:t>
            </w:r>
            <w:r w:rsidRPr="00980BC4">
              <w:rPr>
                <w:rFonts w:ascii="宋体" w:eastAsia="宋体" w:hAnsi="宋体" w:cs="宋体"/>
                <w:sz w:val="18"/>
                <w:szCs w:val="18"/>
              </w:rPr>
              <w:lastRenderedPageBreak/>
              <w:t>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-54,600,006.3</w:t>
            </w:r>
            <w:r w:rsidRPr="00980BC4">
              <w:rPr>
                <w:rFonts w:ascii="宋体" w:eastAsia="宋体" w:hAnsi="宋体" w:cs="宋体"/>
                <w:sz w:val="18"/>
                <w:szCs w:val="18"/>
              </w:rPr>
              <w:lastRenderedPageBreak/>
              <w:t>5</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-54,600,006.3</w:t>
            </w:r>
            <w:r w:rsidRPr="00980BC4">
              <w:rPr>
                <w:rFonts w:ascii="宋体" w:eastAsia="宋体" w:hAnsi="宋体" w:cs="宋体"/>
                <w:sz w:val="18"/>
                <w:szCs w:val="18"/>
              </w:rPr>
              <w:lastRenderedPageBreak/>
              <w:t>5</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lastRenderedPageBreak/>
              <w:t>（三）利润分配</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-86,797,903.21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-86,797,903.21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-11,046,015.21</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-97,843,918.42</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3．对所有者（或股东）的分配</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-86,797,903.21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-86,797,903.21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-11,046,015.21</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-97,843,918.42</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1．资本公积转增资本（或股本）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2．盈余公积转增资本（或股</w:t>
            </w:r>
            <w:r w:rsidRPr="00980BC4">
              <w:rPr>
                <w:rFonts w:ascii="宋体" w:eastAsia="宋体" w:hAnsi="宋体" w:cs="宋体"/>
                <w:sz w:val="18"/>
                <w:szCs w:val="18"/>
              </w:rPr>
              <w:lastRenderedPageBreak/>
              <w:t>本）</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lastRenderedPageBreak/>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4．设定受益计划变动额结转留存收益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（五）专项储备</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711,503.86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711,503.86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274,982.35</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986,486.21</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1．本期提取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1,368,899.44</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1,368,899.44</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378,631.76</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1,747,531.20</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2．本期使用</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657,395.58</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657,395.58</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103,649.41</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761,044.99</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（六）其他</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8,257,988.96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8,257,988.96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8,257,988.96</w:t>
            </w:r>
          </w:p>
        </w:tc>
      </w:tr>
      <w:tr w:rsidR="00F67D6F" w:rsidRPr="00980BC4" w:rsidTr="008D6E99">
        <w:trPr>
          <w:divId w:val="969553885"/>
          <w:trHeight w:val="240"/>
        </w:trPr>
        <w:tc>
          <w:tcPr>
            <w:tcW w:w="63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90" w:lineRule="exact"/>
              <w:rPr>
                <w:rFonts w:ascii="宋体" w:eastAsia="宋体" w:hAnsi="宋体" w:cs="宋体"/>
                <w:sz w:val="18"/>
                <w:szCs w:val="18"/>
              </w:rPr>
            </w:pPr>
            <w:r w:rsidRPr="00980BC4">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704,254,180.85</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74,214,504.38</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4,475,651.97</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458,070,573.76</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p>
        </w:tc>
        <w:tc>
          <w:tcPr>
            <w:tcW w:w="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1,621,176,703.21</w:t>
            </w:r>
          </w:p>
        </w:tc>
        <w:tc>
          <w:tcPr>
            <w:tcW w:w="60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9,530,499.73</w:t>
            </w:r>
          </w:p>
        </w:tc>
        <w:tc>
          <w:tcPr>
            <w:tcW w:w="6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90" w:lineRule="exact"/>
              <w:jc w:val="right"/>
              <w:rPr>
                <w:rFonts w:ascii="宋体" w:eastAsia="宋体" w:hAnsi="宋体" w:cs="宋体"/>
                <w:sz w:val="18"/>
                <w:szCs w:val="18"/>
              </w:rPr>
            </w:pPr>
            <w:r w:rsidRPr="00980BC4">
              <w:rPr>
                <w:rFonts w:ascii="宋体" w:eastAsia="宋体" w:hAnsi="宋体" w:cs="宋体"/>
                <w:sz w:val="18"/>
                <w:szCs w:val="18"/>
              </w:rPr>
              <w:t>1,630,707,202.94</w:t>
            </w:r>
          </w:p>
        </w:tc>
      </w:tr>
    </w:tbl>
    <w:p w:rsidR="00E47CDC" w:rsidRPr="00980BC4" w:rsidRDefault="00E47CDC" w:rsidP="008D6E99">
      <w:pPr>
        <w:pStyle w:val="a3"/>
        <w:spacing w:before="0" w:beforeAutospacing="0" w:after="0" w:afterAutospacing="0" w:line="560" w:lineRule="exact"/>
        <w:ind w:firstLine="480"/>
        <w:jc w:val="both"/>
        <w:divId w:val="969553885"/>
        <w:rPr>
          <w:rFonts w:ascii="仿宋" w:eastAsia="仿宋" w:hAnsi="仿宋"/>
          <w:b/>
          <w:sz w:val="28"/>
          <w:szCs w:val="28"/>
        </w:rPr>
      </w:pPr>
      <w:bookmarkStart w:id="155" w:name="_Toc989044"/>
    </w:p>
    <w:p w:rsidR="00E47CDC" w:rsidRPr="00980BC4" w:rsidRDefault="00E47CDC" w:rsidP="008D6E99">
      <w:pPr>
        <w:pStyle w:val="a3"/>
        <w:spacing w:before="0" w:beforeAutospacing="0" w:after="0" w:afterAutospacing="0" w:line="560" w:lineRule="exact"/>
        <w:ind w:firstLine="480"/>
        <w:jc w:val="both"/>
        <w:divId w:val="969553885"/>
        <w:rPr>
          <w:rFonts w:ascii="仿宋" w:eastAsia="仿宋" w:hAnsi="仿宋"/>
          <w:b/>
          <w:sz w:val="28"/>
          <w:szCs w:val="28"/>
        </w:rPr>
      </w:pPr>
    </w:p>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r w:rsidRPr="00980BC4">
        <w:rPr>
          <w:rFonts w:ascii="仿宋" w:eastAsia="仿宋" w:hAnsi="仿宋"/>
          <w:b/>
          <w:sz w:val="28"/>
          <w:szCs w:val="28"/>
        </w:rPr>
        <w:lastRenderedPageBreak/>
        <w:t>8、母公司所有者权益变动表</w:t>
      </w:r>
      <w:bookmarkEnd w:id="155"/>
    </w:p>
    <w:p w:rsidR="00F67D6F" w:rsidRPr="00980BC4" w:rsidRDefault="00F67D6F" w:rsidP="008D6E99">
      <w:pPr>
        <w:pStyle w:val="a3"/>
        <w:spacing w:before="0" w:beforeAutospacing="0" w:after="0" w:afterAutospacing="0" w:line="560" w:lineRule="exact"/>
        <w:ind w:firstLine="480"/>
        <w:jc w:val="both"/>
        <w:divId w:val="969553885"/>
        <w:rPr>
          <w:rFonts w:ascii="仿宋" w:eastAsia="仿宋" w:hAnsi="仿宋"/>
          <w:b/>
          <w:sz w:val="28"/>
          <w:szCs w:val="28"/>
        </w:rPr>
      </w:pPr>
      <w:r w:rsidRPr="00980BC4">
        <w:rPr>
          <w:rFonts w:ascii="仿宋" w:eastAsia="仿宋" w:hAnsi="仿宋"/>
          <w:b/>
          <w:sz w:val="28"/>
          <w:szCs w:val="28"/>
        </w:rPr>
        <w:t>本期金额</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73" w:type="dxa"/>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775"/>
        <w:gridCol w:w="741"/>
        <w:gridCol w:w="741"/>
        <w:gridCol w:w="741"/>
        <w:gridCol w:w="742"/>
        <w:gridCol w:w="741"/>
        <w:gridCol w:w="741"/>
        <w:gridCol w:w="741"/>
        <w:gridCol w:w="741"/>
        <w:gridCol w:w="741"/>
        <w:gridCol w:w="741"/>
        <w:gridCol w:w="741"/>
        <w:gridCol w:w="746"/>
      </w:tblGrid>
      <w:tr w:rsidR="00F67D6F" w:rsidRPr="00980BC4" w:rsidTr="00E47CDC">
        <w:trPr>
          <w:divId w:val="969553885"/>
          <w:trHeight w:val="240"/>
        </w:trPr>
        <w:tc>
          <w:tcPr>
            <w:tcW w:w="7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2022年度</w:t>
            </w:r>
          </w:p>
        </w:tc>
      </w:tr>
      <w:tr w:rsidR="00F67D6F" w:rsidRPr="00980BC4" w:rsidTr="00E47CDC">
        <w:trPr>
          <w:divId w:val="969553885"/>
          <w:trHeight w:val="240"/>
        </w:trPr>
        <w:tc>
          <w:tcPr>
            <w:tcW w:w="7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74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所有者权益合计</w:t>
            </w:r>
          </w:p>
        </w:tc>
      </w:tr>
      <w:tr w:rsidR="00F67D6F" w:rsidRPr="00980BC4" w:rsidTr="00E47CDC">
        <w:trPr>
          <w:divId w:val="969553885"/>
          <w:trHeight w:val="240"/>
        </w:trPr>
        <w:tc>
          <w:tcPr>
            <w:tcW w:w="7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永续债</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pPr>
          </w:p>
        </w:tc>
        <w:tc>
          <w:tcPr>
            <w:tcW w:w="74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849,605,727.94</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74,214,504.38</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258,831,892.90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1,564,277,812.42</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849,605,727.94</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74,214,504.38</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258,831,892.90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1,564,277,812.42</w:t>
            </w:r>
          </w:p>
        </w:tc>
      </w:tr>
      <w:tr w:rsidR="000019C9"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C43899">
              <w:rPr>
                <w:rFonts w:ascii="宋体" w:eastAsia="宋体" w:hAnsi="宋体" w:cs="宋体"/>
                <w:sz w:val="18"/>
                <w:szCs w:val="18"/>
              </w:rPr>
              <w:t>4,693,075.57</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-8,887,962.61</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46,795,234.70</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C43899">
              <w:rPr>
                <w:rFonts w:ascii="宋体" w:eastAsia="宋体" w:hAnsi="宋体" w:cs="宋体"/>
                <w:sz w:val="18"/>
                <w:szCs w:val="18"/>
              </w:rPr>
              <w:t>65,575,743.40</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51,994,705.22</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51,994,705.22</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7,613,235.47</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-8,887,962.61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16,501,198.08</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1．所有者投入的普通股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2．其他权益</w:t>
            </w:r>
            <w:r w:rsidRPr="00980BC4">
              <w:rPr>
                <w:rFonts w:ascii="宋体" w:eastAsia="宋体" w:hAnsi="宋体" w:cs="宋体"/>
                <w:sz w:val="18"/>
                <w:szCs w:val="18"/>
              </w:rPr>
              <w:lastRenderedPageBreak/>
              <w:t>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10,069,114.68</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-6,376,883.40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16,445,998.08</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-2,455,879.21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-2,511,079.21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55,200.00</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1．资本公积转增资本（或股本）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4．设</w:t>
            </w:r>
            <w:r w:rsidRPr="00980BC4">
              <w:rPr>
                <w:rFonts w:ascii="宋体" w:eastAsia="宋体" w:hAnsi="宋体" w:cs="宋体"/>
                <w:sz w:val="18"/>
                <w:szCs w:val="18"/>
              </w:rPr>
              <w:lastRenderedPageBreak/>
              <w:t>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0019C9"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C43899">
              <w:rPr>
                <w:rFonts w:ascii="宋体" w:eastAsia="宋体" w:hAnsi="宋体" w:cs="宋体"/>
                <w:sz w:val="18"/>
                <w:szCs w:val="18"/>
              </w:rPr>
              <w:t>-2,920,159.90</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C43899">
              <w:rPr>
                <w:rFonts w:ascii="宋体" w:eastAsia="宋体" w:hAnsi="宋体" w:cs="宋体"/>
                <w:sz w:val="18"/>
                <w:szCs w:val="18"/>
              </w:rPr>
              <w:t>-2,920,159.90</w:t>
            </w:r>
          </w:p>
        </w:tc>
      </w:tr>
      <w:tr w:rsidR="000019C9"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C43899">
              <w:rPr>
                <w:rFonts w:ascii="宋体" w:eastAsia="宋体" w:hAnsi="宋体" w:cs="宋体"/>
                <w:sz w:val="18"/>
                <w:szCs w:val="18"/>
              </w:rPr>
              <w:t>854,298,803.51</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65,326,541.77</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90,928,947.53</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305,627,127.60</w:t>
            </w:r>
          </w:p>
        </w:tc>
        <w:tc>
          <w:tcPr>
            <w:tcW w:w="741"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C43899">
              <w:rPr>
                <w:rFonts w:ascii="宋体" w:eastAsia="宋体" w:hAnsi="宋体" w:cs="宋体"/>
                <w:sz w:val="18"/>
                <w:szCs w:val="18"/>
              </w:rPr>
              <w:t>1,629,853,555.82</w:t>
            </w:r>
          </w:p>
        </w:tc>
      </w:tr>
    </w:tbl>
    <w:p w:rsidR="00F67D6F" w:rsidRPr="00980BC4" w:rsidRDefault="00F67D6F" w:rsidP="00E47CDC">
      <w:pPr>
        <w:pStyle w:val="a3"/>
        <w:spacing w:before="0" w:beforeAutospacing="0" w:after="0" w:afterAutospacing="0" w:line="560" w:lineRule="exact"/>
        <w:ind w:firstLine="480"/>
        <w:jc w:val="both"/>
        <w:divId w:val="969553885"/>
        <w:rPr>
          <w:rFonts w:ascii="仿宋" w:eastAsia="仿宋" w:hAnsi="仿宋"/>
          <w:b/>
          <w:sz w:val="28"/>
          <w:szCs w:val="28"/>
        </w:rPr>
      </w:pPr>
      <w:r w:rsidRPr="00980BC4">
        <w:rPr>
          <w:rFonts w:ascii="仿宋" w:eastAsia="仿宋" w:hAnsi="仿宋"/>
          <w:b/>
          <w:sz w:val="28"/>
          <w:szCs w:val="28"/>
        </w:rPr>
        <w:t>上期金额</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73" w:type="dxa"/>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775"/>
        <w:gridCol w:w="741"/>
        <w:gridCol w:w="741"/>
        <w:gridCol w:w="741"/>
        <w:gridCol w:w="742"/>
        <w:gridCol w:w="741"/>
        <w:gridCol w:w="741"/>
        <w:gridCol w:w="741"/>
        <w:gridCol w:w="741"/>
        <w:gridCol w:w="741"/>
        <w:gridCol w:w="741"/>
        <w:gridCol w:w="741"/>
        <w:gridCol w:w="746"/>
      </w:tblGrid>
      <w:tr w:rsidR="00F67D6F" w:rsidRPr="00980BC4" w:rsidTr="00E47CDC">
        <w:trPr>
          <w:divId w:val="969553885"/>
          <w:trHeight w:val="240"/>
        </w:trPr>
        <w:tc>
          <w:tcPr>
            <w:tcW w:w="7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2021年度</w:t>
            </w:r>
          </w:p>
        </w:tc>
      </w:tr>
      <w:tr w:rsidR="00F67D6F" w:rsidRPr="00980BC4" w:rsidTr="00E47CDC">
        <w:trPr>
          <w:divId w:val="969553885"/>
          <w:trHeight w:val="240"/>
        </w:trPr>
        <w:tc>
          <w:tcPr>
            <w:tcW w:w="7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74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所有者权益合计</w:t>
            </w:r>
          </w:p>
        </w:tc>
      </w:tr>
      <w:tr w:rsidR="00F67D6F" w:rsidRPr="00980BC4" w:rsidTr="00E47CDC">
        <w:trPr>
          <w:divId w:val="969553885"/>
          <w:trHeight w:val="240"/>
        </w:trPr>
        <w:tc>
          <w:tcPr>
            <w:tcW w:w="7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永续债</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c>
          <w:tcPr>
            <w:tcW w:w="741" w:type="dxa"/>
            <w:vMerge/>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pPr>
          </w:p>
        </w:tc>
        <w:tc>
          <w:tcPr>
            <w:tcW w:w="74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line="280" w:lineRule="exact"/>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850,974,856.11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94,925,877.19</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378,755,853.93</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1,664,859,528.81</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850,974,856.11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94,925,877.19</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378,755,853.93</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1,664,859,528.81</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-1,369,128.17</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-20,711,372.81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-119,923,961.03</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-100,581,716.39</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-33,126,057.82</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-33,126,057.82</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-9,536,572.85</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-20,711,372.81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11,174,799.96</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1．所有者投入的普通股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11,174,799.96</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11,174,799.96</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-20,711,372.81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-20,711,372.81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-86,797,903.21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-86,797,903.21</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-86,797,903.21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-86,797,903.21</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1．资本公积转增资本（或股本）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t>（六）</w:t>
            </w:r>
            <w:r w:rsidRPr="00980BC4">
              <w:rPr>
                <w:rFonts w:ascii="宋体" w:eastAsia="宋体" w:hAnsi="宋体" w:cs="宋体"/>
                <w:sz w:val="18"/>
                <w:szCs w:val="18"/>
              </w:rPr>
              <w:lastRenderedPageBreak/>
              <w:t>其他</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8,167</w:t>
            </w:r>
            <w:r w:rsidRPr="00980BC4">
              <w:rPr>
                <w:rFonts w:ascii="宋体" w:eastAsia="宋体" w:hAnsi="宋体" w:cs="宋体"/>
                <w:sz w:val="18"/>
                <w:szCs w:val="18"/>
              </w:rPr>
              <w:lastRenderedPageBreak/>
              <w:t>,444.68</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8,167</w:t>
            </w:r>
            <w:r w:rsidRPr="00980BC4">
              <w:rPr>
                <w:rFonts w:ascii="宋体" w:eastAsia="宋体" w:hAnsi="宋体" w:cs="宋体"/>
                <w:sz w:val="18"/>
                <w:szCs w:val="18"/>
              </w:rPr>
              <w:lastRenderedPageBreak/>
              <w:t>,444.68</w:t>
            </w:r>
          </w:p>
        </w:tc>
      </w:tr>
      <w:tr w:rsidR="00F67D6F" w:rsidRPr="00980BC4" w:rsidTr="00E47CDC">
        <w:trPr>
          <w:divId w:val="969553885"/>
          <w:trHeight w:val="240"/>
        </w:trPr>
        <w:tc>
          <w:tcPr>
            <w:tcW w:w="7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E47CDC">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849,605,727.94</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74,214,504.38</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258,831,892.90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p>
        </w:tc>
        <w:tc>
          <w:tcPr>
            <w:tcW w:w="74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E47CDC">
            <w:pPr>
              <w:spacing w:line="280" w:lineRule="exact"/>
              <w:jc w:val="right"/>
              <w:rPr>
                <w:rFonts w:ascii="宋体" w:eastAsia="宋体" w:hAnsi="宋体" w:cs="宋体"/>
                <w:sz w:val="18"/>
                <w:szCs w:val="18"/>
              </w:rPr>
            </w:pPr>
            <w:r w:rsidRPr="00980BC4">
              <w:rPr>
                <w:rFonts w:ascii="宋体" w:eastAsia="宋体" w:hAnsi="宋体" w:cs="宋体"/>
                <w:sz w:val="18"/>
                <w:szCs w:val="18"/>
              </w:rPr>
              <w:t>1,564,277,812.42</w:t>
            </w:r>
          </w:p>
        </w:tc>
      </w:tr>
    </w:tbl>
    <w:p w:rsidR="00F67D6F" w:rsidRPr="00980BC4" w:rsidRDefault="00F67D6F" w:rsidP="00E47CDC">
      <w:pPr>
        <w:pStyle w:val="2"/>
        <w:spacing w:before="0" w:after="0" w:line="560" w:lineRule="exact"/>
        <w:ind w:firstLineChars="200" w:firstLine="562"/>
        <w:divId w:val="969553885"/>
        <w:rPr>
          <w:rFonts w:ascii="宋体" w:eastAsia="宋体" w:hAnsi="宋体" w:cs="宋体"/>
          <w:b/>
          <w:bCs/>
          <w:sz w:val="28"/>
          <w:szCs w:val="28"/>
        </w:rPr>
      </w:pPr>
      <w:bookmarkStart w:id="156" w:name="_Toc989045"/>
      <w:r w:rsidRPr="00980BC4">
        <w:rPr>
          <w:rFonts w:ascii="宋体" w:eastAsia="宋体" w:hAnsi="宋体" w:cs="宋体"/>
          <w:b/>
          <w:bCs/>
          <w:sz w:val="28"/>
          <w:szCs w:val="28"/>
        </w:rPr>
        <w:t>三、公司基本情况</w:t>
      </w:r>
      <w:bookmarkEnd w:id="156"/>
    </w:p>
    <w:p w:rsidR="00F67D6F" w:rsidRPr="00980BC4" w:rsidRDefault="00F67D6F" w:rsidP="00E47CDC">
      <w:pPr>
        <w:pStyle w:val="a3"/>
        <w:spacing w:before="0" w:beforeAutospacing="0" w:after="0" w:afterAutospacing="0" w:line="560" w:lineRule="exact"/>
        <w:ind w:firstLine="562"/>
        <w:jc w:val="both"/>
        <w:divId w:val="969553885"/>
      </w:pPr>
      <w:r w:rsidRPr="00980BC4">
        <w:rPr>
          <w:rStyle w:val="a4"/>
          <w:rFonts w:ascii="仿宋" w:eastAsia="仿宋" w:hAnsi="仿宋" w:hint="eastAsia"/>
          <w:sz w:val="28"/>
          <w:szCs w:val="28"/>
        </w:rPr>
        <w:t>1、公司概况</w:t>
      </w:r>
    </w:p>
    <w:p w:rsidR="00F67D6F" w:rsidRPr="00980BC4" w:rsidRDefault="00F67D6F" w:rsidP="00E47CDC">
      <w:pPr>
        <w:pStyle w:val="a3"/>
        <w:spacing w:before="0" w:beforeAutospacing="0" w:after="0" w:afterAutospacing="0" w:line="560" w:lineRule="exact"/>
        <w:ind w:firstLine="560"/>
        <w:jc w:val="both"/>
        <w:divId w:val="969553885"/>
      </w:pPr>
      <w:r w:rsidRPr="00980BC4">
        <w:rPr>
          <w:rFonts w:ascii="仿宋" w:eastAsia="仿宋" w:hAnsi="仿宋" w:hint="eastAsia"/>
          <w:sz w:val="28"/>
          <w:szCs w:val="28"/>
        </w:rPr>
        <w:t>广东甘化科工股份有限公司（以下简称</w:t>
      </w:r>
      <w:r w:rsidR="000019C9">
        <w:rPr>
          <w:rFonts w:ascii="仿宋" w:eastAsia="仿宋" w:hAnsi="仿宋" w:hint="eastAsia"/>
          <w:color w:val="000000"/>
          <w:sz w:val="28"/>
          <w:szCs w:val="28"/>
        </w:rPr>
        <w:t>甘化科工公司、</w:t>
      </w:r>
      <w:r w:rsidRPr="00980BC4">
        <w:rPr>
          <w:rFonts w:ascii="仿宋" w:eastAsia="仿宋" w:hAnsi="仿宋" w:hint="eastAsia"/>
          <w:sz w:val="28"/>
          <w:szCs w:val="28"/>
        </w:rPr>
        <w:t>本公司或公司），成立于1993年4月15日，在江门市市场监督管理局登记注册。现统一社会信用代码为91440700190357288E，注册资本人民币44,286.1324万元。公司总部的经营地址江门市蓬江区甘化路62号。法定代表人黄克。</w:t>
      </w:r>
    </w:p>
    <w:p w:rsidR="00F67D6F" w:rsidRPr="00980BC4" w:rsidRDefault="00F67D6F" w:rsidP="00E47CDC">
      <w:pPr>
        <w:pStyle w:val="a3"/>
        <w:spacing w:before="0" w:beforeAutospacing="0" w:after="0" w:afterAutospacing="0" w:line="560" w:lineRule="exact"/>
        <w:ind w:firstLine="560"/>
        <w:jc w:val="both"/>
        <w:divId w:val="969553885"/>
      </w:pPr>
      <w:r w:rsidRPr="00980BC4">
        <w:rPr>
          <w:rFonts w:ascii="仿宋" w:eastAsia="仿宋" w:hAnsi="仿宋" w:hint="eastAsia"/>
          <w:sz w:val="28"/>
          <w:szCs w:val="28"/>
        </w:rPr>
        <w:t>公司原名江门甘蔗化工厂（集团）股份有限公司，于2020年10月30日变更为广东甘化科工股份有限公司。</w:t>
      </w:r>
    </w:p>
    <w:p w:rsidR="00E47CDC" w:rsidRPr="00980BC4" w:rsidRDefault="00F67D6F" w:rsidP="00E47CDC">
      <w:pPr>
        <w:pStyle w:val="a3"/>
        <w:spacing w:before="0" w:beforeAutospacing="0" w:after="0" w:afterAutospacing="0" w:line="560" w:lineRule="exact"/>
        <w:ind w:firstLine="560"/>
        <w:jc w:val="both"/>
        <w:divId w:val="969553885"/>
        <w:rPr>
          <w:rFonts w:ascii="仿宋" w:eastAsia="仿宋" w:hAnsi="仿宋"/>
          <w:sz w:val="28"/>
          <w:szCs w:val="28"/>
        </w:rPr>
      </w:pPr>
      <w:r w:rsidRPr="00980BC4">
        <w:rPr>
          <w:rFonts w:ascii="仿宋" w:eastAsia="仿宋" w:hAnsi="仿宋" w:hint="eastAsia"/>
          <w:sz w:val="28"/>
          <w:szCs w:val="28"/>
        </w:rPr>
        <w:t>公司主要的经营活动为食糖贸易业务和电源及相关产品、高性能特种合金材料制品等军工产品的研发、生产、销售，公司自2022年5月起终止食糖贸易业务</w:t>
      </w:r>
      <w:r w:rsidR="00E47CDC" w:rsidRPr="00980BC4">
        <w:rPr>
          <w:rFonts w:ascii="仿宋" w:eastAsia="仿宋" w:hAnsi="仿宋" w:hint="eastAsia"/>
          <w:sz w:val="28"/>
          <w:szCs w:val="28"/>
        </w:rPr>
        <w:t>。</w:t>
      </w:r>
    </w:p>
    <w:p w:rsidR="00F67D6F" w:rsidRPr="00980BC4" w:rsidRDefault="00F67D6F" w:rsidP="00E47CDC">
      <w:pPr>
        <w:pStyle w:val="a3"/>
        <w:spacing w:before="0" w:beforeAutospacing="0" w:after="0" w:afterAutospacing="0" w:line="560" w:lineRule="exact"/>
        <w:ind w:firstLine="560"/>
        <w:jc w:val="both"/>
        <w:divId w:val="969553885"/>
      </w:pPr>
      <w:r w:rsidRPr="00980BC4">
        <w:rPr>
          <w:rFonts w:ascii="仿宋" w:eastAsia="仿宋" w:hAnsi="仿宋" w:hint="eastAsia"/>
          <w:sz w:val="28"/>
          <w:szCs w:val="28"/>
        </w:rPr>
        <w:t>财务报表批准报出日：本财务报表业经公司董事会于2023年4月6日决议批准报出。</w:t>
      </w:r>
    </w:p>
    <w:p w:rsidR="00F67D6F" w:rsidRPr="00980BC4" w:rsidRDefault="00F67D6F" w:rsidP="00E47CDC">
      <w:pPr>
        <w:pStyle w:val="a3"/>
        <w:spacing w:before="0" w:beforeAutospacing="0" w:after="0" w:afterAutospacing="0" w:line="560" w:lineRule="exact"/>
        <w:ind w:firstLine="703"/>
        <w:jc w:val="both"/>
        <w:divId w:val="969553885"/>
      </w:pPr>
      <w:r w:rsidRPr="00980BC4">
        <w:rPr>
          <w:rStyle w:val="a4"/>
          <w:rFonts w:ascii="仿宋" w:eastAsia="仿宋" w:hAnsi="仿宋" w:hint="eastAsia"/>
          <w:sz w:val="28"/>
          <w:szCs w:val="28"/>
        </w:rPr>
        <w:t>2、合并财务报表范围及变化</w:t>
      </w:r>
    </w:p>
    <w:p w:rsidR="00E47CDC" w:rsidRPr="00980BC4" w:rsidRDefault="00F67D6F" w:rsidP="00E47CDC">
      <w:pPr>
        <w:pStyle w:val="a3"/>
        <w:spacing w:before="0" w:beforeAutospacing="0" w:after="0" w:afterAutospacing="0" w:line="560" w:lineRule="exact"/>
        <w:ind w:firstLine="560"/>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1</w:t>
      </w:r>
      <w:r w:rsidRPr="00980BC4">
        <w:rPr>
          <w:rFonts w:ascii="仿宋" w:eastAsia="仿宋" w:hAnsi="仿宋" w:hint="eastAsia"/>
          <w:sz w:val="28"/>
          <w:szCs w:val="28"/>
        </w:rPr>
        <w:t>）本报告期末纳入合并范围的子公司</w:t>
      </w:r>
    </w:p>
    <w:p w:rsidR="00F67D6F" w:rsidRPr="00980BC4" w:rsidRDefault="00F67D6F" w:rsidP="00E47CDC">
      <w:pPr>
        <w:pStyle w:val="a3"/>
        <w:spacing w:before="0" w:beforeAutospacing="0" w:after="0" w:afterAutospacing="0" w:line="560" w:lineRule="exact"/>
        <w:ind w:firstLine="560"/>
        <w:jc w:val="both"/>
        <w:divId w:val="969553885"/>
        <w:rPr>
          <w:rFonts w:ascii="仿宋" w:eastAsia="仿宋" w:hAnsi="仿宋"/>
          <w:sz w:val="28"/>
          <w:szCs w:val="28"/>
        </w:rPr>
      </w:pPr>
      <w:r w:rsidRPr="00980BC4">
        <w:rPr>
          <w:rFonts w:ascii="仿宋" w:eastAsia="仿宋" w:hAnsi="仿宋" w:hint="eastAsia"/>
          <w:sz w:val="28"/>
          <w:szCs w:val="28"/>
        </w:rPr>
        <w:t>本期末纳入合并范围的子公司具体情况详见本附注</w:t>
      </w:r>
      <w:r w:rsidR="00E47CDC" w:rsidRPr="00980BC4">
        <w:rPr>
          <w:rFonts w:ascii="仿宋" w:eastAsia="仿宋" w:hAnsi="仿宋" w:hint="eastAsia"/>
          <w:sz w:val="28"/>
          <w:szCs w:val="28"/>
        </w:rPr>
        <w:t>九</w:t>
      </w:r>
      <w:r w:rsidRPr="00980BC4">
        <w:rPr>
          <w:rFonts w:ascii="仿宋" w:eastAsia="仿宋" w:hAnsi="仿宋"/>
          <w:sz w:val="28"/>
          <w:szCs w:val="28"/>
        </w:rPr>
        <w:t>“</w:t>
      </w:r>
      <w:r w:rsidRPr="00980BC4">
        <w:rPr>
          <w:rFonts w:ascii="仿宋" w:eastAsia="仿宋" w:hAnsi="仿宋" w:hint="eastAsia"/>
          <w:sz w:val="28"/>
          <w:szCs w:val="28"/>
        </w:rPr>
        <w:t>在其他主体中的权益</w:t>
      </w:r>
      <w:r w:rsidRPr="00980BC4">
        <w:rPr>
          <w:rFonts w:ascii="仿宋" w:eastAsia="仿宋" w:hAnsi="仿宋"/>
          <w:sz w:val="28"/>
          <w:szCs w:val="28"/>
        </w:rPr>
        <w:t>”</w:t>
      </w:r>
      <w:r w:rsidRPr="00980BC4">
        <w:rPr>
          <w:rFonts w:ascii="仿宋" w:eastAsia="仿宋" w:hAnsi="仿宋" w:hint="eastAsia"/>
          <w:sz w:val="28"/>
          <w:szCs w:val="28"/>
        </w:rPr>
        <w:t>。</w:t>
      </w:r>
    </w:p>
    <w:p w:rsidR="00F67D6F" w:rsidRPr="00980BC4" w:rsidRDefault="00F67D6F" w:rsidP="00E47CDC">
      <w:pPr>
        <w:pStyle w:val="a3"/>
        <w:spacing w:before="0" w:beforeAutospacing="0" w:after="0" w:afterAutospacing="0" w:line="560" w:lineRule="exact"/>
        <w:ind w:firstLine="560"/>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2</w:t>
      </w:r>
      <w:r w:rsidRPr="00980BC4">
        <w:rPr>
          <w:rFonts w:ascii="仿宋" w:eastAsia="仿宋" w:hAnsi="仿宋" w:hint="eastAsia"/>
          <w:sz w:val="28"/>
          <w:szCs w:val="28"/>
        </w:rPr>
        <w:t>）本报告期内合并财务报表范围变化</w:t>
      </w:r>
    </w:p>
    <w:p w:rsidR="00E47CDC" w:rsidRPr="00980BC4" w:rsidRDefault="00F67D6F" w:rsidP="00E47CDC">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本报告期内新增及减少子公司的具体情况详见本附注</w:t>
      </w:r>
      <w:r w:rsidR="00E47CDC" w:rsidRPr="00980BC4">
        <w:rPr>
          <w:rFonts w:ascii="仿宋" w:eastAsia="仿宋" w:hAnsi="仿宋" w:hint="eastAsia"/>
          <w:sz w:val="28"/>
          <w:szCs w:val="28"/>
        </w:rPr>
        <w:t>八</w:t>
      </w:r>
      <w:r w:rsidRPr="00980BC4">
        <w:rPr>
          <w:rFonts w:ascii="仿宋" w:eastAsia="仿宋" w:hAnsi="仿宋"/>
          <w:sz w:val="28"/>
          <w:szCs w:val="28"/>
        </w:rPr>
        <w:t>“</w:t>
      </w:r>
      <w:r w:rsidRPr="00980BC4">
        <w:rPr>
          <w:rFonts w:ascii="仿宋" w:eastAsia="仿宋" w:hAnsi="仿宋" w:hint="eastAsia"/>
          <w:sz w:val="28"/>
          <w:szCs w:val="28"/>
        </w:rPr>
        <w:t>合并范围的变更</w:t>
      </w:r>
      <w:r w:rsidRPr="00980BC4">
        <w:rPr>
          <w:rFonts w:ascii="仿宋" w:eastAsia="仿宋" w:hAnsi="仿宋"/>
          <w:sz w:val="28"/>
          <w:szCs w:val="28"/>
        </w:rPr>
        <w:t>”</w:t>
      </w:r>
      <w:r w:rsidRPr="00980BC4">
        <w:rPr>
          <w:rFonts w:ascii="仿宋" w:eastAsia="仿宋" w:hAnsi="仿宋" w:hint="eastAsia"/>
          <w:sz w:val="28"/>
          <w:szCs w:val="28"/>
        </w:rPr>
        <w:t>。</w:t>
      </w:r>
      <w:bookmarkStart w:id="157" w:name="_Toc989046"/>
    </w:p>
    <w:p w:rsidR="00E47CDC" w:rsidRPr="00980BC4" w:rsidRDefault="00F67D6F" w:rsidP="00E47CDC">
      <w:pPr>
        <w:pStyle w:val="a3"/>
        <w:widowControl w:val="0"/>
        <w:spacing w:before="0" w:beforeAutospacing="0" w:after="0" w:afterAutospacing="0" w:line="560" w:lineRule="exact"/>
        <w:ind w:firstLine="561"/>
        <w:jc w:val="both"/>
        <w:divId w:val="969553885"/>
        <w:rPr>
          <w:b/>
          <w:bCs/>
          <w:sz w:val="28"/>
          <w:szCs w:val="28"/>
        </w:rPr>
      </w:pPr>
      <w:r w:rsidRPr="00980BC4">
        <w:rPr>
          <w:b/>
          <w:bCs/>
          <w:sz w:val="28"/>
          <w:szCs w:val="28"/>
        </w:rPr>
        <w:t>四、财务报表的编制基础</w:t>
      </w:r>
      <w:bookmarkStart w:id="158" w:name="_Toc989047"/>
      <w:bookmarkEnd w:id="157"/>
    </w:p>
    <w:p w:rsidR="00F67D6F" w:rsidRPr="00980BC4" w:rsidRDefault="00F67D6F" w:rsidP="00E47CDC">
      <w:pPr>
        <w:pStyle w:val="a3"/>
        <w:spacing w:before="0" w:beforeAutospacing="0" w:after="0" w:afterAutospacing="0" w:line="560" w:lineRule="exact"/>
        <w:ind w:firstLine="703"/>
        <w:jc w:val="both"/>
        <w:divId w:val="969553885"/>
        <w:rPr>
          <w:rStyle w:val="a4"/>
          <w:rFonts w:ascii="仿宋" w:eastAsia="仿宋" w:hAnsi="仿宋"/>
          <w:bCs w:val="0"/>
          <w:sz w:val="28"/>
          <w:szCs w:val="28"/>
        </w:rPr>
      </w:pPr>
      <w:r w:rsidRPr="00980BC4">
        <w:rPr>
          <w:rStyle w:val="a4"/>
          <w:rFonts w:ascii="仿宋" w:eastAsia="仿宋" w:hAnsi="仿宋"/>
          <w:bCs w:val="0"/>
          <w:sz w:val="28"/>
          <w:szCs w:val="28"/>
        </w:rPr>
        <w:lastRenderedPageBreak/>
        <w:t>1、编制基础</w:t>
      </w:r>
      <w:bookmarkEnd w:id="158"/>
    </w:p>
    <w:p w:rsidR="00F67D6F" w:rsidRPr="00980BC4" w:rsidRDefault="00F67D6F" w:rsidP="00E47CDC">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本公司以持续经营为基础，根据实际发生的交易和事项，按照企业会计准则及其应用指南和准则解释的规定进行确认和计量，在此基础上编制财务报表。此外，本公司还按照中国证监会《公开发行证券的公司信息披露编报规则第</w:t>
      </w:r>
      <w:r w:rsidRPr="00980BC4">
        <w:rPr>
          <w:rFonts w:ascii="仿宋" w:eastAsia="仿宋" w:hAnsi="仿宋"/>
          <w:sz w:val="28"/>
          <w:szCs w:val="28"/>
        </w:rPr>
        <w:t>15</w:t>
      </w:r>
      <w:r w:rsidRPr="00980BC4">
        <w:rPr>
          <w:rFonts w:ascii="仿宋" w:eastAsia="仿宋" w:hAnsi="仿宋" w:hint="eastAsia"/>
          <w:sz w:val="28"/>
          <w:szCs w:val="28"/>
        </w:rPr>
        <w:t>号——财务报告的一般规定》（</w:t>
      </w:r>
      <w:r w:rsidRPr="00980BC4">
        <w:rPr>
          <w:rFonts w:ascii="仿宋" w:eastAsia="仿宋" w:hAnsi="仿宋"/>
          <w:sz w:val="28"/>
          <w:szCs w:val="28"/>
        </w:rPr>
        <w:t>2014</w:t>
      </w:r>
      <w:r w:rsidRPr="00980BC4">
        <w:rPr>
          <w:rFonts w:ascii="仿宋" w:eastAsia="仿宋" w:hAnsi="仿宋" w:hint="eastAsia"/>
          <w:sz w:val="28"/>
          <w:szCs w:val="28"/>
        </w:rPr>
        <w:t>年修订）披露有关财务信息。</w:t>
      </w:r>
    </w:p>
    <w:p w:rsidR="00F67D6F" w:rsidRPr="00980BC4" w:rsidRDefault="00F67D6F" w:rsidP="00E47CDC">
      <w:pPr>
        <w:pStyle w:val="a3"/>
        <w:spacing w:before="0" w:beforeAutospacing="0" w:after="0" w:afterAutospacing="0" w:line="560" w:lineRule="exact"/>
        <w:ind w:firstLine="561"/>
        <w:jc w:val="both"/>
        <w:divId w:val="969553885"/>
        <w:rPr>
          <w:rFonts w:ascii="仿宋" w:eastAsia="仿宋" w:hAnsi="仿宋"/>
          <w:b/>
          <w:sz w:val="28"/>
          <w:szCs w:val="28"/>
        </w:rPr>
      </w:pPr>
      <w:bookmarkStart w:id="159" w:name="_Toc989048"/>
      <w:r w:rsidRPr="00980BC4">
        <w:rPr>
          <w:rFonts w:ascii="仿宋" w:eastAsia="仿宋" w:hAnsi="仿宋"/>
          <w:b/>
          <w:sz w:val="28"/>
          <w:szCs w:val="28"/>
        </w:rPr>
        <w:t>2、持续经营</w:t>
      </w:r>
      <w:bookmarkEnd w:id="159"/>
    </w:p>
    <w:p w:rsidR="00F67D6F" w:rsidRPr="00980BC4" w:rsidRDefault="00F67D6F" w:rsidP="00E47CDC">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本公司对自报告期末起</w:t>
      </w:r>
      <w:r w:rsidRPr="00980BC4">
        <w:rPr>
          <w:rFonts w:ascii="仿宋" w:eastAsia="仿宋" w:hAnsi="仿宋"/>
          <w:sz w:val="28"/>
          <w:szCs w:val="28"/>
        </w:rPr>
        <w:t>12</w:t>
      </w:r>
      <w:r w:rsidRPr="00980BC4">
        <w:rPr>
          <w:rFonts w:ascii="仿宋" w:eastAsia="仿宋" w:hAnsi="仿宋" w:hint="eastAsia"/>
          <w:sz w:val="28"/>
          <w:szCs w:val="28"/>
        </w:rPr>
        <w:t>个月的持续经营能力进行了评估，未发现影响本公司持续经营能力的事项，本公司以持续经营为基础编制财务报表是合理的。</w:t>
      </w:r>
    </w:p>
    <w:p w:rsidR="00F67D6F" w:rsidRPr="00980BC4" w:rsidRDefault="00F67D6F" w:rsidP="00613490">
      <w:pPr>
        <w:pStyle w:val="a3"/>
        <w:widowControl w:val="0"/>
        <w:spacing w:before="0" w:beforeAutospacing="0" w:after="0" w:afterAutospacing="0" w:line="560" w:lineRule="exact"/>
        <w:ind w:firstLine="561"/>
        <w:jc w:val="both"/>
        <w:divId w:val="969553885"/>
        <w:rPr>
          <w:b/>
          <w:bCs/>
          <w:sz w:val="28"/>
          <w:szCs w:val="28"/>
        </w:rPr>
      </w:pPr>
      <w:bookmarkStart w:id="160" w:name="_Toc989049"/>
      <w:r w:rsidRPr="00980BC4">
        <w:rPr>
          <w:b/>
          <w:bCs/>
          <w:sz w:val="28"/>
          <w:szCs w:val="28"/>
        </w:rPr>
        <w:t>五、重要会计政策及会计估计</w:t>
      </w:r>
      <w:bookmarkEnd w:id="160"/>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b/>
          <w:sz w:val="28"/>
          <w:szCs w:val="28"/>
        </w:rPr>
      </w:pPr>
      <w:r w:rsidRPr="00980BC4">
        <w:rPr>
          <w:rFonts w:ascii="仿宋" w:eastAsia="仿宋" w:hAnsi="仿宋"/>
          <w:b/>
          <w:sz w:val="28"/>
          <w:szCs w:val="28"/>
        </w:rPr>
        <w:t>具体会计政策和会计估计提示：</w:t>
      </w:r>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本公司根据实际生产经营特点制定了具体的收入确认会计政策，见本节第</w:t>
      </w:r>
      <w:r w:rsidRPr="00980BC4">
        <w:rPr>
          <w:rFonts w:ascii="仿宋" w:eastAsia="仿宋" w:hAnsi="仿宋"/>
          <w:sz w:val="28"/>
          <w:szCs w:val="28"/>
        </w:rPr>
        <w:t>39</w:t>
      </w:r>
      <w:r w:rsidRPr="00980BC4">
        <w:rPr>
          <w:rFonts w:ascii="仿宋" w:eastAsia="仿宋" w:hAnsi="仿宋" w:hint="eastAsia"/>
          <w:sz w:val="28"/>
          <w:szCs w:val="28"/>
        </w:rPr>
        <w:t>、收入确认原则和计量方法。</w:t>
      </w:r>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本公司下列重要会计政策、会计估计根据企业会计准则制定。未提及的业务按企业会计准则中相关会计政策执行。</w:t>
      </w:r>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b/>
          <w:sz w:val="28"/>
          <w:szCs w:val="28"/>
        </w:rPr>
      </w:pPr>
      <w:bookmarkStart w:id="161" w:name="_Toc989050"/>
      <w:r w:rsidRPr="00980BC4">
        <w:rPr>
          <w:rFonts w:ascii="仿宋" w:eastAsia="仿宋" w:hAnsi="仿宋"/>
          <w:b/>
          <w:sz w:val="28"/>
          <w:szCs w:val="28"/>
        </w:rPr>
        <w:t>1、遵循企业会计准则的声明</w:t>
      </w:r>
      <w:bookmarkEnd w:id="161"/>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本公司所编制的财务报表符合企业会计准则的要求，真实、完整地反映了公司的财务状况、经营成果、所有者权益变动和现金流量等有关信息。</w:t>
      </w:r>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b/>
          <w:sz w:val="28"/>
          <w:szCs w:val="28"/>
        </w:rPr>
      </w:pPr>
      <w:bookmarkStart w:id="162" w:name="_Toc989051"/>
      <w:r w:rsidRPr="00980BC4">
        <w:rPr>
          <w:rFonts w:ascii="仿宋" w:eastAsia="仿宋" w:hAnsi="仿宋"/>
          <w:b/>
          <w:sz w:val="28"/>
          <w:szCs w:val="28"/>
        </w:rPr>
        <w:t>2、会计期间</w:t>
      </w:r>
      <w:bookmarkEnd w:id="162"/>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本公司会计年度自公历</w:t>
      </w:r>
      <w:r w:rsidRPr="00980BC4">
        <w:rPr>
          <w:rFonts w:ascii="仿宋" w:eastAsia="仿宋" w:hAnsi="仿宋"/>
          <w:sz w:val="28"/>
          <w:szCs w:val="28"/>
        </w:rPr>
        <w:t>1</w:t>
      </w:r>
      <w:r w:rsidRPr="00980BC4">
        <w:rPr>
          <w:rFonts w:ascii="仿宋" w:eastAsia="仿宋" w:hAnsi="仿宋" w:hint="eastAsia"/>
          <w:sz w:val="28"/>
          <w:szCs w:val="28"/>
        </w:rPr>
        <w:t>月</w:t>
      </w:r>
      <w:r w:rsidRPr="00980BC4">
        <w:rPr>
          <w:rFonts w:ascii="仿宋" w:eastAsia="仿宋" w:hAnsi="仿宋"/>
          <w:sz w:val="28"/>
          <w:szCs w:val="28"/>
        </w:rPr>
        <w:t>1</w:t>
      </w:r>
      <w:r w:rsidRPr="00980BC4">
        <w:rPr>
          <w:rFonts w:ascii="仿宋" w:eastAsia="仿宋" w:hAnsi="仿宋" w:hint="eastAsia"/>
          <w:sz w:val="28"/>
          <w:szCs w:val="28"/>
        </w:rPr>
        <w:t>日起至</w:t>
      </w:r>
      <w:r w:rsidRPr="00980BC4">
        <w:rPr>
          <w:rFonts w:ascii="仿宋" w:eastAsia="仿宋" w:hAnsi="仿宋"/>
          <w:sz w:val="28"/>
          <w:szCs w:val="28"/>
        </w:rPr>
        <w:t>12</w:t>
      </w:r>
      <w:r w:rsidRPr="00980BC4">
        <w:rPr>
          <w:rFonts w:ascii="仿宋" w:eastAsia="仿宋" w:hAnsi="仿宋" w:hint="eastAsia"/>
          <w:sz w:val="28"/>
          <w:szCs w:val="28"/>
        </w:rPr>
        <w:t>月</w:t>
      </w:r>
      <w:r w:rsidRPr="00980BC4">
        <w:rPr>
          <w:rFonts w:ascii="仿宋" w:eastAsia="仿宋" w:hAnsi="仿宋"/>
          <w:sz w:val="28"/>
          <w:szCs w:val="28"/>
        </w:rPr>
        <w:t>31</w:t>
      </w:r>
      <w:r w:rsidRPr="00980BC4">
        <w:rPr>
          <w:rFonts w:ascii="仿宋" w:eastAsia="仿宋" w:hAnsi="仿宋" w:hint="eastAsia"/>
          <w:sz w:val="28"/>
          <w:szCs w:val="28"/>
        </w:rPr>
        <w:t>日止。</w:t>
      </w:r>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b/>
          <w:sz w:val="28"/>
          <w:szCs w:val="28"/>
        </w:rPr>
      </w:pPr>
      <w:bookmarkStart w:id="163" w:name="_Toc989052"/>
      <w:r w:rsidRPr="00980BC4">
        <w:rPr>
          <w:rFonts w:ascii="仿宋" w:eastAsia="仿宋" w:hAnsi="仿宋"/>
          <w:b/>
          <w:sz w:val="28"/>
          <w:szCs w:val="28"/>
        </w:rPr>
        <w:t>3、营业周期</w:t>
      </w:r>
      <w:bookmarkEnd w:id="163"/>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本公司正常营业周期为一年。</w:t>
      </w:r>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b/>
          <w:sz w:val="28"/>
          <w:szCs w:val="28"/>
        </w:rPr>
      </w:pPr>
      <w:bookmarkStart w:id="164" w:name="_Toc989053"/>
      <w:r w:rsidRPr="00980BC4">
        <w:rPr>
          <w:rFonts w:ascii="仿宋" w:eastAsia="仿宋" w:hAnsi="仿宋"/>
          <w:b/>
          <w:sz w:val="28"/>
          <w:szCs w:val="28"/>
        </w:rPr>
        <w:t>4、记账本位币</w:t>
      </w:r>
      <w:bookmarkEnd w:id="164"/>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本公司的记账本位币为人民币。</w:t>
      </w:r>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sz w:val="28"/>
          <w:szCs w:val="28"/>
        </w:rPr>
      </w:pPr>
      <w:bookmarkStart w:id="165" w:name="_Toc989054"/>
      <w:r w:rsidRPr="00980BC4">
        <w:rPr>
          <w:rFonts w:ascii="仿宋" w:eastAsia="仿宋" w:hAnsi="仿宋"/>
          <w:sz w:val="28"/>
          <w:szCs w:val="28"/>
        </w:rPr>
        <w:lastRenderedPageBreak/>
        <w:t>5、同一控制下和非同一控制下企业合并的会计处理方法</w:t>
      </w:r>
      <w:bookmarkEnd w:id="165"/>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1</w:t>
      </w:r>
      <w:r w:rsidRPr="00980BC4">
        <w:rPr>
          <w:rFonts w:ascii="仿宋" w:eastAsia="仿宋" w:hAnsi="仿宋" w:hint="eastAsia"/>
          <w:b/>
          <w:bCs/>
          <w:sz w:val="28"/>
          <w:szCs w:val="28"/>
        </w:rPr>
        <w:t>）同一控制下的企业合并</w:t>
      </w:r>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本公司在企业合并中取得的资产和负债，在合并日按取得被合并方在最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F67D6F" w:rsidRPr="00980BC4" w:rsidRDefault="00F67D6F" w:rsidP="00613490">
      <w:pPr>
        <w:pStyle w:val="a3"/>
        <w:spacing w:before="0" w:beforeAutospacing="0" w:after="0" w:afterAutospacing="0" w:line="560" w:lineRule="exact"/>
        <w:ind w:firstLine="561"/>
        <w:jc w:val="both"/>
        <w:divId w:val="969553885"/>
        <w:rPr>
          <w:rFonts w:ascii="仿宋" w:eastAsia="仿宋" w:hAnsi="仿宋"/>
          <w:sz w:val="28"/>
          <w:szCs w:val="28"/>
        </w:rPr>
      </w:pPr>
      <w:r w:rsidRPr="00980BC4">
        <w:rPr>
          <w:rFonts w:ascii="仿宋" w:eastAsia="仿宋" w:hAnsi="仿宋" w:hint="eastAsia"/>
          <w:sz w:val="28"/>
          <w:szCs w:val="28"/>
        </w:rPr>
        <w:t>通过分步交易实现同一控制下企业合并的会计处理方法见附注五、</w:t>
      </w:r>
      <w:r w:rsidRPr="00980BC4">
        <w:rPr>
          <w:rFonts w:ascii="仿宋" w:eastAsia="仿宋" w:hAnsi="仿宋"/>
          <w:sz w:val="28"/>
          <w:szCs w:val="28"/>
        </w:rPr>
        <w:t>6</w:t>
      </w:r>
      <w:r w:rsidRPr="00980BC4">
        <w:rPr>
          <w:rFonts w:ascii="仿宋" w:eastAsia="仿宋" w:hAnsi="仿宋" w:hint="eastAsia"/>
          <w:sz w:val="28"/>
          <w:szCs w:val="28"/>
        </w:rPr>
        <w:t>（</w:t>
      </w:r>
      <w:r w:rsidRPr="00980BC4">
        <w:rPr>
          <w:rFonts w:ascii="仿宋" w:eastAsia="仿宋" w:hAnsi="仿宋"/>
          <w:sz w:val="28"/>
          <w:szCs w:val="28"/>
        </w:rPr>
        <w:t>6</w:t>
      </w:r>
      <w:r w:rsidRPr="00980BC4">
        <w:rPr>
          <w:rFonts w:ascii="仿宋" w:eastAsia="仿宋" w:hAnsi="仿宋" w:hint="eastAsia"/>
          <w:sz w:val="28"/>
          <w:szCs w:val="28"/>
        </w:rPr>
        <w:t>）。</w:t>
      </w:r>
    </w:p>
    <w:p w:rsidR="00F67D6F" w:rsidRPr="00980BC4" w:rsidRDefault="00F67D6F" w:rsidP="00613490">
      <w:pPr>
        <w:pStyle w:val="a3"/>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）非同一控制下的企业合并</w:t>
      </w:r>
    </w:p>
    <w:p w:rsidR="00F67D6F" w:rsidRPr="00980BC4" w:rsidRDefault="00F67D6F" w:rsidP="00613490">
      <w:pPr>
        <w:pStyle w:val="a3"/>
        <w:spacing w:before="0" w:beforeAutospacing="0" w:after="0" w:afterAutospacing="0" w:line="560" w:lineRule="exact"/>
        <w:ind w:firstLine="480"/>
        <w:jc w:val="both"/>
        <w:divId w:val="969553885"/>
        <w:rPr>
          <w:rFonts w:ascii="仿宋" w:eastAsia="仿宋" w:hAnsi="仿宋"/>
          <w:sz w:val="28"/>
          <w:szCs w:val="28"/>
        </w:rPr>
      </w:pPr>
      <w:r w:rsidRPr="00980BC4">
        <w:rPr>
          <w:rFonts w:ascii="仿宋" w:eastAsia="仿宋" w:hAnsi="仿宋" w:hint="eastAsia"/>
          <w:sz w:val="28"/>
          <w:szCs w:val="28"/>
        </w:rPr>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F67D6F" w:rsidRPr="00980BC4" w:rsidRDefault="00F67D6F" w:rsidP="00613490">
      <w:pPr>
        <w:pStyle w:val="a3"/>
        <w:spacing w:before="0" w:beforeAutospacing="0" w:after="0" w:afterAutospacing="0" w:line="560" w:lineRule="exact"/>
        <w:ind w:firstLine="480"/>
        <w:jc w:val="both"/>
        <w:divId w:val="969553885"/>
        <w:rPr>
          <w:rFonts w:ascii="仿宋" w:eastAsia="仿宋" w:hAnsi="仿宋"/>
          <w:sz w:val="28"/>
          <w:szCs w:val="28"/>
        </w:rPr>
      </w:pPr>
      <w:r w:rsidRPr="00980BC4">
        <w:rPr>
          <w:rFonts w:ascii="仿宋" w:eastAsia="仿宋" w:hAnsi="仿宋" w:hint="eastAsia"/>
          <w:sz w:val="28"/>
          <w:szCs w:val="28"/>
        </w:rPr>
        <w:t>通过分步交易实现非同一控制下企业合并的会计处理方法见附注五、</w:t>
      </w:r>
      <w:r w:rsidRPr="00980BC4">
        <w:rPr>
          <w:rFonts w:ascii="仿宋" w:eastAsia="仿宋" w:hAnsi="仿宋"/>
          <w:sz w:val="28"/>
          <w:szCs w:val="28"/>
        </w:rPr>
        <w:t>6</w:t>
      </w:r>
      <w:r w:rsidRPr="00980BC4">
        <w:rPr>
          <w:rFonts w:ascii="仿宋" w:eastAsia="仿宋" w:hAnsi="仿宋" w:hint="eastAsia"/>
          <w:sz w:val="28"/>
          <w:szCs w:val="28"/>
        </w:rPr>
        <w:t>（</w:t>
      </w:r>
      <w:r w:rsidRPr="00980BC4">
        <w:rPr>
          <w:rFonts w:ascii="仿宋" w:eastAsia="仿宋" w:hAnsi="仿宋"/>
          <w:sz w:val="28"/>
          <w:szCs w:val="28"/>
        </w:rPr>
        <w:t>6</w:t>
      </w:r>
      <w:r w:rsidRPr="00980BC4">
        <w:rPr>
          <w:rFonts w:ascii="仿宋" w:eastAsia="仿宋" w:hAnsi="仿宋" w:hint="eastAsia"/>
          <w:sz w:val="28"/>
          <w:szCs w:val="28"/>
        </w:rPr>
        <w:t>）。</w:t>
      </w:r>
    </w:p>
    <w:p w:rsidR="00613490"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b/>
          <w:bCs/>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3</w:t>
      </w:r>
      <w:r w:rsidRPr="00980BC4">
        <w:rPr>
          <w:rFonts w:ascii="仿宋" w:eastAsia="仿宋" w:hAnsi="仿宋" w:hint="eastAsia"/>
          <w:b/>
          <w:bCs/>
          <w:sz w:val="28"/>
          <w:szCs w:val="28"/>
        </w:rPr>
        <w:t>）企业合并中有关交易费用的处理</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lastRenderedPageBreak/>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b/>
          <w:bCs/>
          <w:sz w:val="28"/>
          <w:szCs w:val="28"/>
        </w:rPr>
      </w:pPr>
      <w:bookmarkStart w:id="166" w:name="_Toc989055"/>
      <w:r w:rsidRPr="00980BC4">
        <w:rPr>
          <w:rFonts w:ascii="仿宋" w:eastAsia="仿宋" w:hAnsi="仿宋"/>
          <w:b/>
          <w:bCs/>
          <w:sz w:val="28"/>
          <w:szCs w:val="28"/>
        </w:rPr>
        <w:t>6、合并财务报表的编制方法</w:t>
      </w:r>
      <w:bookmarkEnd w:id="166"/>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b/>
          <w:bCs/>
          <w:sz w:val="28"/>
          <w:szCs w:val="28"/>
        </w:rPr>
      </w:pPr>
      <w:r w:rsidRPr="00980BC4">
        <w:rPr>
          <w:rFonts w:ascii="仿宋" w:eastAsia="仿宋" w:hAnsi="仿宋" w:hint="eastAsia"/>
          <w:b/>
          <w:sz w:val="28"/>
          <w:szCs w:val="28"/>
        </w:rPr>
        <w:t>（</w:t>
      </w:r>
      <w:r w:rsidRPr="00980BC4">
        <w:rPr>
          <w:rFonts w:ascii="仿宋" w:eastAsia="仿宋" w:hAnsi="仿宋"/>
          <w:b/>
          <w:sz w:val="28"/>
          <w:szCs w:val="28"/>
        </w:rPr>
        <w:t>1</w:t>
      </w:r>
      <w:r w:rsidRPr="00980BC4">
        <w:rPr>
          <w:rFonts w:ascii="仿宋" w:eastAsia="仿宋" w:hAnsi="仿宋" w:hint="eastAsia"/>
          <w:b/>
          <w:sz w:val="28"/>
          <w:szCs w:val="28"/>
        </w:rPr>
        <w:t>）合并范围的确定</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合并财务报表的合并范围以控制为基础予以确定</w:t>
      </w:r>
      <w:r w:rsidRPr="00980BC4">
        <w:rPr>
          <w:rFonts w:ascii="仿宋" w:eastAsia="仿宋" w:hAnsi="仿宋"/>
          <w:sz w:val="28"/>
          <w:szCs w:val="28"/>
        </w:rPr>
        <w:t xml:space="preserve">, </w:t>
      </w:r>
      <w:r w:rsidRPr="00980BC4">
        <w:rPr>
          <w:rFonts w:ascii="仿宋" w:eastAsia="仿宋" w:hAnsi="仿宋" w:hint="eastAsia"/>
          <w:sz w:val="28"/>
          <w:szCs w:val="28"/>
        </w:rPr>
        <w:t>不仅包括根据表决权（或类似表决权）本身或者结合其他安排确定的子公司，也包括基于一项或多项合同安排决定的结构化主体。</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）关于母公司是投资性主体的特殊规定</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当母公司同时满足下列条件时，该母公司属于投资性主体：</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①该公司是以向投资方提供投资管理服务为目的，从一个或多个投资者处获取资金。</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②该公司的唯一经营目的，是通过资本增值、投资收益或两者兼有而让投资者获得回报。</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③该公司按照公允价值对几乎所有投资的业绩进行考量和评价。</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lastRenderedPageBreak/>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当母公司由投资性主体转变为非投资性主体时，应将原未纳入合并财务报表范围的子公司于转变日纳入合并财务报表范围，原未纳入合并财务报表范围的子公司在转变日的公允价值视同为购买的交易对价，按照非同一控制下企业合并的会计处理方法进行处理。</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3</w:t>
      </w:r>
      <w:r w:rsidRPr="00980BC4">
        <w:rPr>
          <w:rFonts w:ascii="仿宋" w:eastAsia="仿宋" w:hAnsi="仿宋" w:hint="eastAsia"/>
          <w:b/>
          <w:bCs/>
          <w:sz w:val="28"/>
          <w:szCs w:val="28"/>
        </w:rPr>
        <w:t>）合并财务报表的编制方法</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本公司以自身和子公司的财务报表为基础，根据其他有关资料，编制合并财务报表。</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本公司编制合并财务报表，将整个企业集团视为一个会计主体，依据相关企业会计准则的确认、计量和列报要求，按照统一的会计政策和会计期间，反映企业集团整体财务状况、经营成果和现金流量。</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①合并母公司与子公司的资产、负债、所有者权益、收入、费用和现金流等项目。</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②抵销母公司对子公司的长期股权投资与母公司在子公司所有者权益中所享有的份额。</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③抵销母公司与子公司、子公司相互之间发生的内部交易的影响。内部交易表明相关资产发生减值损失的，应当全额确认该部分损失。</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④站在企业集团角度对特殊交易事项予以调整。</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4</w:t>
      </w:r>
      <w:r w:rsidRPr="00980BC4">
        <w:rPr>
          <w:rFonts w:ascii="仿宋" w:eastAsia="仿宋" w:hAnsi="仿宋" w:hint="eastAsia"/>
          <w:b/>
          <w:bCs/>
          <w:sz w:val="28"/>
          <w:szCs w:val="28"/>
        </w:rPr>
        <w:t>）报告期内增减子公司的处理</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①增加子公司或业务</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同一控制下企业合并增加的子公司或业务</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lastRenderedPageBreak/>
        <w:t>（</w:t>
      </w:r>
      <w:r w:rsidRPr="00980BC4">
        <w:rPr>
          <w:rFonts w:ascii="仿宋" w:eastAsia="仿宋" w:hAnsi="仿宋"/>
          <w:sz w:val="28"/>
          <w:szCs w:val="28"/>
        </w:rPr>
        <w:t>a</w:t>
      </w:r>
      <w:r w:rsidRPr="00980BC4">
        <w:rPr>
          <w:rFonts w:ascii="仿宋" w:eastAsia="仿宋" w:hAnsi="仿宋" w:hint="eastAsia"/>
          <w:sz w:val="28"/>
          <w:szCs w:val="28"/>
        </w:rPr>
        <w:t>）编制合并资产负债表时，调整合并资产负债表的期初数，同时对比较报表的相关项目进行调整，视同合并后的报告主体自最终控制方开始控制时点起一直存在。</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b</w:t>
      </w:r>
      <w:r w:rsidRPr="00980BC4">
        <w:rPr>
          <w:rFonts w:ascii="仿宋" w:eastAsia="仿宋" w:hAnsi="仿宋" w:hint="eastAsia"/>
          <w:sz w:val="28"/>
          <w:szCs w:val="28"/>
        </w:rPr>
        <w:t>）编制合并利润表时，将该子公司以及业务合并当期期初至报告期末的收入、费用、利润纳入合并利润表，同时对比较报表的相关项目进行调整，视同合并后的报告主体自最终控制方开始控制时点起一直存在。</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c</w:t>
      </w:r>
      <w:r w:rsidRPr="00980BC4">
        <w:rPr>
          <w:rFonts w:ascii="仿宋" w:eastAsia="仿宋" w:hAnsi="仿宋" w:hint="eastAsia"/>
          <w:sz w:val="28"/>
          <w:szCs w:val="28"/>
        </w:rPr>
        <w:t>）编制合并现金流量表时，将该子公司以及业务合并当期期初至报告期末的现金流量纳入合并现金流量表，同时对比较报表的相关项目进行调整，视同合并后的报告主体自最终控制方开始控制时点起一直存在。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非同一控制下企业合并增加的子公司或业务</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a</w:t>
      </w:r>
      <w:r w:rsidRPr="00980BC4">
        <w:rPr>
          <w:rFonts w:ascii="仿宋" w:eastAsia="仿宋" w:hAnsi="仿宋" w:hint="eastAsia"/>
          <w:sz w:val="28"/>
          <w:szCs w:val="28"/>
        </w:rPr>
        <w:t>）编制合并资产负债表时，不调整合并资产负债表的期初数。</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b</w:t>
      </w:r>
      <w:r w:rsidRPr="00980BC4">
        <w:rPr>
          <w:rFonts w:ascii="仿宋" w:eastAsia="仿宋" w:hAnsi="仿宋" w:hint="eastAsia"/>
          <w:sz w:val="28"/>
          <w:szCs w:val="28"/>
        </w:rPr>
        <w:t>）编制合并利润表时，将该子公司以及业务购买日至报告期末的收入、费用、利润纳入合并利润表。</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c</w:t>
      </w:r>
      <w:r w:rsidRPr="00980BC4">
        <w:rPr>
          <w:rFonts w:ascii="仿宋" w:eastAsia="仿宋" w:hAnsi="仿宋" w:hint="eastAsia"/>
          <w:sz w:val="28"/>
          <w:szCs w:val="28"/>
        </w:rPr>
        <w:t>）编制合并现金流量表时，将该子公司购买日至报告期末的现金流量纳入合并现金流量表。</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②处置子公司或业务</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编制合并资产负债表时，不调整合并资产负债表的期初数。</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编制合并利润表时，将该子公司以及业务期初至处置日的收入、费用、利润纳入合并利润表。</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C.</w:t>
      </w:r>
      <w:r w:rsidRPr="00980BC4">
        <w:rPr>
          <w:rFonts w:ascii="仿宋" w:eastAsia="仿宋" w:hAnsi="仿宋" w:hint="eastAsia"/>
          <w:sz w:val="28"/>
          <w:szCs w:val="28"/>
        </w:rPr>
        <w:t>编制合并现金流量表时将该子公司以及业务期初至处置日的现金流量纳入合并现金流量表。</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5</w:t>
      </w:r>
      <w:r w:rsidRPr="00980BC4">
        <w:rPr>
          <w:rFonts w:ascii="仿宋" w:eastAsia="仿宋" w:hAnsi="仿宋" w:hint="eastAsia"/>
          <w:b/>
          <w:bCs/>
          <w:sz w:val="28"/>
          <w:szCs w:val="28"/>
        </w:rPr>
        <w:t>）合并抵销中的特殊考虑</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①子公司持有本公司的长期股权投资，应当视为本公司的库存股，作为所有者权益的减项，在合并资产负债表中所有者权益项目下以</w:t>
      </w:r>
      <w:r w:rsidRPr="00980BC4">
        <w:rPr>
          <w:rFonts w:ascii="仿宋" w:eastAsia="仿宋" w:hAnsi="仿宋"/>
          <w:sz w:val="28"/>
          <w:szCs w:val="28"/>
        </w:rPr>
        <w:t>“</w:t>
      </w:r>
      <w:r w:rsidRPr="00980BC4">
        <w:rPr>
          <w:rFonts w:ascii="仿宋" w:eastAsia="仿宋" w:hAnsi="仿宋" w:hint="eastAsia"/>
          <w:sz w:val="28"/>
          <w:szCs w:val="28"/>
        </w:rPr>
        <w:t>减：库存股</w:t>
      </w:r>
      <w:r w:rsidRPr="00980BC4">
        <w:rPr>
          <w:rFonts w:ascii="仿宋" w:eastAsia="仿宋" w:hAnsi="仿宋"/>
          <w:sz w:val="28"/>
          <w:szCs w:val="28"/>
        </w:rPr>
        <w:t>”</w:t>
      </w:r>
      <w:r w:rsidRPr="00980BC4">
        <w:rPr>
          <w:rFonts w:ascii="仿宋" w:eastAsia="仿宋" w:hAnsi="仿宋" w:hint="eastAsia"/>
          <w:sz w:val="28"/>
          <w:szCs w:val="28"/>
        </w:rPr>
        <w:lastRenderedPageBreak/>
        <w:t>项目列示。</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子公司相互之间持有的长期股权投资，比照本公司对子公司的股权投资的抵销方法，将长期股权投资与其对应的子公司所有者权益中所享有的份额相互抵销。</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w:t>
      </w:r>
      <w:r w:rsidRPr="00980BC4">
        <w:rPr>
          <w:rFonts w:ascii="仿宋" w:eastAsia="仿宋" w:hAnsi="仿宋"/>
          <w:sz w:val="28"/>
          <w:szCs w:val="28"/>
        </w:rPr>
        <w:t>“</w:t>
      </w:r>
      <w:r w:rsidRPr="00980BC4">
        <w:rPr>
          <w:rFonts w:ascii="仿宋" w:eastAsia="仿宋" w:hAnsi="仿宋" w:hint="eastAsia"/>
          <w:sz w:val="28"/>
          <w:szCs w:val="28"/>
        </w:rPr>
        <w:t>专项储备</w:t>
      </w:r>
      <w:r w:rsidRPr="00980BC4">
        <w:rPr>
          <w:rFonts w:ascii="仿宋" w:eastAsia="仿宋" w:hAnsi="仿宋"/>
          <w:sz w:val="28"/>
          <w:szCs w:val="28"/>
        </w:rPr>
        <w:t>”</w:t>
      </w:r>
      <w:r w:rsidRPr="00980BC4">
        <w:rPr>
          <w:rFonts w:ascii="仿宋" w:eastAsia="仿宋" w:hAnsi="仿宋" w:hint="eastAsia"/>
          <w:sz w:val="28"/>
          <w:szCs w:val="28"/>
        </w:rPr>
        <w:t>和</w:t>
      </w:r>
      <w:r w:rsidRPr="00980BC4">
        <w:rPr>
          <w:rFonts w:ascii="仿宋" w:eastAsia="仿宋" w:hAnsi="仿宋"/>
          <w:sz w:val="28"/>
          <w:szCs w:val="28"/>
        </w:rPr>
        <w:t>“</w:t>
      </w:r>
      <w:r w:rsidRPr="00980BC4">
        <w:rPr>
          <w:rFonts w:ascii="仿宋" w:eastAsia="仿宋" w:hAnsi="仿宋" w:hint="eastAsia"/>
          <w:sz w:val="28"/>
          <w:szCs w:val="28"/>
        </w:rPr>
        <w:t>一般风险准备</w:t>
      </w:r>
      <w:r w:rsidRPr="00980BC4">
        <w:rPr>
          <w:rFonts w:ascii="仿宋" w:eastAsia="仿宋" w:hAnsi="仿宋"/>
          <w:sz w:val="28"/>
          <w:szCs w:val="28"/>
        </w:rPr>
        <w:t>”</w:t>
      </w:r>
      <w:r w:rsidRPr="00980BC4">
        <w:rPr>
          <w:rFonts w:ascii="仿宋" w:eastAsia="仿宋" w:hAnsi="仿宋" w:hint="eastAsia"/>
          <w:sz w:val="28"/>
          <w:szCs w:val="28"/>
        </w:rPr>
        <w:t>项目由于既不属于实收资本（或股本）、资本公积，也与留存收益、未分配利润不同，在长期股权投资与子公司所有者权益相互抵销后，按归属于母公司所有者的份额予以恢复。</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④本公司向子公司出售资产所发生的未实现内部交易损益，应当全额抵销</w:t>
      </w:r>
      <w:r w:rsidRPr="00980BC4">
        <w:rPr>
          <w:rFonts w:ascii="仿宋" w:eastAsia="仿宋" w:hAnsi="仿宋"/>
          <w:sz w:val="28"/>
          <w:szCs w:val="28"/>
        </w:rPr>
        <w:t>“</w:t>
      </w:r>
      <w:r w:rsidRPr="00980BC4">
        <w:rPr>
          <w:rFonts w:ascii="仿宋" w:eastAsia="仿宋" w:hAnsi="仿宋" w:hint="eastAsia"/>
          <w:sz w:val="28"/>
          <w:szCs w:val="28"/>
        </w:rPr>
        <w:t>归属于母公司所有者的净利润</w:t>
      </w:r>
      <w:r w:rsidRPr="00980BC4">
        <w:rPr>
          <w:rFonts w:ascii="仿宋" w:eastAsia="仿宋" w:hAnsi="仿宋"/>
          <w:sz w:val="28"/>
          <w:szCs w:val="28"/>
        </w:rPr>
        <w:t>”</w:t>
      </w:r>
      <w:r w:rsidRPr="00980BC4">
        <w:rPr>
          <w:rFonts w:ascii="仿宋" w:eastAsia="仿宋" w:hAnsi="仿宋" w:hint="eastAsia"/>
          <w:sz w:val="28"/>
          <w:szCs w:val="28"/>
        </w:rPr>
        <w:t>。子公司向本公司出售资产所发生的未实现内部交易损益，应当按照本公司对该子公司的分配比例在</w:t>
      </w:r>
      <w:r w:rsidRPr="00980BC4">
        <w:rPr>
          <w:rFonts w:ascii="仿宋" w:eastAsia="仿宋" w:hAnsi="仿宋"/>
          <w:sz w:val="28"/>
          <w:szCs w:val="28"/>
        </w:rPr>
        <w:t>“</w:t>
      </w:r>
      <w:r w:rsidRPr="00980BC4">
        <w:rPr>
          <w:rFonts w:ascii="仿宋" w:eastAsia="仿宋" w:hAnsi="仿宋" w:hint="eastAsia"/>
          <w:sz w:val="28"/>
          <w:szCs w:val="28"/>
        </w:rPr>
        <w:t>归属于母公司所有者的净利润</w:t>
      </w:r>
      <w:r w:rsidRPr="00980BC4">
        <w:rPr>
          <w:rFonts w:ascii="仿宋" w:eastAsia="仿宋" w:hAnsi="仿宋"/>
          <w:sz w:val="28"/>
          <w:szCs w:val="28"/>
        </w:rPr>
        <w:t>”</w:t>
      </w:r>
      <w:r w:rsidRPr="00980BC4">
        <w:rPr>
          <w:rFonts w:ascii="仿宋" w:eastAsia="仿宋" w:hAnsi="仿宋" w:hint="eastAsia"/>
          <w:sz w:val="28"/>
          <w:szCs w:val="28"/>
        </w:rPr>
        <w:t>和</w:t>
      </w:r>
      <w:r w:rsidRPr="00980BC4">
        <w:rPr>
          <w:rFonts w:ascii="仿宋" w:eastAsia="仿宋" w:hAnsi="仿宋"/>
          <w:sz w:val="28"/>
          <w:szCs w:val="28"/>
        </w:rPr>
        <w:t>“</w:t>
      </w:r>
      <w:r w:rsidRPr="00980BC4">
        <w:rPr>
          <w:rFonts w:ascii="仿宋" w:eastAsia="仿宋" w:hAnsi="仿宋" w:hint="eastAsia"/>
          <w:sz w:val="28"/>
          <w:szCs w:val="28"/>
        </w:rPr>
        <w:t>少数股东损益</w:t>
      </w:r>
      <w:r w:rsidRPr="00980BC4">
        <w:rPr>
          <w:rFonts w:ascii="仿宋" w:eastAsia="仿宋" w:hAnsi="仿宋"/>
          <w:sz w:val="28"/>
          <w:szCs w:val="28"/>
        </w:rPr>
        <w:t>”</w:t>
      </w:r>
      <w:r w:rsidRPr="00980BC4">
        <w:rPr>
          <w:rFonts w:ascii="仿宋" w:eastAsia="仿宋" w:hAnsi="仿宋" w:hint="eastAsia"/>
          <w:sz w:val="28"/>
          <w:szCs w:val="28"/>
        </w:rPr>
        <w:t>之间分配抵销。子公司之间出售资产所发生的未实现内部交易损益，应当按照本公司对出售方子公司的分配比例在</w:t>
      </w:r>
      <w:r w:rsidRPr="00980BC4">
        <w:rPr>
          <w:rFonts w:ascii="仿宋" w:eastAsia="仿宋" w:hAnsi="仿宋"/>
          <w:sz w:val="28"/>
          <w:szCs w:val="28"/>
        </w:rPr>
        <w:t>“</w:t>
      </w:r>
      <w:r w:rsidRPr="00980BC4">
        <w:rPr>
          <w:rFonts w:ascii="仿宋" w:eastAsia="仿宋" w:hAnsi="仿宋" w:hint="eastAsia"/>
          <w:sz w:val="28"/>
          <w:szCs w:val="28"/>
        </w:rPr>
        <w:t>归属于母公司所有者的净利润</w:t>
      </w:r>
      <w:r w:rsidRPr="00980BC4">
        <w:rPr>
          <w:rFonts w:ascii="仿宋" w:eastAsia="仿宋" w:hAnsi="仿宋"/>
          <w:sz w:val="28"/>
          <w:szCs w:val="28"/>
        </w:rPr>
        <w:t>”</w:t>
      </w:r>
      <w:r w:rsidRPr="00980BC4">
        <w:rPr>
          <w:rFonts w:ascii="仿宋" w:eastAsia="仿宋" w:hAnsi="仿宋" w:hint="eastAsia"/>
          <w:sz w:val="28"/>
          <w:szCs w:val="28"/>
        </w:rPr>
        <w:t>和</w:t>
      </w:r>
      <w:r w:rsidRPr="00980BC4">
        <w:rPr>
          <w:rFonts w:ascii="仿宋" w:eastAsia="仿宋" w:hAnsi="仿宋"/>
          <w:sz w:val="28"/>
          <w:szCs w:val="28"/>
        </w:rPr>
        <w:t>“</w:t>
      </w:r>
      <w:r w:rsidRPr="00980BC4">
        <w:rPr>
          <w:rFonts w:ascii="仿宋" w:eastAsia="仿宋" w:hAnsi="仿宋" w:hint="eastAsia"/>
          <w:sz w:val="28"/>
          <w:szCs w:val="28"/>
        </w:rPr>
        <w:t>少数股东损益</w:t>
      </w:r>
      <w:r w:rsidRPr="00980BC4">
        <w:rPr>
          <w:rFonts w:ascii="仿宋" w:eastAsia="仿宋" w:hAnsi="仿宋"/>
          <w:sz w:val="28"/>
          <w:szCs w:val="28"/>
        </w:rPr>
        <w:t>”</w:t>
      </w:r>
      <w:r w:rsidRPr="00980BC4">
        <w:rPr>
          <w:rFonts w:ascii="仿宋" w:eastAsia="仿宋" w:hAnsi="仿宋" w:hint="eastAsia"/>
          <w:sz w:val="28"/>
          <w:szCs w:val="28"/>
        </w:rPr>
        <w:t>之间分配抵销。</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⑤子公司少数股东分担的当期亏损超过了少数股东在该子公司期初所有者权益中所享有的份额的，其余额仍应当冲减少数股东权益。</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6</w:t>
      </w:r>
      <w:r w:rsidRPr="00980BC4">
        <w:rPr>
          <w:rFonts w:ascii="仿宋" w:eastAsia="仿宋" w:hAnsi="仿宋" w:hint="eastAsia"/>
          <w:b/>
          <w:bCs/>
          <w:sz w:val="28"/>
          <w:szCs w:val="28"/>
        </w:rPr>
        <w:t>）特殊交易的会计处理</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①购买少数股东股权</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本公司购买子公司少数股东拥有的子公司股权，在个别财务报表中，购买少数股权新取得的长期股权投资的投资成本按照所支付对价的公允价值计量。</w:t>
      </w:r>
      <w:r w:rsidRPr="00980BC4">
        <w:rPr>
          <w:rFonts w:ascii="仿宋" w:eastAsia="仿宋" w:hAnsi="仿宋" w:hint="eastAsia"/>
          <w:sz w:val="28"/>
          <w:szCs w:val="28"/>
        </w:rPr>
        <w:lastRenderedPageBreak/>
        <w:t>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②通过多次交易分步取得子公司控制权的</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通过多次交易分步实现同一控制下企业合并</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w:t>
      </w:r>
      <w:r w:rsidRPr="00980BC4">
        <w:rPr>
          <w:rFonts w:ascii="仿宋" w:eastAsia="仿宋" w:hAnsi="仿宋"/>
          <w:sz w:val="28"/>
          <w:szCs w:val="28"/>
        </w:rPr>
        <w:t>/</w:t>
      </w:r>
      <w:r w:rsidRPr="00980BC4">
        <w:rPr>
          <w:rFonts w:ascii="仿宋" w:eastAsia="仿宋" w:hAnsi="仿宋" w:hint="eastAsia"/>
          <w:sz w:val="28"/>
          <w:szCs w:val="28"/>
        </w:rPr>
        <w:t>资本溢价），资本公积不足冲减的，调整留存收益。</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通过多次交易分步实现非同一控制下企业合并</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在合并日，在个别财务报表中，按照原持有的长期股权投资的账面价值加上合并日新增投资成本之和，作为合并日长期股权投资的初始投资成本。</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lastRenderedPageBreak/>
        <w:t>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③本公司处置对子公司长期股权投资但未丧失控制权</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④本公司处置对子公司长期股权投资且丧失控制权</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一次交易处置</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与原子公司的股权投资相关的其他综合收益、其他所有者权益变动，在丧失控制权时转入当期损益，由于被投资方重新计量设定受益计划净负债或净资产变动而产生的其他综合收益除外。</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多次交易分步处置</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在合并财务报表中，应首先判断分步交易是否属于</w:t>
      </w:r>
      <w:r w:rsidRPr="00980BC4">
        <w:rPr>
          <w:rFonts w:ascii="仿宋" w:eastAsia="仿宋" w:hAnsi="仿宋"/>
          <w:sz w:val="28"/>
          <w:szCs w:val="28"/>
        </w:rPr>
        <w:t>“</w:t>
      </w:r>
      <w:r w:rsidRPr="00980BC4">
        <w:rPr>
          <w:rFonts w:ascii="仿宋" w:eastAsia="仿宋" w:hAnsi="仿宋" w:hint="eastAsia"/>
          <w:sz w:val="28"/>
          <w:szCs w:val="28"/>
        </w:rPr>
        <w:t>一揽子交易</w:t>
      </w:r>
      <w:r w:rsidRPr="00980BC4">
        <w:rPr>
          <w:rFonts w:ascii="仿宋" w:eastAsia="仿宋" w:hAnsi="仿宋"/>
          <w:sz w:val="28"/>
          <w:szCs w:val="28"/>
        </w:rPr>
        <w:t>”</w:t>
      </w:r>
      <w:r w:rsidRPr="00980BC4">
        <w:rPr>
          <w:rFonts w:ascii="仿宋" w:eastAsia="仿宋" w:hAnsi="仿宋" w:hint="eastAsia"/>
          <w:sz w:val="28"/>
          <w:szCs w:val="28"/>
        </w:rPr>
        <w:t>。</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lastRenderedPageBreak/>
        <w:t>如果分步交易不属于</w:t>
      </w:r>
      <w:r w:rsidRPr="00980BC4">
        <w:rPr>
          <w:rFonts w:ascii="仿宋" w:eastAsia="仿宋" w:hAnsi="仿宋"/>
          <w:sz w:val="28"/>
          <w:szCs w:val="28"/>
        </w:rPr>
        <w:t>“</w:t>
      </w:r>
      <w:r w:rsidRPr="00980BC4">
        <w:rPr>
          <w:rFonts w:ascii="仿宋" w:eastAsia="仿宋" w:hAnsi="仿宋" w:hint="eastAsia"/>
          <w:sz w:val="28"/>
          <w:szCs w:val="28"/>
        </w:rPr>
        <w:t>一揽子交易</w:t>
      </w:r>
      <w:r w:rsidRPr="00980BC4">
        <w:rPr>
          <w:rFonts w:ascii="仿宋" w:eastAsia="仿宋" w:hAnsi="仿宋"/>
          <w:sz w:val="28"/>
          <w:szCs w:val="28"/>
        </w:rPr>
        <w:t>”</w:t>
      </w:r>
      <w:r w:rsidRPr="00980BC4">
        <w:rPr>
          <w:rFonts w:ascii="仿宋" w:eastAsia="仿宋" w:hAnsi="仿宋" w:hint="eastAsia"/>
          <w:sz w:val="28"/>
          <w:szCs w:val="28"/>
        </w:rPr>
        <w:t>的，在个别财务报表中，对丧失子公司控制权之前的各项交易，结转每一次处置股权相对应的长期股权投资的账面价值，所得价款与处置长期股权投资账面价值之间的差额计入当期投资收益；在合并财务报表中，应按照</w:t>
      </w:r>
      <w:r w:rsidRPr="00980BC4">
        <w:rPr>
          <w:rFonts w:ascii="仿宋" w:eastAsia="仿宋" w:hAnsi="仿宋"/>
          <w:sz w:val="28"/>
          <w:szCs w:val="28"/>
        </w:rPr>
        <w:t>“</w:t>
      </w:r>
      <w:r w:rsidRPr="00980BC4">
        <w:rPr>
          <w:rFonts w:ascii="仿宋" w:eastAsia="仿宋" w:hAnsi="仿宋" w:hint="eastAsia"/>
          <w:sz w:val="28"/>
          <w:szCs w:val="28"/>
        </w:rPr>
        <w:t>母公司处置对子公司长期股权投资但未丧失控制权</w:t>
      </w:r>
      <w:r w:rsidRPr="00980BC4">
        <w:rPr>
          <w:rFonts w:ascii="仿宋" w:eastAsia="仿宋" w:hAnsi="仿宋"/>
          <w:sz w:val="28"/>
          <w:szCs w:val="28"/>
        </w:rPr>
        <w:t>”</w:t>
      </w:r>
      <w:r w:rsidRPr="00980BC4">
        <w:rPr>
          <w:rFonts w:ascii="仿宋" w:eastAsia="仿宋" w:hAnsi="仿宋" w:hint="eastAsia"/>
          <w:sz w:val="28"/>
          <w:szCs w:val="28"/>
        </w:rPr>
        <w:t>的有关规定处理。</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如果分步交易属于</w:t>
      </w:r>
      <w:r w:rsidRPr="00980BC4">
        <w:rPr>
          <w:rFonts w:ascii="仿宋" w:eastAsia="仿宋" w:hAnsi="仿宋"/>
          <w:sz w:val="28"/>
          <w:szCs w:val="28"/>
        </w:rPr>
        <w:t>“</w:t>
      </w:r>
      <w:r w:rsidRPr="00980BC4">
        <w:rPr>
          <w:rFonts w:ascii="仿宋" w:eastAsia="仿宋" w:hAnsi="仿宋" w:hint="eastAsia"/>
          <w:sz w:val="28"/>
          <w:szCs w:val="28"/>
        </w:rPr>
        <w:t>一揽子交易</w:t>
      </w:r>
      <w:r w:rsidRPr="00980BC4">
        <w:rPr>
          <w:rFonts w:ascii="仿宋" w:eastAsia="仿宋" w:hAnsi="仿宋"/>
          <w:sz w:val="28"/>
          <w:szCs w:val="28"/>
        </w:rPr>
        <w:t>”</w:t>
      </w:r>
      <w:r w:rsidRPr="00980BC4">
        <w:rPr>
          <w:rFonts w:ascii="仿宋" w:eastAsia="仿宋" w:hAnsi="仿宋" w:hint="eastAsia"/>
          <w:sz w:val="28"/>
          <w:szCs w:val="28"/>
        </w:rPr>
        <w:t>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各项交易的条款、条件以及经济影响符合下列一种或多种情况的，通常将多次交易作为</w:t>
      </w:r>
      <w:r w:rsidRPr="00980BC4">
        <w:rPr>
          <w:rFonts w:ascii="仿宋" w:eastAsia="仿宋" w:hAnsi="仿宋"/>
          <w:sz w:val="28"/>
          <w:szCs w:val="28"/>
        </w:rPr>
        <w:t>“</w:t>
      </w:r>
      <w:r w:rsidRPr="00980BC4">
        <w:rPr>
          <w:rFonts w:ascii="仿宋" w:eastAsia="仿宋" w:hAnsi="仿宋" w:hint="eastAsia"/>
          <w:sz w:val="28"/>
          <w:szCs w:val="28"/>
        </w:rPr>
        <w:t>一揽子交易</w:t>
      </w:r>
      <w:r w:rsidRPr="00980BC4">
        <w:rPr>
          <w:rFonts w:ascii="仿宋" w:eastAsia="仿宋" w:hAnsi="仿宋"/>
          <w:sz w:val="28"/>
          <w:szCs w:val="28"/>
        </w:rPr>
        <w:t>”</w:t>
      </w:r>
      <w:r w:rsidRPr="00980BC4">
        <w:rPr>
          <w:rFonts w:ascii="仿宋" w:eastAsia="仿宋" w:hAnsi="仿宋" w:hint="eastAsia"/>
          <w:sz w:val="28"/>
          <w:szCs w:val="28"/>
        </w:rPr>
        <w:t>进行会计处理：</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a</w:t>
      </w:r>
      <w:r w:rsidRPr="00980BC4">
        <w:rPr>
          <w:rFonts w:ascii="仿宋" w:eastAsia="仿宋" w:hAnsi="仿宋" w:hint="eastAsia"/>
          <w:sz w:val="28"/>
          <w:szCs w:val="28"/>
        </w:rPr>
        <w:t>）这些交易是同时或者在考虑了彼此影响的情况下订立的。</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b</w:t>
      </w:r>
      <w:r w:rsidRPr="00980BC4">
        <w:rPr>
          <w:rFonts w:ascii="仿宋" w:eastAsia="仿宋" w:hAnsi="仿宋" w:hint="eastAsia"/>
          <w:sz w:val="28"/>
          <w:szCs w:val="28"/>
        </w:rPr>
        <w:t>）这些交易整体才能达成一项完整的商业结果。</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c</w:t>
      </w:r>
      <w:r w:rsidRPr="00980BC4">
        <w:rPr>
          <w:rFonts w:ascii="仿宋" w:eastAsia="仿宋" w:hAnsi="仿宋" w:hint="eastAsia"/>
          <w:sz w:val="28"/>
          <w:szCs w:val="28"/>
        </w:rPr>
        <w:t>）一项交易的发生取决于其他至少一项交易的发生。</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d</w:t>
      </w:r>
      <w:r w:rsidRPr="00980BC4">
        <w:rPr>
          <w:rFonts w:ascii="仿宋" w:eastAsia="仿宋" w:hAnsi="仿宋" w:hint="eastAsia"/>
          <w:sz w:val="28"/>
          <w:szCs w:val="28"/>
        </w:rPr>
        <w:t>）一项交易单独考虑时是不经济的，但是和其他交易一并考虑时是经济的。</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⑤因子公司的少数股东增资而稀释母公司拥有的股权比例</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w:t>
      </w:r>
      <w:r w:rsidRPr="00980BC4">
        <w:rPr>
          <w:rFonts w:ascii="仿宋" w:eastAsia="仿宋" w:hAnsi="仿宋" w:hint="eastAsia"/>
          <w:sz w:val="28"/>
          <w:szCs w:val="28"/>
        </w:rPr>
        <w:lastRenderedPageBreak/>
        <w:t>价或股本溢价），资本公积（资本溢价或股本溢价）不足冲减的，调整留存收益。</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67" w:name="_Toc989056"/>
      <w:r w:rsidRPr="00980BC4">
        <w:rPr>
          <w:rFonts w:ascii="仿宋" w:eastAsia="仿宋" w:hAnsi="仿宋"/>
          <w:b/>
          <w:sz w:val="28"/>
          <w:szCs w:val="28"/>
        </w:rPr>
        <w:t>7、合营安排分类及共同经营会计处理方法</w:t>
      </w:r>
      <w:bookmarkEnd w:id="167"/>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合营安排，是指一项由两个或两个以上的参与方共同控制的安排。本公司合营安排分为共同经营和合营企业。</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1</w:t>
      </w:r>
      <w:r w:rsidRPr="00980BC4">
        <w:rPr>
          <w:rFonts w:ascii="仿宋" w:eastAsia="仿宋" w:hAnsi="仿宋" w:hint="eastAsia"/>
          <w:b/>
          <w:bCs/>
          <w:sz w:val="28"/>
          <w:szCs w:val="28"/>
        </w:rPr>
        <w:t>）共同经营</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共同经营是指本公司享有该安排相关资产且承担该安排相关负债的合营安排。</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本公司确认其与共同经营中利益份额相关的下列项目，并按照相关企业会计准则的规定进行会计处理：</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①确认单独所持有的资产，以及按其份额确认共同持有的资产；</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②确认单独所承担的负债，以及按其份额确认共同承担的负债；</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③确认出售其享有的共同经营产出份额所产生的收入；</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④按其份额确认共同经营因出售产出所产生的收入；</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⑤确认单独所发生的费用，以及按其份额确认共同经营发生的费用。</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）合营企业</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合营企业是指本公司仅对该安排的净资产享有权利的合营安排。</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本公司按照长期股权投资有关权益法核算的规定对合营企业的投资进行会计处理。</w:t>
      </w:r>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68" w:name="_Toc989057"/>
      <w:r w:rsidRPr="00980BC4">
        <w:rPr>
          <w:rFonts w:ascii="仿宋" w:eastAsia="仿宋" w:hAnsi="仿宋"/>
          <w:b/>
          <w:sz w:val="28"/>
          <w:szCs w:val="28"/>
        </w:rPr>
        <w:t>8、现金及现金等价物的确定标准</w:t>
      </w:r>
      <w:bookmarkEnd w:id="168"/>
    </w:p>
    <w:p w:rsidR="00F67D6F" w:rsidRPr="00980BC4" w:rsidRDefault="00F67D6F" w:rsidP="00613490">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现金指企业库存现金及可以随时用于支付的存款。现金等价物指持有的期限短（一般是指从购买日起三个月内到期）、流动性强、易于转换为已知金额现金、价值变动风险很小的投资。</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69" w:name="_Toc989058"/>
      <w:r w:rsidRPr="00980BC4">
        <w:rPr>
          <w:rFonts w:ascii="仿宋" w:eastAsia="仿宋" w:hAnsi="仿宋"/>
          <w:b/>
          <w:sz w:val="28"/>
          <w:szCs w:val="28"/>
        </w:rPr>
        <w:t>9、外币业务和外币报表折算</w:t>
      </w:r>
      <w:bookmarkEnd w:id="169"/>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b/>
          <w:sz w:val="28"/>
          <w:szCs w:val="28"/>
        </w:rPr>
      </w:pPr>
      <w:r w:rsidRPr="00980BC4">
        <w:rPr>
          <w:rFonts w:ascii="仿宋" w:eastAsia="仿宋" w:hAnsi="仿宋" w:hint="eastAsia"/>
          <w:b/>
          <w:bCs/>
          <w:sz w:val="28"/>
          <w:szCs w:val="28"/>
        </w:rPr>
        <w:lastRenderedPageBreak/>
        <w:t>（</w:t>
      </w:r>
      <w:r w:rsidRPr="00980BC4">
        <w:rPr>
          <w:rFonts w:ascii="仿宋" w:eastAsia="仿宋" w:hAnsi="仿宋"/>
          <w:b/>
          <w:bCs/>
          <w:sz w:val="28"/>
          <w:szCs w:val="28"/>
        </w:rPr>
        <w:t>1</w:t>
      </w:r>
      <w:r w:rsidRPr="00980BC4">
        <w:rPr>
          <w:rFonts w:ascii="仿宋" w:eastAsia="仿宋" w:hAnsi="仿宋" w:hint="eastAsia"/>
          <w:b/>
          <w:bCs/>
          <w:sz w:val="28"/>
          <w:szCs w:val="28"/>
        </w:rPr>
        <w:t>）外币交易时折算汇率的确定方法</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本公司外币交易初始确认时采用交易发生日的即期汇率或采用按照系统合理的方法确定的、与交易发生日即期汇率近似的汇率（以下简称即期汇率的近似汇率）折算为记账本位币。</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）资产负债表日外币货币性项目的折算方法</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在资产负债表日，对于外币货币性项目，采用资产负债表日的即期汇率折算。因资产负债表日即期汇率与初始确认时或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计入当期损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3</w:t>
      </w:r>
      <w:r w:rsidRPr="00980BC4">
        <w:rPr>
          <w:rFonts w:ascii="仿宋" w:eastAsia="仿宋" w:hAnsi="仿宋" w:hint="eastAsia"/>
          <w:b/>
          <w:bCs/>
          <w:sz w:val="28"/>
          <w:szCs w:val="28"/>
        </w:rPr>
        <w:t>）外币报表折算方法</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①资产负债表中的资产和负债项目，采用资产负债表日的即期汇率折算，所有者权益项目除</w:t>
      </w:r>
      <w:r w:rsidRPr="00980BC4">
        <w:rPr>
          <w:rFonts w:ascii="仿宋" w:eastAsia="仿宋" w:hAnsi="仿宋"/>
          <w:sz w:val="28"/>
          <w:szCs w:val="28"/>
        </w:rPr>
        <w:t>“</w:t>
      </w:r>
      <w:r w:rsidRPr="00980BC4">
        <w:rPr>
          <w:rFonts w:ascii="仿宋" w:eastAsia="仿宋" w:hAnsi="仿宋" w:hint="eastAsia"/>
          <w:sz w:val="28"/>
          <w:szCs w:val="28"/>
        </w:rPr>
        <w:t>未分配利润</w:t>
      </w:r>
      <w:r w:rsidRPr="00980BC4">
        <w:rPr>
          <w:rFonts w:ascii="仿宋" w:eastAsia="仿宋" w:hAnsi="仿宋"/>
          <w:sz w:val="28"/>
          <w:szCs w:val="28"/>
        </w:rPr>
        <w:t>”</w:t>
      </w:r>
      <w:r w:rsidRPr="00980BC4">
        <w:rPr>
          <w:rFonts w:ascii="仿宋" w:eastAsia="仿宋" w:hAnsi="仿宋" w:hint="eastAsia"/>
          <w:sz w:val="28"/>
          <w:szCs w:val="28"/>
        </w:rPr>
        <w:t>项目外，其他项目采用发生时的即期汇率折算。</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②利润表中的收入和费用项目，采用交易发生日的即期汇率或即期汇率的近似汇率折算。</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③外币现金流量以及境外子公司的现金流量，采用现金流量发生日的即期汇率或即期汇率的近似汇率折算。汇率变动对现金的影响额应当作为调节项目，在现金流量表中单独列报。</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lastRenderedPageBreak/>
        <w:t>④产生的外币财务报表折算差额，在编制合并财务报表时，在合并资产负债表中所有者权益项目下单独列示</w:t>
      </w:r>
      <w:r w:rsidRPr="00980BC4">
        <w:rPr>
          <w:rFonts w:ascii="仿宋" w:eastAsia="仿宋" w:hAnsi="仿宋"/>
          <w:sz w:val="28"/>
          <w:szCs w:val="28"/>
        </w:rPr>
        <w:t>“</w:t>
      </w:r>
      <w:r w:rsidRPr="00980BC4">
        <w:rPr>
          <w:rFonts w:ascii="仿宋" w:eastAsia="仿宋" w:hAnsi="仿宋" w:hint="eastAsia"/>
          <w:sz w:val="28"/>
          <w:szCs w:val="28"/>
        </w:rPr>
        <w:t>其他综合收益</w:t>
      </w:r>
      <w:r w:rsidRPr="00980BC4">
        <w:rPr>
          <w:rFonts w:ascii="仿宋" w:eastAsia="仿宋" w:hAnsi="仿宋"/>
          <w:sz w:val="28"/>
          <w:szCs w:val="28"/>
        </w:rPr>
        <w:t>”</w:t>
      </w:r>
      <w:r w:rsidRPr="00980BC4">
        <w:rPr>
          <w:rFonts w:ascii="仿宋" w:eastAsia="仿宋" w:hAnsi="仿宋" w:hint="eastAsia"/>
          <w:sz w:val="28"/>
          <w:szCs w:val="28"/>
        </w:rPr>
        <w:t>。</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处置境外经营并丧失控制权时，将资产负债表中所有者权益项目下列示的、与该境外经营相关的外币报表折算差额，全部或按处置该境外经营的比例转入处置当期损益。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70" w:name="_Toc989059"/>
      <w:r w:rsidRPr="00980BC4">
        <w:rPr>
          <w:rFonts w:ascii="仿宋" w:eastAsia="仿宋" w:hAnsi="仿宋"/>
          <w:b/>
          <w:sz w:val="28"/>
          <w:szCs w:val="28"/>
        </w:rPr>
        <w:t>10、金融工具</w:t>
      </w:r>
      <w:bookmarkEnd w:id="170"/>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金融工具，是指形成一方的金融资产并形成其他方的金融负债或权益工具的合同。</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1</w:t>
      </w:r>
      <w:r w:rsidRPr="00980BC4">
        <w:rPr>
          <w:rFonts w:ascii="仿宋" w:eastAsia="仿宋" w:hAnsi="仿宋" w:hint="eastAsia"/>
          <w:b/>
          <w:bCs/>
          <w:sz w:val="28"/>
          <w:szCs w:val="28"/>
        </w:rPr>
        <w:t>）金融工具的确认和终止确认</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当本公司成为金融工具合同的一方时，确认相关的金融资产或金融负债。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金融资产满足下列条件之一的，终止确认：</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①收取该金融资产现金流量的合同权利终止；</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②该金融资产已转移，且符合下述金融资产转移的终止确认条件。</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）金融资产的分类与计量</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本公司在初始确认时根据管理金融资产的业务模式和金融资产的合同现金</w:t>
      </w:r>
      <w:r w:rsidRPr="00980BC4">
        <w:rPr>
          <w:rFonts w:ascii="仿宋" w:eastAsia="仿宋" w:hAnsi="仿宋" w:hint="eastAsia"/>
          <w:sz w:val="28"/>
          <w:szCs w:val="28"/>
        </w:rPr>
        <w:lastRenderedPageBreak/>
        <w:t>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金融资产的后续计量取决于其分类：</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①以摊余成本计量的金融资产</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②以公允价值计量且其变动计入其他综合收益的金融资产</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w:t>
      </w:r>
      <w:r w:rsidRPr="00980BC4">
        <w:rPr>
          <w:rFonts w:ascii="仿宋" w:eastAsia="仿宋" w:hAnsi="仿宋" w:hint="eastAsia"/>
          <w:sz w:val="28"/>
          <w:szCs w:val="28"/>
        </w:rPr>
        <w:lastRenderedPageBreak/>
        <w:t>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③以公允价值计量且其变动计入当期损益的金融资产</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3</w:t>
      </w:r>
      <w:r w:rsidRPr="00980BC4">
        <w:rPr>
          <w:rFonts w:ascii="仿宋" w:eastAsia="仿宋" w:hAnsi="仿宋" w:hint="eastAsia"/>
          <w:b/>
          <w:bCs/>
          <w:sz w:val="28"/>
          <w:szCs w:val="28"/>
        </w:rPr>
        <w:t>）金融负债的分类与计量</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本公司将金融负债分类为以公允价值计量且其变动计入当期损益的金融负债、低于市场利率贷款的贷款承诺及财务担保合同负债及以摊余成本计量的金融负债。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金融负债的后续计量取决于其分类：</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①以公允价值计量且其变动计入当期损益的金融负债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w:t>
      </w:r>
      <w:r w:rsidRPr="00980BC4">
        <w:rPr>
          <w:rFonts w:ascii="仿宋" w:eastAsia="仿宋" w:hAnsi="仿宋" w:hint="eastAsia"/>
          <w:sz w:val="28"/>
          <w:szCs w:val="28"/>
        </w:rPr>
        <w:lastRenderedPageBreak/>
        <w:t>入其他综合收益的累计利得和损失应当从其他综合收益中转出，计入留存收益。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②贷款承诺及财务担保合同负债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贷款承诺是本公司向客户提供的一项在承诺期间内以既定的合同条款向客户发放贷款的承诺。贷款承诺按照预期信用损失模型计提减值损失。</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③以摊余成本计量的金融负债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初始确认后，对其他金融负债采用实际利率法以摊余成本计量。</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除特殊情况外，金融负债与权益工具按照下列原则进行区分：</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w:t>
      </w:r>
      <w:r w:rsidRPr="00980BC4">
        <w:rPr>
          <w:rFonts w:ascii="仿宋" w:eastAsia="仿宋" w:hAnsi="仿宋" w:hint="eastAsia"/>
          <w:sz w:val="28"/>
          <w:szCs w:val="28"/>
        </w:rPr>
        <w:lastRenderedPageBreak/>
        <w:t>利或合同义务的金额是固定的，还是完全或部分地基于除本公司自身权益工具的市场价格以外变量（例如利率、某种商品的价格或某项金融工具的价格）的变动而变动，该合同分类为金融负债。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4</w:t>
      </w:r>
      <w:r w:rsidRPr="00980BC4">
        <w:rPr>
          <w:rFonts w:ascii="仿宋" w:eastAsia="仿宋" w:hAnsi="仿宋" w:hint="eastAsia"/>
          <w:b/>
          <w:bCs/>
          <w:sz w:val="28"/>
          <w:szCs w:val="28"/>
        </w:rPr>
        <w:t>）衍生金融工具及嵌入衍生工具</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衍生金融工具以衍生交易合同签订当日的公允价值进行初始计量，并以其公允价值进行后续计量。公允价值为正数的衍生金融工具确认为一项资产，公允价值为负数的确认为一项负债。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除现金流量套期中属于套期有效的部分计入其他综合收益并于被套期项目影响损益时转出计入当期损益之外，衍生工具公允价值变动而产生的利得或损失，直接计入当期损益。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5</w:t>
      </w:r>
      <w:r w:rsidRPr="00980BC4">
        <w:rPr>
          <w:rFonts w:ascii="仿宋" w:eastAsia="仿宋" w:hAnsi="仿宋" w:hint="eastAsia"/>
          <w:b/>
          <w:bCs/>
          <w:sz w:val="28"/>
          <w:szCs w:val="28"/>
        </w:rPr>
        <w:t>）金融工具减值</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本公司对于以摊余成本计量的金融资产、以公允价值计量且其变动计入其他综合收益的债权投资、合同资产、租赁应收款、贷款承诺及财务担保合同等，以预期信用损失为基础确认损失准备。</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①预期信用损失的计量</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预期信用损失，是指以发生违约的风险为权重的金融工具信用损失的加权</w:t>
      </w:r>
      <w:r w:rsidRPr="00980BC4">
        <w:rPr>
          <w:rFonts w:ascii="仿宋" w:eastAsia="仿宋" w:hAnsi="仿宋" w:hint="eastAsia"/>
          <w:sz w:val="28"/>
          <w:szCs w:val="28"/>
        </w:rPr>
        <w:lastRenderedPageBreak/>
        <w:t>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整个存续期预期信用损失，是指因金融工具整个预计存续期内所有可能发生的违约事件而导致的预期信用损失。</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未来</w:t>
      </w:r>
      <w:r w:rsidRPr="00980BC4">
        <w:rPr>
          <w:rFonts w:ascii="仿宋" w:eastAsia="仿宋" w:hAnsi="仿宋"/>
          <w:sz w:val="28"/>
          <w:szCs w:val="28"/>
        </w:rPr>
        <w:t>12</w:t>
      </w:r>
      <w:r w:rsidRPr="00980BC4">
        <w:rPr>
          <w:rFonts w:ascii="仿宋" w:eastAsia="仿宋" w:hAnsi="仿宋" w:hint="eastAsia"/>
          <w:sz w:val="28"/>
          <w:szCs w:val="28"/>
        </w:rPr>
        <w:t>个月内预期信用损失，是指因资产负债表日后</w:t>
      </w:r>
      <w:r w:rsidRPr="00980BC4">
        <w:rPr>
          <w:rFonts w:ascii="仿宋" w:eastAsia="仿宋" w:hAnsi="仿宋"/>
          <w:sz w:val="28"/>
          <w:szCs w:val="28"/>
        </w:rPr>
        <w:t>12</w:t>
      </w:r>
      <w:r w:rsidRPr="00980BC4">
        <w:rPr>
          <w:rFonts w:ascii="仿宋" w:eastAsia="仿宋" w:hAnsi="仿宋" w:hint="eastAsia"/>
          <w:sz w:val="28"/>
          <w:szCs w:val="28"/>
        </w:rPr>
        <w:t>个月内（若金融工具的预计存续期少于</w:t>
      </w:r>
      <w:r w:rsidRPr="00980BC4">
        <w:rPr>
          <w:rFonts w:ascii="仿宋" w:eastAsia="仿宋" w:hAnsi="仿宋"/>
          <w:sz w:val="28"/>
          <w:szCs w:val="28"/>
        </w:rPr>
        <w:t>12</w:t>
      </w:r>
      <w:r w:rsidRPr="00980BC4">
        <w:rPr>
          <w:rFonts w:ascii="仿宋" w:eastAsia="仿宋" w:hAnsi="仿宋" w:hint="eastAsia"/>
          <w:sz w:val="28"/>
          <w:szCs w:val="28"/>
        </w:rPr>
        <w:t>个月，则为预计存续期）可能发生的金融工具违约事件而导致的预期信用损失，是整个存续期预期信用损失的一部分。</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于每个资产负债表日，本公司对于处于不同阶段的金融工具的预期信用损失分别进行计量。金融工具自初始确认后信用风险未显著增加的，处于第一阶段，本公司按照未来</w:t>
      </w:r>
      <w:r w:rsidRPr="00980BC4">
        <w:rPr>
          <w:rFonts w:ascii="仿宋" w:eastAsia="仿宋" w:hAnsi="仿宋"/>
          <w:sz w:val="28"/>
          <w:szCs w:val="28"/>
        </w:rPr>
        <w:t>12</w:t>
      </w:r>
      <w:r w:rsidRPr="00980BC4">
        <w:rPr>
          <w:rFonts w:ascii="仿宋" w:eastAsia="仿宋" w:hAnsi="仿宋" w:hint="eastAsia"/>
          <w:sz w:val="28"/>
          <w:szCs w:val="28"/>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对于在资产负债表日具有较低信用风险的金融工具，本公司假设其信用风险自初始确认后并未显著增加，按照未来</w:t>
      </w:r>
      <w:r w:rsidRPr="00980BC4">
        <w:rPr>
          <w:rFonts w:ascii="仿宋" w:eastAsia="仿宋" w:hAnsi="仿宋"/>
          <w:sz w:val="28"/>
          <w:szCs w:val="28"/>
        </w:rPr>
        <w:t>12</w:t>
      </w:r>
      <w:r w:rsidRPr="00980BC4">
        <w:rPr>
          <w:rFonts w:ascii="仿宋" w:eastAsia="仿宋" w:hAnsi="仿宋" w:hint="eastAsia"/>
          <w:sz w:val="28"/>
          <w:szCs w:val="28"/>
        </w:rPr>
        <w:t>个月内的预期信用损失计量损失准备。</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对于应收票据、应收账款、应收款项融资及合同资产，无论是否存在重大</w:t>
      </w:r>
      <w:r w:rsidRPr="00980BC4">
        <w:rPr>
          <w:rFonts w:ascii="仿宋" w:eastAsia="仿宋" w:hAnsi="仿宋" w:hint="eastAsia"/>
          <w:sz w:val="28"/>
          <w:szCs w:val="28"/>
        </w:rPr>
        <w:lastRenderedPageBreak/>
        <w:t>融资成分，本公司均按照整个存续期的预期信用损失计量损失准备。</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应收款项</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应收款项融资及长期应收款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应收票据确定组合的依据如下：</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应收票据确定组合的依据如下：</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应收票据组合</w:t>
      </w:r>
      <w:r w:rsidRPr="00980BC4">
        <w:rPr>
          <w:rFonts w:ascii="仿宋" w:eastAsia="仿宋" w:hAnsi="仿宋"/>
          <w:sz w:val="28"/>
          <w:szCs w:val="28"/>
        </w:rPr>
        <w:t xml:space="preserve">1  </w:t>
      </w:r>
      <w:r w:rsidRPr="00980BC4">
        <w:rPr>
          <w:rFonts w:ascii="仿宋" w:eastAsia="仿宋" w:hAnsi="仿宋" w:hint="eastAsia"/>
          <w:sz w:val="28"/>
          <w:szCs w:val="28"/>
        </w:rPr>
        <w:t>商业承兑汇票</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应收票据组合</w:t>
      </w:r>
      <w:r w:rsidRPr="00980BC4">
        <w:rPr>
          <w:rFonts w:ascii="仿宋" w:eastAsia="仿宋" w:hAnsi="仿宋"/>
          <w:sz w:val="28"/>
          <w:szCs w:val="28"/>
        </w:rPr>
        <w:t xml:space="preserve">2  </w:t>
      </w:r>
      <w:r w:rsidRPr="00980BC4">
        <w:rPr>
          <w:rFonts w:ascii="仿宋" w:eastAsia="仿宋" w:hAnsi="仿宋" w:hint="eastAsia"/>
          <w:sz w:val="28"/>
          <w:szCs w:val="28"/>
        </w:rPr>
        <w:t>银行承兑汇票</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对于划分为组合的应收票据，本公司参考历史信用损失经验，结合当前状况以及对未来经济状况的预测，通过违约风险敞口和整个存续期预期信用损失率，计算预期信用损失。</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应收账款确定组合的依据如下：</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应收账款组合</w:t>
      </w:r>
      <w:r w:rsidRPr="00980BC4">
        <w:rPr>
          <w:rFonts w:ascii="仿宋" w:eastAsia="仿宋" w:hAnsi="仿宋"/>
          <w:sz w:val="28"/>
          <w:szCs w:val="28"/>
        </w:rPr>
        <w:t xml:space="preserve">1  </w:t>
      </w:r>
      <w:r w:rsidRPr="00980BC4">
        <w:rPr>
          <w:rFonts w:ascii="仿宋" w:eastAsia="仿宋" w:hAnsi="仿宋" w:hint="eastAsia"/>
          <w:sz w:val="28"/>
          <w:szCs w:val="28"/>
        </w:rPr>
        <w:t>应收军工总装客户</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应收账款组合</w:t>
      </w:r>
      <w:r w:rsidRPr="00980BC4">
        <w:rPr>
          <w:rFonts w:ascii="仿宋" w:eastAsia="仿宋" w:hAnsi="仿宋"/>
          <w:sz w:val="28"/>
          <w:szCs w:val="28"/>
        </w:rPr>
        <w:t xml:space="preserve">2  </w:t>
      </w:r>
      <w:r w:rsidRPr="00980BC4">
        <w:rPr>
          <w:rFonts w:ascii="仿宋" w:eastAsia="仿宋" w:hAnsi="仿宋" w:hint="eastAsia"/>
          <w:sz w:val="28"/>
          <w:szCs w:val="28"/>
        </w:rPr>
        <w:t>应收军工总装企业外其他客户</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对于划分为组合的应收账款，本公司参考历史信用损失经验，结合当前状况以及对未来经济状况的预测，编制应收账款账龄与整个存续期预期信用损失率对照表，计算预期信用损失。</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其他应收款确定组合的依据如下：</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其他应收款组合</w:t>
      </w:r>
      <w:r w:rsidRPr="00980BC4">
        <w:rPr>
          <w:rFonts w:ascii="仿宋" w:eastAsia="仿宋" w:hAnsi="仿宋"/>
          <w:sz w:val="28"/>
          <w:szCs w:val="28"/>
        </w:rPr>
        <w:t xml:space="preserve">1  </w:t>
      </w:r>
      <w:r w:rsidRPr="00980BC4">
        <w:rPr>
          <w:rFonts w:ascii="仿宋" w:eastAsia="仿宋" w:hAnsi="仿宋" w:hint="eastAsia"/>
          <w:sz w:val="28"/>
          <w:szCs w:val="28"/>
        </w:rPr>
        <w:t>应收利息</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lastRenderedPageBreak/>
        <w:t>其他应收款组合</w:t>
      </w:r>
      <w:r w:rsidRPr="00980BC4">
        <w:rPr>
          <w:rFonts w:ascii="仿宋" w:eastAsia="仿宋" w:hAnsi="仿宋"/>
          <w:sz w:val="28"/>
          <w:szCs w:val="28"/>
        </w:rPr>
        <w:t xml:space="preserve">2  </w:t>
      </w:r>
      <w:r w:rsidRPr="00980BC4">
        <w:rPr>
          <w:rFonts w:ascii="仿宋" w:eastAsia="仿宋" w:hAnsi="仿宋" w:hint="eastAsia"/>
          <w:sz w:val="28"/>
          <w:szCs w:val="28"/>
        </w:rPr>
        <w:t>应收股利</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其他应收款组合</w:t>
      </w:r>
      <w:r w:rsidRPr="00980BC4">
        <w:rPr>
          <w:rFonts w:ascii="仿宋" w:eastAsia="仿宋" w:hAnsi="仿宋"/>
          <w:sz w:val="28"/>
          <w:szCs w:val="28"/>
        </w:rPr>
        <w:t xml:space="preserve">3  </w:t>
      </w:r>
      <w:r w:rsidRPr="00980BC4">
        <w:rPr>
          <w:rFonts w:ascii="仿宋" w:eastAsia="仿宋" w:hAnsi="仿宋" w:hint="eastAsia"/>
          <w:sz w:val="28"/>
          <w:szCs w:val="28"/>
        </w:rPr>
        <w:t>个人借支备用金</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其他应收款组合</w:t>
      </w:r>
      <w:r w:rsidRPr="00980BC4">
        <w:rPr>
          <w:rFonts w:ascii="仿宋" w:eastAsia="仿宋" w:hAnsi="仿宋"/>
          <w:sz w:val="28"/>
          <w:szCs w:val="28"/>
        </w:rPr>
        <w:t xml:space="preserve">4  </w:t>
      </w:r>
      <w:r w:rsidRPr="00980BC4">
        <w:rPr>
          <w:rFonts w:ascii="仿宋" w:eastAsia="仿宋" w:hAnsi="仿宋" w:hint="eastAsia"/>
          <w:sz w:val="28"/>
          <w:szCs w:val="28"/>
        </w:rPr>
        <w:t>应收押金和保证金</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其他应收款组合</w:t>
      </w:r>
      <w:r w:rsidRPr="00980BC4">
        <w:rPr>
          <w:rFonts w:ascii="仿宋" w:eastAsia="仿宋" w:hAnsi="仿宋"/>
          <w:sz w:val="28"/>
          <w:szCs w:val="28"/>
        </w:rPr>
        <w:t xml:space="preserve">5  </w:t>
      </w:r>
      <w:r w:rsidRPr="00980BC4">
        <w:rPr>
          <w:rFonts w:ascii="仿宋" w:eastAsia="仿宋" w:hAnsi="仿宋" w:hint="eastAsia"/>
          <w:sz w:val="28"/>
          <w:szCs w:val="28"/>
        </w:rPr>
        <w:t>应收合并范围内关联方</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其他应收款组合</w:t>
      </w:r>
      <w:r w:rsidRPr="00980BC4">
        <w:rPr>
          <w:rFonts w:ascii="仿宋" w:eastAsia="仿宋" w:hAnsi="仿宋"/>
          <w:sz w:val="28"/>
          <w:szCs w:val="28"/>
        </w:rPr>
        <w:t xml:space="preserve">6  </w:t>
      </w:r>
      <w:r w:rsidRPr="00980BC4">
        <w:rPr>
          <w:rFonts w:ascii="仿宋" w:eastAsia="仿宋" w:hAnsi="仿宋" w:hint="eastAsia"/>
          <w:sz w:val="28"/>
          <w:szCs w:val="28"/>
        </w:rPr>
        <w:t>应收其他往来款项</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对于划分为组合的其他应收款，本公司参考历史信用损失经验，结合当前状况以及对未来经济状况的预测，通过违约风险敞口和未来</w:t>
      </w:r>
      <w:r w:rsidRPr="00980BC4">
        <w:rPr>
          <w:rFonts w:ascii="仿宋" w:eastAsia="仿宋" w:hAnsi="仿宋"/>
          <w:sz w:val="28"/>
          <w:szCs w:val="28"/>
        </w:rPr>
        <w:t xml:space="preserve"> 12 </w:t>
      </w:r>
      <w:r w:rsidRPr="00980BC4">
        <w:rPr>
          <w:rFonts w:ascii="仿宋" w:eastAsia="仿宋" w:hAnsi="仿宋" w:hint="eastAsia"/>
          <w:sz w:val="28"/>
          <w:szCs w:val="28"/>
        </w:rPr>
        <w:t>个月内或整个存续期预期信用损失率，计算预期信用损失。</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长期应收款确定组合的依据如下：</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长期应收款组合</w:t>
      </w:r>
      <w:r w:rsidRPr="00980BC4">
        <w:rPr>
          <w:rFonts w:ascii="仿宋" w:eastAsia="仿宋" w:hAnsi="仿宋"/>
          <w:sz w:val="28"/>
          <w:szCs w:val="28"/>
        </w:rPr>
        <w:t xml:space="preserve">1  </w:t>
      </w:r>
      <w:r w:rsidRPr="00980BC4">
        <w:rPr>
          <w:rFonts w:ascii="仿宋" w:eastAsia="仿宋" w:hAnsi="仿宋" w:hint="eastAsia"/>
          <w:sz w:val="28"/>
          <w:szCs w:val="28"/>
        </w:rPr>
        <w:t>应收融资租赁款</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对于划分为组合</w:t>
      </w:r>
      <w:r w:rsidRPr="00980BC4">
        <w:rPr>
          <w:rFonts w:ascii="仿宋" w:eastAsia="仿宋" w:hAnsi="仿宋"/>
          <w:sz w:val="28"/>
          <w:szCs w:val="28"/>
        </w:rPr>
        <w:t>1</w:t>
      </w:r>
      <w:r w:rsidRPr="00980BC4">
        <w:rPr>
          <w:rFonts w:ascii="仿宋" w:eastAsia="仿宋" w:hAnsi="仿宋" w:hint="eastAsia"/>
          <w:sz w:val="28"/>
          <w:szCs w:val="28"/>
        </w:rPr>
        <w:t>的长期应收款，本公司参考历史信用损失经验，结合当前状况以及对未来经济状况的预测，通过违约风险敞口和整个存续期预期信用损失率，计算预期信用损失。</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债权投资、其他债权投资</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对于债权投资和其他债权投资，本公司按照投资的性质，根据交易对手和风险敞口的各种类型，通过违约风险敞口和未来</w:t>
      </w:r>
      <w:r w:rsidRPr="00980BC4">
        <w:rPr>
          <w:rFonts w:ascii="仿宋" w:eastAsia="仿宋" w:hAnsi="仿宋"/>
          <w:sz w:val="28"/>
          <w:szCs w:val="28"/>
        </w:rPr>
        <w:t xml:space="preserve"> 12 </w:t>
      </w:r>
      <w:r w:rsidRPr="00980BC4">
        <w:rPr>
          <w:rFonts w:ascii="仿宋" w:eastAsia="仿宋" w:hAnsi="仿宋" w:hint="eastAsia"/>
          <w:sz w:val="28"/>
          <w:szCs w:val="28"/>
        </w:rPr>
        <w:t>个月内或整个存续期预期信用损失率，计算预期信用损失。</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②具有较低的信用风险</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③信用风险显著增加</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本公司通过比较金融工具在资产负债表日所确定的预计存续期内的违约概</w:t>
      </w:r>
      <w:r w:rsidRPr="00980BC4">
        <w:rPr>
          <w:rFonts w:ascii="仿宋" w:eastAsia="仿宋" w:hAnsi="仿宋" w:hint="eastAsia"/>
          <w:sz w:val="28"/>
          <w:szCs w:val="28"/>
        </w:rPr>
        <w:lastRenderedPageBreak/>
        <w:t>率与在初始确认时所确定的预计存续期内的违约概率，以确定金融工具预计存续期内发生违约概率的相对变化，以评估金融工具的信用风险自初始确认后是否已显著增加。</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在确定信用风险自初始确认后是否显著增加时，本公司考虑无须付出不必要的额外成本或努力即可获得的合理且有依据的信息，包括前瞻性信息。本公司考虑的信息包括：</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信用风险变化所导致的内部价格指标是否发生显著变化；</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预期将导致债务人履行其偿债义务的能力是否发生显著变化的业务、财务或经济状况的不利变化；</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C.</w:t>
      </w:r>
      <w:r w:rsidRPr="00980BC4">
        <w:rPr>
          <w:rFonts w:ascii="仿宋" w:eastAsia="仿宋" w:hAnsi="仿宋" w:hint="eastAsia"/>
          <w:sz w:val="28"/>
          <w:szCs w:val="28"/>
        </w:rPr>
        <w:t>债务人经营成果实际或预期是否发生显著变化；债务人所处的监管、经济或技术环境是否发生显著不利变化；</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D.</w:t>
      </w:r>
      <w:r w:rsidRPr="00980BC4">
        <w:rPr>
          <w:rFonts w:ascii="仿宋" w:eastAsia="仿宋" w:hAnsi="仿宋" w:hint="eastAsia"/>
          <w:sz w:val="28"/>
          <w:szCs w:val="28"/>
        </w:rPr>
        <w:t>作为债务抵押的担保物价值或第三方提供的担保或信用增级质量是否发生显著变化。这些变化预期将降低债务人按合同规定期限还款的经济动机或者影响违约概率；</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E.</w:t>
      </w:r>
      <w:r w:rsidRPr="00980BC4">
        <w:rPr>
          <w:rFonts w:ascii="仿宋" w:eastAsia="仿宋" w:hAnsi="仿宋" w:hint="eastAsia"/>
          <w:sz w:val="28"/>
          <w:szCs w:val="28"/>
        </w:rPr>
        <w:t>预期将降低债务人按合同约定期限还款的经济动机是否发生显著变化；</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F.</w:t>
      </w:r>
      <w:r w:rsidRPr="00980BC4">
        <w:rPr>
          <w:rFonts w:ascii="仿宋" w:eastAsia="仿宋" w:hAnsi="仿宋" w:hint="eastAsia"/>
          <w:sz w:val="28"/>
          <w:szCs w:val="28"/>
        </w:rPr>
        <w:t>借款合同的预期变更，包括预计违反合同的行为是否可能导致的合同义务的免除或修订、给予免息期、利率跳升、要求追加抵押品或担保或者对金融工具的合同框架做出其他变更；</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G.</w:t>
      </w:r>
      <w:r w:rsidRPr="00980BC4">
        <w:rPr>
          <w:rFonts w:ascii="仿宋" w:eastAsia="仿宋" w:hAnsi="仿宋" w:hint="eastAsia"/>
          <w:sz w:val="28"/>
          <w:szCs w:val="28"/>
        </w:rPr>
        <w:t>债务人预期表现和还款行为是否发生显著变化；</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H.</w:t>
      </w:r>
      <w:r w:rsidRPr="00980BC4">
        <w:rPr>
          <w:rFonts w:ascii="仿宋" w:eastAsia="仿宋" w:hAnsi="仿宋" w:hint="eastAsia"/>
          <w:sz w:val="28"/>
          <w:szCs w:val="28"/>
        </w:rPr>
        <w:t>合同付款是否发生逾期超过（含）</w:t>
      </w:r>
      <w:r w:rsidRPr="00980BC4">
        <w:rPr>
          <w:rFonts w:ascii="仿宋" w:eastAsia="仿宋" w:hAnsi="仿宋"/>
          <w:sz w:val="28"/>
          <w:szCs w:val="28"/>
        </w:rPr>
        <w:t>30</w:t>
      </w:r>
      <w:r w:rsidRPr="00980BC4">
        <w:rPr>
          <w:rFonts w:ascii="仿宋" w:eastAsia="仿宋" w:hAnsi="仿宋" w:hint="eastAsia"/>
          <w:sz w:val="28"/>
          <w:szCs w:val="28"/>
        </w:rPr>
        <w:t>日。</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通常情况下，如果逾期超过</w:t>
      </w:r>
      <w:r w:rsidRPr="00980BC4">
        <w:rPr>
          <w:rFonts w:ascii="仿宋" w:eastAsia="仿宋" w:hAnsi="仿宋"/>
          <w:sz w:val="28"/>
          <w:szCs w:val="28"/>
        </w:rPr>
        <w:t>30</w:t>
      </w:r>
      <w:r w:rsidRPr="00980BC4">
        <w:rPr>
          <w:rFonts w:ascii="仿宋" w:eastAsia="仿宋" w:hAnsi="仿宋" w:hint="eastAsia"/>
          <w:sz w:val="28"/>
          <w:szCs w:val="28"/>
        </w:rPr>
        <w:t>日，本公司确定金融工具的信用风险已经</w:t>
      </w:r>
      <w:r w:rsidRPr="00980BC4">
        <w:rPr>
          <w:rFonts w:ascii="仿宋" w:eastAsia="仿宋" w:hAnsi="仿宋" w:hint="eastAsia"/>
          <w:sz w:val="28"/>
          <w:szCs w:val="28"/>
        </w:rPr>
        <w:lastRenderedPageBreak/>
        <w:t>显著增加。除非本公司无需付出过多成本或努力即可获得合理且有依据的信息，证明虽然超过合同约定的付款期限</w:t>
      </w:r>
      <w:r w:rsidRPr="00980BC4">
        <w:rPr>
          <w:rFonts w:ascii="仿宋" w:eastAsia="仿宋" w:hAnsi="仿宋"/>
          <w:sz w:val="28"/>
          <w:szCs w:val="28"/>
        </w:rPr>
        <w:t>30</w:t>
      </w:r>
      <w:r w:rsidRPr="00980BC4">
        <w:rPr>
          <w:rFonts w:ascii="仿宋" w:eastAsia="仿宋" w:hAnsi="仿宋" w:hint="eastAsia"/>
          <w:sz w:val="28"/>
          <w:szCs w:val="28"/>
        </w:rPr>
        <w:t>天，但信用风险自初始确认以来并未显著增加。</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④已发生信用减值的金融资产</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⑤预期信用损失准备的列报</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⑥核销</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如果本公司不再合理预期金融资产合同现金流量能够全部或部分收回，则直接减记该金融资产的账面余额。这种减记构成相关金融资产的终止确认。</w:t>
      </w:r>
      <w:r w:rsidRPr="00980BC4">
        <w:rPr>
          <w:rFonts w:ascii="仿宋" w:eastAsia="仿宋" w:hAnsi="仿宋" w:hint="eastAsia"/>
          <w:sz w:val="28"/>
          <w:szCs w:val="28"/>
        </w:rPr>
        <w:lastRenderedPageBreak/>
        <w:t>这种情况通常发生在本公司确定债务人没有资产或收入来源可产生足够的现金流量以偿还将被减记的金额。</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已减记的金融资产以后又收回的，作为减值损失的转回计入收回当期的损益。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6</w:t>
      </w:r>
      <w:r w:rsidRPr="00980BC4">
        <w:rPr>
          <w:rFonts w:ascii="仿宋" w:eastAsia="仿宋" w:hAnsi="仿宋" w:hint="eastAsia"/>
          <w:b/>
          <w:bCs/>
          <w:sz w:val="28"/>
          <w:szCs w:val="28"/>
        </w:rPr>
        <w:t>）金融资产转移</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金融资产转移是指下列两种情形：</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将收取金融资产现金流量的合同权利转移给另一方；</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将金融资产整体或部分转移给另一方，但保留收取金融资产现金流量的合同权利，并承担将收取的现金流量支付给一个或多个收款方的合同义务。</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①终止确认所转移的金融资产</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已将金融资产所有权上几乎所有的风险和报酬转移给转入方的，或既没有转移也没有保留金融资产所有权上几乎所有的风险和报酬的，但放弃了对该金融资产控制的，终止确认该金融资产。</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本公司在判断金融资产转移是否满足金融资产终止确认条件时，注重金融资产转移的实质。</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金融资产整体转移满足终止确认条件的，将下列两项金额的差额计入当期损益：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所转移金融资产的账面价值；</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因转移而收到的对价，与原直接计入其他综合收益的公允价值变动累计额中对于终止确认部分的金额（涉及转移的金融资产为根据《企业会计准则</w:t>
      </w:r>
      <w:r w:rsidRPr="00980BC4">
        <w:rPr>
          <w:rFonts w:ascii="仿宋" w:eastAsia="仿宋" w:hAnsi="仿宋" w:hint="eastAsia"/>
          <w:sz w:val="28"/>
          <w:szCs w:val="28"/>
        </w:rPr>
        <w:lastRenderedPageBreak/>
        <w:t>第</w:t>
      </w:r>
      <w:r w:rsidRPr="00980BC4">
        <w:rPr>
          <w:rFonts w:ascii="仿宋" w:eastAsia="仿宋" w:hAnsi="仿宋"/>
          <w:sz w:val="28"/>
          <w:szCs w:val="28"/>
        </w:rPr>
        <w:t>22</w:t>
      </w:r>
      <w:r w:rsidRPr="00980BC4">
        <w:rPr>
          <w:rFonts w:ascii="仿宋" w:eastAsia="仿宋" w:hAnsi="仿宋" w:hint="eastAsia"/>
          <w:sz w:val="28"/>
          <w:szCs w:val="28"/>
        </w:rPr>
        <w:t>号</w:t>
      </w:r>
      <w:r w:rsidRPr="00980BC4">
        <w:rPr>
          <w:rFonts w:ascii="仿宋" w:eastAsia="仿宋" w:hAnsi="仿宋"/>
          <w:sz w:val="28"/>
          <w:szCs w:val="28"/>
        </w:rPr>
        <w:t>-</w:t>
      </w:r>
      <w:r w:rsidRPr="00980BC4">
        <w:rPr>
          <w:rFonts w:ascii="仿宋" w:eastAsia="仿宋" w:hAnsi="仿宋" w:hint="eastAsia"/>
          <w:sz w:val="28"/>
          <w:szCs w:val="28"/>
        </w:rPr>
        <w:t>金融工具确认和计量》第十八条分类为以公允价值计量且其变动计入其他综合收益的金融资产的情形）之和。</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终止确认部分在终止确认日的账面价值；</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终止确认部分的对价，与原计入其他综合收益的公允价值变动累计额中对应终止确认部分的金额（涉及转移的金融资产为根据《企业会计准则第</w:t>
      </w:r>
      <w:r w:rsidRPr="00980BC4">
        <w:rPr>
          <w:rFonts w:ascii="仿宋" w:eastAsia="仿宋" w:hAnsi="仿宋"/>
          <w:sz w:val="28"/>
          <w:szCs w:val="28"/>
        </w:rPr>
        <w:t>22</w:t>
      </w:r>
      <w:r w:rsidRPr="00980BC4">
        <w:rPr>
          <w:rFonts w:ascii="仿宋" w:eastAsia="仿宋" w:hAnsi="仿宋" w:hint="eastAsia"/>
          <w:sz w:val="28"/>
          <w:szCs w:val="28"/>
        </w:rPr>
        <w:t>号</w:t>
      </w:r>
      <w:r w:rsidRPr="00980BC4">
        <w:rPr>
          <w:rFonts w:ascii="仿宋" w:eastAsia="仿宋" w:hAnsi="仿宋"/>
          <w:sz w:val="28"/>
          <w:szCs w:val="28"/>
        </w:rPr>
        <w:t>-</w:t>
      </w:r>
      <w:r w:rsidRPr="00980BC4">
        <w:rPr>
          <w:rFonts w:ascii="仿宋" w:eastAsia="仿宋" w:hAnsi="仿宋" w:hint="eastAsia"/>
          <w:sz w:val="28"/>
          <w:szCs w:val="28"/>
        </w:rPr>
        <w:t>金融工具确认和计量》第十八条分类为以公允价值计量且其变动计入其他综合收益的金融资产的情形）之和。</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②继续涉入所转移的金融资产</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既没有转移也没有保留金融资产所有权上几乎所有的风险和报酬的，且未放弃对该金融资产控制的，应当按照其继续涉入所转移金融资产的程度确认有关金融资产，并相应确认有关负债。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继续涉入所转移金融资产的程度，是指企业承担的被转移金融资产价值变动风险或报酬的程度。</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③继续确认所转移的金融资产</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仍保留与所转移金融资产所有权上几乎所有的风险和报酬的，应当继续确认所转移金融资产整体，并将收到的对价确认为一项金融负债。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该金融资产与确认的相关金融负债不得相互抵销。在随后的会计期间，企业应当继续确认该金融资产产生的收入（或利得）和该金融负债产生的费用（或损失）。</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7</w:t>
      </w:r>
      <w:r w:rsidRPr="00980BC4">
        <w:rPr>
          <w:rFonts w:ascii="仿宋" w:eastAsia="仿宋" w:hAnsi="仿宋" w:hint="eastAsia"/>
          <w:b/>
          <w:bCs/>
          <w:sz w:val="28"/>
          <w:szCs w:val="28"/>
        </w:rPr>
        <w:t>）金融资产和金融负债的抵销</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lastRenderedPageBreak/>
        <w:t>金融资产和金融负债应当在资产负债表内分别列示，不得相互抵销。但同时满足下列条件的，以相互抵销后的净额在资产负债表内列示：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本公司具有抵销已确认金额的法定权利，且该种法定权利是当前可执行的；</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本公司计划以净额结算，或同时变现该金融资产和清偿该金融负债。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不满足终止确认条件的金融资产转移，转出方不得将已转移的金融资产和相关负债进行抵销。</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8</w:t>
      </w:r>
      <w:r w:rsidRPr="00980BC4">
        <w:rPr>
          <w:rFonts w:ascii="仿宋" w:eastAsia="仿宋" w:hAnsi="仿宋" w:hint="eastAsia"/>
          <w:b/>
          <w:bCs/>
          <w:sz w:val="28"/>
          <w:szCs w:val="28"/>
        </w:rPr>
        <w:t>）金融工具公允价值的确定方法</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公允价值是指市场参与者在计量日发生的有序交易中，出售一项资产所能收到或者转移一项负债所需支付的价格。</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主要市场，是指相关资产或负债交易量最大和交易活跃程度最高的市场；最有利市场，是指在考虑交易费用和运输费用后，能够以最高金额出售相关资产或者以最低金额转移相关负债的市场。</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存在活跃市场的金融资产或金融负债，本公司采用活跃市场中的报价确定其公允价值。金融工具不存在活跃市场的，本公司采用估值技术确定其公允价值。</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以公允价值计量非金融资产的，考虑市场参与者将该资产用于最佳用途产生经济利益的能力，或者将该资产出售给能够用于最佳用途的其他市场参与者产生经济利益的能力。</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①估值技术</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本公司采用在当期情况下适用并且有足够可利用数据和其他信息支持的估</w:t>
      </w:r>
      <w:r w:rsidRPr="00980BC4">
        <w:rPr>
          <w:rFonts w:ascii="仿宋" w:eastAsia="仿宋" w:hAnsi="仿宋" w:hint="eastAsia"/>
          <w:sz w:val="28"/>
          <w:szCs w:val="28"/>
        </w:rPr>
        <w:lastRenderedPageBreak/>
        <w:t>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②公允价值层次</w:t>
      </w:r>
    </w:p>
    <w:p w:rsidR="00F67D6F" w:rsidRPr="00980BC4" w:rsidRDefault="00F67D6F" w:rsidP="004A6762">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71" w:name="_Toc989060"/>
      <w:r w:rsidRPr="00980BC4">
        <w:rPr>
          <w:rFonts w:ascii="仿宋" w:eastAsia="仿宋" w:hAnsi="仿宋"/>
          <w:b/>
          <w:sz w:val="28"/>
          <w:szCs w:val="28"/>
        </w:rPr>
        <w:t>11、应收票据</w:t>
      </w:r>
      <w:bookmarkEnd w:id="171"/>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具体处理参照10、金融工具。</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72" w:name="_Toc989061"/>
      <w:r w:rsidRPr="00980BC4">
        <w:rPr>
          <w:rFonts w:ascii="仿宋" w:eastAsia="仿宋" w:hAnsi="仿宋"/>
          <w:b/>
          <w:sz w:val="28"/>
          <w:szCs w:val="28"/>
        </w:rPr>
        <w:t>12、应收账款</w:t>
      </w:r>
      <w:bookmarkEnd w:id="172"/>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具体处理参照10、金融工具。</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73" w:name="_Toc989062"/>
      <w:r w:rsidRPr="00980BC4">
        <w:rPr>
          <w:rFonts w:ascii="仿宋" w:eastAsia="仿宋" w:hAnsi="仿宋"/>
          <w:b/>
          <w:sz w:val="28"/>
          <w:szCs w:val="28"/>
        </w:rPr>
        <w:t>13、应收款项融资</w:t>
      </w:r>
      <w:bookmarkEnd w:id="173"/>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不适用。</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74" w:name="_Toc989063"/>
      <w:r w:rsidRPr="00980BC4">
        <w:rPr>
          <w:rFonts w:ascii="仿宋" w:eastAsia="仿宋" w:hAnsi="仿宋"/>
          <w:b/>
          <w:sz w:val="28"/>
          <w:szCs w:val="28"/>
        </w:rPr>
        <w:t>14、其他应收款</w:t>
      </w:r>
      <w:bookmarkEnd w:id="174"/>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r w:rsidRPr="00980BC4">
        <w:rPr>
          <w:rFonts w:ascii="仿宋" w:eastAsia="仿宋" w:hAnsi="仿宋"/>
          <w:b/>
          <w:sz w:val="28"/>
          <w:szCs w:val="28"/>
        </w:rPr>
        <w:t>其他应收款的预期信用损失的确定方法及会计处理方法</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lastRenderedPageBreak/>
        <w:t>具体处理参照10、金融工具。</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75" w:name="_Toc989064"/>
      <w:r w:rsidRPr="00980BC4">
        <w:rPr>
          <w:rFonts w:ascii="仿宋" w:eastAsia="仿宋" w:hAnsi="仿宋"/>
          <w:b/>
          <w:sz w:val="28"/>
          <w:szCs w:val="28"/>
        </w:rPr>
        <w:t>15、存货</w:t>
      </w:r>
      <w:bookmarkEnd w:id="175"/>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1</w:t>
      </w:r>
      <w:r w:rsidRPr="00980BC4">
        <w:rPr>
          <w:rFonts w:ascii="仿宋" w:eastAsia="仿宋" w:hAnsi="仿宋" w:hint="eastAsia"/>
          <w:b/>
          <w:bCs/>
          <w:sz w:val="28"/>
          <w:szCs w:val="28"/>
        </w:rPr>
        <w:t>）存货的分类</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存货是指本公司在日常活动中持有以备出售的产成品或商品、处在生产过程中的在产品、在生产过程或提供劳务过程中耗用的材料和物料等，包括原材料、在产品、半成品、库存商品、发出商品等。</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）发出存货的计价方法</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本公司存货发出时采用加权平均法计价。</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3</w:t>
      </w:r>
      <w:r w:rsidRPr="00980BC4">
        <w:rPr>
          <w:rFonts w:ascii="仿宋" w:eastAsia="仿宋" w:hAnsi="仿宋" w:hint="eastAsia"/>
          <w:b/>
          <w:bCs/>
          <w:sz w:val="28"/>
          <w:szCs w:val="28"/>
        </w:rPr>
        <w:t>）存货的盘存制度</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本公司存货采用永续盘存制，每年至少盘点一次，盘盈及盘亏金额计入当年度损益。</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4</w:t>
      </w:r>
      <w:r w:rsidRPr="00980BC4">
        <w:rPr>
          <w:rFonts w:ascii="仿宋" w:eastAsia="仿宋" w:hAnsi="仿宋" w:hint="eastAsia"/>
          <w:b/>
          <w:bCs/>
          <w:sz w:val="28"/>
          <w:szCs w:val="28"/>
        </w:rPr>
        <w:t>）存货跌价准备的计提方法</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资产负债表日按成本与可变现净值孰低计量，存货成本高于其可变现净值的，计提存货跌价准备，计入当期损益。</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在确定存货的可变现净值时，以取得的可靠证据为基础，并且考虑持有存货的目的、资产负债表日后事项的影响等因素。</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②需要经过加工的材料存货，在正常生产经营过程中，以所生产的产成品的估计售价减去至完工时估计将要发生的成本、估计的销售费用和相关税费</w:t>
      </w:r>
      <w:r w:rsidRPr="00980BC4">
        <w:rPr>
          <w:rFonts w:ascii="仿宋" w:eastAsia="仿宋" w:hAnsi="仿宋" w:hint="eastAsia"/>
          <w:sz w:val="28"/>
          <w:szCs w:val="28"/>
        </w:rPr>
        <w:lastRenderedPageBreak/>
        <w:t>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③存货跌价准备一般按单个存货项目计提；对于数量繁多、单价较低的存货，按存货类别计提。</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④资产负债表日如果以前减记存货价值的影响因素已经消失，则减记的金额予以恢复，并在原已计提的存货跌价准备的金额内转回，转回的金额计入当期损益。</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5</w:t>
      </w:r>
      <w:r w:rsidRPr="00980BC4">
        <w:rPr>
          <w:rFonts w:ascii="仿宋" w:eastAsia="仿宋" w:hAnsi="仿宋" w:hint="eastAsia"/>
          <w:b/>
          <w:bCs/>
          <w:sz w:val="28"/>
          <w:szCs w:val="28"/>
        </w:rPr>
        <w:t>）周转材料的摊销方法</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①低值易耗品摊销方法：在领用时采用一次转销法。</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②包装物的摊销方法：在领用时采用一次转销法。</w:t>
      </w:r>
    </w:p>
    <w:p w:rsidR="008B6E6D"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76" w:name="_Toc989065"/>
      <w:r w:rsidRPr="00980BC4">
        <w:rPr>
          <w:rFonts w:ascii="仿宋" w:eastAsia="仿宋" w:hAnsi="仿宋"/>
          <w:b/>
          <w:sz w:val="28"/>
          <w:szCs w:val="28"/>
        </w:rPr>
        <w:t>16、合同资产</w:t>
      </w:r>
      <w:bookmarkEnd w:id="176"/>
    </w:p>
    <w:p w:rsidR="008B6E6D"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本公司已向客户转让商品或提供服务而有权收取的对价（且该权利取决于时间流逝之外的其他因素）列示为合同资产。</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于存在客观证据表明存在减值，以及其他适用于单项评估的合同资产单独进行减值测试，确认预期信用损失，计提单项减值准备。对于不存在减值客观证据的合同资产或当单项金融资产无法以合理成本评估预期信用损失的信息时，本公司依据信用风险特征将合同资产划分为若干组合，本公司参考历史信用损失经验，结合当前状况以及对未来经济状况的预测，编制合同资产账龄与整个存续期预期信用损失率对照表，计算预期信用损失。</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77" w:name="_Toc989066"/>
      <w:r w:rsidRPr="00980BC4">
        <w:rPr>
          <w:rFonts w:ascii="仿宋" w:eastAsia="仿宋" w:hAnsi="仿宋"/>
          <w:b/>
          <w:sz w:val="28"/>
          <w:szCs w:val="28"/>
        </w:rPr>
        <w:t>17、合同成本</w:t>
      </w:r>
      <w:bookmarkEnd w:id="177"/>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合同成本分为合同履约成本与合同取得成本。</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本公司为履行合同而发生的成本，在同时满足下列条件时作为合同履约成本确认为一项资产：</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lastRenderedPageBreak/>
        <w:t>①该成本与一份当前或预期取得的合同直接相关，包括直接人工、直接材料、制造费用</w:t>
      </w:r>
      <w:r w:rsidRPr="00980BC4">
        <w:rPr>
          <w:rFonts w:ascii="仿宋" w:eastAsia="仿宋" w:hAnsi="仿宋"/>
          <w:sz w:val="28"/>
          <w:szCs w:val="28"/>
        </w:rPr>
        <w:t xml:space="preserve"> </w:t>
      </w:r>
      <w:r w:rsidRPr="00980BC4">
        <w:rPr>
          <w:rFonts w:ascii="仿宋" w:eastAsia="仿宋" w:hAnsi="仿宋" w:hint="eastAsia"/>
          <w:sz w:val="28"/>
          <w:szCs w:val="28"/>
        </w:rPr>
        <w:t>（或类似费用）、明确由客户承担的成本以及仅因该合同而发生的其他成本。</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②该成本增加了本公司未来用于履行履约义务的资源。</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③该成本预期能够收回。</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本公司为取得合同发生的增量成本预期能够收回的，作为合同取得成本确认为一项资产。</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与合同成本有关的资产采用与该资产相关的商品或服务收入确认相同的基础进行摊销；但是对于合同取得成本摊销期限未超过一年的，本公司将其在发生时计入当期损益。</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与合同成本有关的资产，其账面价值高于下列两项的差额的，本公司将对于超出部分计提减值准备，并确认为资产减值损失，并进一步考虑是否应计提亏损合同有关的预计负债：</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①因转让与该资产相关的商品或服务预期能够取得的剩余对价；</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②为转让该相关商品或服务估计将要发生的成本。</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上述资产减值准备后续发生转回的，转回后的资产账面价值不超过假定不计提减值准备情况下该资产在转回日的账面价值。</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确认为资产的合同履约成本，初始确认时摊销期限不超过一年或一个正常营业周期，在“存货”项目中列示，初始确认时摊销期限超过一年或一个正常营业周期，在“其他非流动资产”项目中列示。</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确认为资产的合同取得成本，初始确认时摊销期限不超过一年或一个正常营业周期，在“其他流动资产”项目中列示，初始确认时摊销期限超过一年或一个正常营业周期，在“其他非流动资产”项目中列示。</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78" w:name="_Toc989067"/>
      <w:r w:rsidRPr="00980BC4">
        <w:rPr>
          <w:rFonts w:ascii="仿宋" w:eastAsia="仿宋" w:hAnsi="仿宋"/>
          <w:b/>
          <w:sz w:val="28"/>
          <w:szCs w:val="28"/>
        </w:rPr>
        <w:t>18、持有待售资产</w:t>
      </w:r>
      <w:bookmarkEnd w:id="178"/>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r w:rsidRPr="00980BC4">
        <w:rPr>
          <w:rFonts w:ascii="仿宋" w:eastAsia="仿宋" w:hAnsi="仿宋" w:hint="eastAsia"/>
          <w:b/>
          <w:sz w:val="28"/>
          <w:szCs w:val="28"/>
        </w:rPr>
        <w:lastRenderedPageBreak/>
        <w:t>（1）持有待售的非流动资产或处置组的分类</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本公司将同时满足下列条件的非流动资产或处置组划分为持有待售类别：</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①根据类似交易中出售此类资产或处置组的惯例，在当前状况下即可立即出售；</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②出售极可能发生，即本公司已经就一项出售计划作出决议且获得确定的购买承诺，预计出售将在一年内完成。有关规定要求本公司相关权力机构或者监管部门批准后方可出售的，已经获得批准。</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专为转售而取得的非流动资产或处置组，在取得日满足“预计出售将在一年内完成”的规定条件，且短期（通常为3个月）内很可能满足持有待售类别的其他划分条件的，本公司在取得日将其划分为持有待售类别。</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r w:rsidRPr="00980BC4">
        <w:rPr>
          <w:rFonts w:ascii="仿宋" w:eastAsia="仿宋" w:hAnsi="仿宋" w:hint="eastAsia"/>
          <w:b/>
          <w:sz w:val="28"/>
          <w:szCs w:val="28"/>
        </w:rPr>
        <w:t>（2）持有待售的非流动资产或处置组的计量</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采用公允价值模式进行后续计量的投资性房地产、采用公允价值减去出售费用后的净额计量的生物资产、职工薪酬形成的资产、递延所得税资产、由金融工具相关会计准则规范的金融资产及由保险合同相关会计准则规范的保险合同所产生的权利的计量分别适用于其他相关会计准则。</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初始计量或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后续资产负债表日持有待售的非流动</w:t>
      </w:r>
      <w:r w:rsidRPr="00980BC4">
        <w:rPr>
          <w:rFonts w:ascii="仿宋" w:eastAsia="仿宋" w:hAnsi="仿宋" w:hint="eastAsia"/>
          <w:sz w:val="28"/>
          <w:szCs w:val="28"/>
        </w:rPr>
        <w:lastRenderedPageBreak/>
        <w:t>资产或处置组公允价值减去出售费用后的净额增加的，以前减记的金额予以恢复，并在划分为持有待售类别后确认的资产减值损失金额内转回，转回金额计入当期损益。已抵减的商誉账面价值不得转回。</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非流动资产或处置组因不再满足持有待售类别的划分条件而不再继续划分为持有待售类别或非流动资产从持有待售的处置组中移除时，按照以下两者孰低计量：</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①划分为持有待售类别前的账面价值，按照假定不划分为持有待售类别情况下本应确认的折旧、摊销或减值等进行调整后的金额；</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②可收回金额。</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r w:rsidRPr="00980BC4">
        <w:rPr>
          <w:rFonts w:ascii="仿宋" w:eastAsia="仿宋" w:hAnsi="仿宋" w:hint="eastAsia"/>
          <w:b/>
          <w:sz w:val="28"/>
          <w:szCs w:val="28"/>
        </w:rPr>
        <w:t>（3）列报</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抵销，分别作为流动资产和流动负债列示。</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79" w:name="_Toc989068"/>
      <w:r w:rsidRPr="00980BC4">
        <w:rPr>
          <w:rFonts w:ascii="仿宋" w:eastAsia="仿宋" w:hAnsi="仿宋"/>
          <w:b/>
          <w:sz w:val="28"/>
          <w:szCs w:val="28"/>
        </w:rPr>
        <w:t>19、债权投资</w:t>
      </w:r>
      <w:bookmarkEnd w:id="179"/>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不适用。</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80" w:name="_Toc989069"/>
      <w:r w:rsidRPr="00980BC4">
        <w:rPr>
          <w:rFonts w:ascii="仿宋" w:eastAsia="仿宋" w:hAnsi="仿宋"/>
          <w:b/>
          <w:sz w:val="28"/>
          <w:szCs w:val="28"/>
        </w:rPr>
        <w:t>20、其他债权投资</w:t>
      </w:r>
      <w:bookmarkEnd w:id="180"/>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不适用。</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81" w:name="_Toc989070"/>
      <w:r w:rsidRPr="00980BC4">
        <w:rPr>
          <w:rFonts w:ascii="仿宋" w:eastAsia="仿宋" w:hAnsi="仿宋"/>
          <w:b/>
          <w:sz w:val="28"/>
          <w:szCs w:val="28"/>
        </w:rPr>
        <w:t>21、长期应收款</w:t>
      </w:r>
      <w:bookmarkEnd w:id="181"/>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具体处理参照10、金融工具。</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b/>
          <w:sz w:val="28"/>
          <w:szCs w:val="28"/>
        </w:rPr>
      </w:pPr>
      <w:bookmarkStart w:id="182" w:name="_Toc989071"/>
      <w:r w:rsidRPr="00980BC4">
        <w:rPr>
          <w:rFonts w:ascii="仿宋" w:eastAsia="仿宋" w:hAnsi="仿宋"/>
          <w:b/>
          <w:sz w:val="28"/>
          <w:szCs w:val="28"/>
        </w:rPr>
        <w:t>22、长期股权投资</w:t>
      </w:r>
      <w:bookmarkEnd w:id="182"/>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本公司长期股权投资包括对被投资单位实施控制、重大影响的权益性投资，以及对合营企业的权益性投资。本公司能够对被投资单位施加重大影响的，为本公司的联营企业。</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lastRenderedPageBreak/>
        <w:t>（</w:t>
      </w:r>
      <w:r w:rsidRPr="00980BC4">
        <w:rPr>
          <w:rFonts w:ascii="仿宋" w:eastAsia="仿宋" w:hAnsi="仿宋"/>
          <w:b/>
          <w:bCs/>
          <w:sz w:val="28"/>
          <w:szCs w:val="28"/>
        </w:rPr>
        <w:t>1</w:t>
      </w:r>
      <w:r w:rsidRPr="00980BC4">
        <w:rPr>
          <w:rFonts w:ascii="仿宋" w:eastAsia="仿宋" w:hAnsi="仿宋" w:hint="eastAsia"/>
          <w:b/>
          <w:bCs/>
          <w:sz w:val="28"/>
          <w:szCs w:val="28"/>
        </w:rPr>
        <w:t>）确定对被投资单位具有共同控制、重大影响的依据</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当本公司直接或通过子公司间接拥有被投资单位</w:t>
      </w:r>
      <w:r w:rsidRPr="00980BC4">
        <w:rPr>
          <w:rFonts w:ascii="仿宋" w:eastAsia="仿宋" w:hAnsi="仿宋"/>
          <w:sz w:val="28"/>
          <w:szCs w:val="28"/>
        </w:rPr>
        <w:t>20%</w:t>
      </w:r>
      <w:r w:rsidRPr="00980BC4">
        <w:rPr>
          <w:rFonts w:ascii="仿宋" w:eastAsia="仿宋" w:hAnsi="仿宋" w:hint="eastAsia"/>
          <w:sz w:val="28"/>
          <w:szCs w:val="28"/>
        </w:rPr>
        <w:t>（含</w:t>
      </w:r>
      <w:r w:rsidRPr="00980BC4">
        <w:rPr>
          <w:rFonts w:ascii="仿宋" w:eastAsia="仿宋" w:hAnsi="仿宋"/>
          <w:sz w:val="28"/>
          <w:szCs w:val="28"/>
        </w:rPr>
        <w:t>20%</w:t>
      </w:r>
      <w:r w:rsidRPr="00980BC4">
        <w:rPr>
          <w:rFonts w:ascii="仿宋" w:eastAsia="仿宋" w:hAnsi="仿宋" w:hint="eastAsia"/>
          <w:sz w:val="28"/>
          <w:szCs w:val="28"/>
        </w:rPr>
        <w:t>）以上但低于</w:t>
      </w:r>
      <w:r w:rsidRPr="00980BC4">
        <w:rPr>
          <w:rFonts w:ascii="仿宋" w:eastAsia="仿宋" w:hAnsi="仿宋"/>
          <w:sz w:val="28"/>
          <w:szCs w:val="28"/>
        </w:rPr>
        <w:t>50%</w:t>
      </w:r>
      <w:r w:rsidRPr="00980BC4">
        <w:rPr>
          <w:rFonts w:ascii="仿宋" w:eastAsia="仿宋" w:hAnsi="仿宋" w:hint="eastAsia"/>
          <w:sz w:val="28"/>
          <w:szCs w:val="28"/>
        </w:rPr>
        <w:t>的表决权股份时，一般认为对被投资单位具有重大影响，除非有明确证据表明该种情况下不能参与被投资单位的生产经营决策，不形成重大影响。</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）初始投资成本确定</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企业合并形成的长期股权投资，按照下列规定确定其投资成本：</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w:t>
      </w:r>
      <w:r w:rsidRPr="00980BC4">
        <w:rPr>
          <w:rFonts w:ascii="仿宋" w:eastAsia="仿宋" w:hAnsi="仿宋" w:hint="eastAsia"/>
          <w:sz w:val="28"/>
          <w:szCs w:val="28"/>
        </w:rPr>
        <w:lastRenderedPageBreak/>
        <w:t>价值之间的差额，调整资本公积；资本公积不足冲减的，调整留存收益；</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C.</w:t>
      </w:r>
      <w:r w:rsidRPr="00980BC4">
        <w:rPr>
          <w:rFonts w:ascii="仿宋" w:eastAsia="仿宋" w:hAnsi="仿宋" w:hint="eastAsia"/>
          <w:sz w:val="28"/>
          <w:szCs w:val="28"/>
        </w:rPr>
        <w:t>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除企业合并形成的长期股权投资以外，其他方式取得的长期股权投资，按照下列规定确定其投资成本：</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A.</w:t>
      </w:r>
      <w:r w:rsidRPr="00980BC4">
        <w:rPr>
          <w:rFonts w:ascii="仿宋" w:eastAsia="仿宋" w:hAnsi="仿宋" w:hint="eastAsia"/>
          <w:sz w:val="28"/>
          <w:szCs w:val="28"/>
        </w:rPr>
        <w:t>以支付现金取得的长期股权投资，按照实际支付的购买价款作为投资成本。初始投资成本包括与取得长期股权投资直接相关的费用、税金及其他必要支出；</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B.</w:t>
      </w:r>
      <w:r w:rsidRPr="00980BC4">
        <w:rPr>
          <w:rFonts w:ascii="仿宋" w:eastAsia="仿宋" w:hAnsi="仿宋" w:hint="eastAsia"/>
          <w:sz w:val="28"/>
          <w:szCs w:val="28"/>
        </w:rPr>
        <w:t>以发行权益性证券取得的长期股权投资，按照发行权益性证券的公允价值作为初始投资成本；</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C.</w:t>
      </w:r>
      <w:r w:rsidRPr="00980BC4">
        <w:rPr>
          <w:rFonts w:ascii="仿宋" w:eastAsia="仿宋" w:hAnsi="仿宋" w:hint="eastAsia"/>
          <w:sz w:val="28"/>
          <w:szCs w:val="28"/>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sz w:val="28"/>
          <w:szCs w:val="28"/>
        </w:rPr>
        <w:t>D.</w:t>
      </w:r>
      <w:r w:rsidRPr="00980BC4">
        <w:rPr>
          <w:rFonts w:ascii="仿宋" w:eastAsia="仿宋" w:hAnsi="仿宋" w:hint="eastAsia"/>
          <w:sz w:val="28"/>
          <w:szCs w:val="28"/>
        </w:rPr>
        <w:t>通过债务重组取得的长期股权投资，以所放弃债权的公允价值和可直接归属于该资产的税金等其他成本确定其入账价值，并将所放弃债权的公允价</w:t>
      </w:r>
      <w:r w:rsidRPr="00980BC4">
        <w:rPr>
          <w:rFonts w:ascii="仿宋" w:eastAsia="仿宋" w:hAnsi="仿宋" w:hint="eastAsia"/>
          <w:sz w:val="28"/>
          <w:szCs w:val="28"/>
        </w:rPr>
        <w:lastRenderedPageBreak/>
        <w:t>值与账面价值之间的差额，计入当期损益。</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3</w:t>
      </w:r>
      <w:r w:rsidRPr="00980BC4">
        <w:rPr>
          <w:rFonts w:ascii="仿宋" w:eastAsia="仿宋" w:hAnsi="仿宋" w:hint="eastAsia"/>
          <w:b/>
          <w:bCs/>
          <w:sz w:val="28"/>
          <w:szCs w:val="28"/>
        </w:rPr>
        <w:t>）后续计量及损益确认方法</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本公司能够对被投资单位实施控制的长期股权投资采用成本法核算；对联营企业和合营企业的长期股权投资采用权益法核算。</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①成本法</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采用成本法核算的长期股权投资，追加或收回投资时调整长期股权投资的成本；被投资单位宣告分派的现金股利或利润，确认为当期投资收益。</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②权益法</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按照权益法核算的长期股权投资，一般会计处理为：</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w:t>
      </w:r>
      <w:r w:rsidRPr="00980BC4">
        <w:rPr>
          <w:rFonts w:ascii="仿宋" w:eastAsia="仿宋" w:hAnsi="仿宋" w:hint="eastAsia"/>
          <w:sz w:val="28"/>
          <w:szCs w:val="28"/>
        </w:rPr>
        <w:lastRenderedPageBreak/>
        <w:t>础上确认投资损益。本公司与被投资单位发生的未实现内部交易损失属于资产减值损失的，应全额确认。</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因追加投资等原因能够对被投资单位施加重大影响或实施共同控制但不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rsidR="008B6E6D"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w:t>
      </w:r>
      <w:r w:rsidRPr="00980BC4">
        <w:rPr>
          <w:rFonts w:ascii="仿宋" w:eastAsia="仿宋" w:hAnsi="仿宋"/>
          <w:sz w:val="28"/>
          <w:szCs w:val="28"/>
        </w:rPr>
        <w:t>4</w:t>
      </w:r>
      <w:r w:rsidRPr="00980BC4">
        <w:rPr>
          <w:rFonts w:ascii="仿宋" w:eastAsia="仿宋" w:hAnsi="仿宋" w:hint="eastAsia"/>
          <w:sz w:val="28"/>
          <w:szCs w:val="28"/>
        </w:rPr>
        <w:t>）减值测试方法及减值准备计提方法</w:t>
      </w:r>
    </w:p>
    <w:p w:rsidR="00F67D6F" w:rsidRPr="00980BC4" w:rsidRDefault="00F67D6F" w:rsidP="008B6E6D">
      <w:pPr>
        <w:pStyle w:val="a3"/>
        <w:widowControl w:val="0"/>
        <w:spacing w:before="0" w:beforeAutospacing="0" w:after="0" w:afterAutospacing="0" w:line="560" w:lineRule="exact"/>
        <w:ind w:firstLine="482"/>
        <w:jc w:val="both"/>
        <w:divId w:val="969553885"/>
        <w:rPr>
          <w:rFonts w:ascii="仿宋" w:eastAsia="仿宋" w:hAnsi="仿宋"/>
          <w:sz w:val="28"/>
          <w:szCs w:val="28"/>
        </w:rPr>
      </w:pPr>
      <w:r w:rsidRPr="00980BC4">
        <w:rPr>
          <w:rFonts w:ascii="仿宋" w:eastAsia="仿宋" w:hAnsi="仿宋" w:hint="eastAsia"/>
          <w:sz w:val="28"/>
          <w:szCs w:val="28"/>
        </w:rPr>
        <w:t>对子公司、联营企业及合营企业的投资，计提资产减值的方法见附注五、</w:t>
      </w:r>
      <w:r w:rsidRPr="00980BC4">
        <w:rPr>
          <w:rFonts w:ascii="仿宋" w:eastAsia="仿宋" w:hAnsi="仿宋"/>
          <w:sz w:val="28"/>
          <w:szCs w:val="28"/>
        </w:rPr>
        <w:t>31</w:t>
      </w:r>
      <w:r w:rsidRPr="00980BC4">
        <w:rPr>
          <w:rFonts w:ascii="仿宋" w:eastAsia="仿宋" w:hAnsi="仿宋" w:hint="eastAsia"/>
          <w:sz w:val="28"/>
          <w:szCs w:val="28"/>
        </w:rPr>
        <w:t>。</w:t>
      </w:r>
    </w:p>
    <w:p w:rsidR="00F67D6F" w:rsidRPr="00980BC4" w:rsidRDefault="00F67D6F" w:rsidP="008B6E6D">
      <w:pPr>
        <w:pStyle w:val="3"/>
        <w:spacing w:before="0" w:after="0" w:line="560" w:lineRule="exact"/>
        <w:ind w:firstLineChars="200" w:firstLine="562"/>
        <w:jc w:val="left"/>
        <w:divId w:val="969553885"/>
        <w:rPr>
          <w:rFonts w:ascii="仿宋" w:eastAsia="仿宋" w:hAnsi="仿宋" w:cs="宋体"/>
          <w:b/>
          <w:kern w:val="0"/>
          <w:sz w:val="28"/>
          <w:szCs w:val="28"/>
        </w:rPr>
      </w:pPr>
      <w:bookmarkStart w:id="183" w:name="_Toc989072"/>
      <w:r w:rsidRPr="00980BC4">
        <w:rPr>
          <w:rFonts w:ascii="仿宋" w:eastAsia="仿宋" w:hAnsi="仿宋" w:cs="宋体"/>
          <w:b/>
          <w:kern w:val="0"/>
          <w:sz w:val="28"/>
          <w:szCs w:val="28"/>
        </w:rPr>
        <w:t>23、投资性房地产</w:t>
      </w:r>
      <w:bookmarkEnd w:id="183"/>
    </w:p>
    <w:p w:rsidR="00F67D6F" w:rsidRPr="00980BC4" w:rsidRDefault="00F67D6F" w:rsidP="008B6E6D">
      <w:pPr>
        <w:spacing w:line="560" w:lineRule="exact"/>
        <w:ind w:firstLineChars="200" w:firstLine="562"/>
        <w:divId w:val="969553885"/>
        <w:rPr>
          <w:rFonts w:ascii="仿宋" w:eastAsia="仿宋" w:hAnsi="仿宋" w:cs="宋体"/>
          <w:b/>
          <w:kern w:val="0"/>
          <w:sz w:val="28"/>
          <w:szCs w:val="28"/>
        </w:rPr>
      </w:pPr>
      <w:r w:rsidRPr="00980BC4">
        <w:rPr>
          <w:rFonts w:ascii="仿宋" w:eastAsia="仿宋" w:hAnsi="仿宋" w:cs="宋体"/>
          <w:b/>
          <w:kern w:val="0"/>
          <w:sz w:val="28"/>
          <w:szCs w:val="28"/>
        </w:rPr>
        <w:t>投资性房地产计量模式</w:t>
      </w:r>
    </w:p>
    <w:p w:rsidR="00F67D6F" w:rsidRPr="00980BC4" w:rsidRDefault="00F67D6F" w:rsidP="008B6E6D">
      <w:pPr>
        <w:spacing w:line="560" w:lineRule="exact"/>
        <w:ind w:firstLineChars="200" w:firstLine="560"/>
        <w:divId w:val="969553885"/>
        <w:rPr>
          <w:rFonts w:ascii="仿宋" w:eastAsia="仿宋" w:hAnsi="仿宋" w:cs="宋体"/>
          <w:kern w:val="0"/>
          <w:sz w:val="28"/>
          <w:szCs w:val="28"/>
        </w:rPr>
      </w:pPr>
      <w:r w:rsidRPr="00980BC4">
        <w:rPr>
          <w:rFonts w:ascii="仿宋" w:eastAsia="仿宋" w:hAnsi="仿宋" w:cs="宋体"/>
          <w:kern w:val="0"/>
          <w:sz w:val="28"/>
          <w:szCs w:val="28"/>
        </w:rPr>
        <w:t>成本法计量</w:t>
      </w:r>
    </w:p>
    <w:p w:rsidR="00F67D6F" w:rsidRPr="00980BC4" w:rsidRDefault="00F67D6F" w:rsidP="008B6E6D">
      <w:pPr>
        <w:spacing w:line="560" w:lineRule="exact"/>
        <w:ind w:firstLineChars="200" w:firstLine="562"/>
        <w:divId w:val="969553885"/>
        <w:rPr>
          <w:rFonts w:ascii="仿宋" w:eastAsia="仿宋" w:hAnsi="仿宋" w:cs="宋体"/>
          <w:b/>
          <w:kern w:val="0"/>
          <w:sz w:val="28"/>
          <w:szCs w:val="28"/>
        </w:rPr>
      </w:pPr>
      <w:r w:rsidRPr="00980BC4">
        <w:rPr>
          <w:rFonts w:ascii="仿宋" w:eastAsia="仿宋" w:hAnsi="仿宋" w:cs="宋体"/>
          <w:b/>
          <w:kern w:val="0"/>
          <w:sz w:val="28"/>
          <w:szCs w:val="28"/>
        </w:rPr>
        <w:t>折旧或摊销方法</w:t>
      </w:r>
    </w:p>
    <w:p w:rsidR="00F67D6F" w:rsidRPr="00980BC4" w:rsidRDefault="00F67D6F" w:rsidP="008B6E6D">
      <w:pPr>
        <w:pStyle w:val="a3"/>
        <w:spacing w:before="0" w:beforeAutospacing="0" w:after="0" w:afterAutospacing="0" w:line="560" w:lineRule="exact"/>
        <w:ind w:firstLineChars="200" w:firstLine="560"/>
        <w:jc w:val="both"/>
        <w:divId w:val="969553885"/>
        <w:rPr>
          <w:rFonts w:ascii="仿宋" w:eastAsia="仿宋" w:hAnsi="仿宋"/>
          <w:sz w:val="28"/>
          <w:szCs w:val="28"/>
        </w:rPr>
      </w:pPr>
      <w:r w:rsidRPr="00980BC4">
        <w:rPr>
          <w:rFonts w:ascii="仿宋" w:eastAsia="仿宋" w:hAnsi="仿宋" w:hint="eastAsia"/>
          <w:sz w:val="28"/>
          <w:szCs w:val="28"/>
        </w:rPr>
        <w:t>本公司对投资性房地产成本减累计减值及净残值后按直线法计算折旧或摊销，出租用建筑物采用与本公司固定资产相同的折旧政策，出租用土地使用权按与本公司无形资产相同的摊销政策执行。</w:t>
      </w:r>
    </w:p>
    <w:p w:rsidR="00F67D6F" w:rsidRPr="00980BC4" w:rsidRDefault="00F67D6F" w:rsidP="008B6E6D">
      <w:pPr>
        <w:pStyle w:val="3"/>
        <w:spacing w:before="0" w:after="0" w:line="560" w:lineRule="exact"/>
        <w:ind w:firstLineChars="200" w:firstLine="562"/>
        <w:jc w:val="left"/>
        <w:divId w:val="969553885"/>
        <w:rPr>
          <w:rFonts w:ascii="仿宋" w:eastAsia="仿宋" w:hAnsi="仿宋" w:cs="宋体"/>
          <w:b/>
          <w:kern w:val="0"/>
          <w:sz w:val="28"/>
          <w:szCs w:val="28"/>
        </w:rPr>
      </w:pPr>
      <w:bookmarkStart w:id="184" w:name="_Toc989073"/>
      <w:r w:rsidRPr="00980BC4">
        <w:rPr>
          <w:rFonts w:ascii="仿宋" w:eastAsia="仿宋" w:hAnsi="仿宋" w:cs="宋体"/>
          <w:b/>
          <w:kern w:val="0"/>
          <w:sz w:val="28"/>
          <w:szCs w:val="28"/>
        </w:rPr>
        <w:lastRenderedPageBreak/>
        <w:t>24、固定资产</w:t>
      </w:r>
      <w:bookmarkEnd w:id="184"/>
    </w:p>
    <w:p w:rsidR="00F67D6F" w:rsidRPr="00980BC4" w:rsidRDefault="00F67D6F" w:rsidP="008B6E6D">
      <w:pPr>
        <w:pStyle w:val="3"/>
        <w:spacing w:before="0" w:after="0" w:line="560" w:lineRule="exact"/>
        <w:ind w:firstLineChars="200" w:firstLine="562"/>
        <w:jc w:val="left"/>
        <w:divId w:val="969553885"/>
        <w:rPr>
          <w:rFonts w:ascii="仿宋" w:eastAsia="仿宋" w:hAnsi="仿宋" w:cs="宋体"/>
          <w:b/>
          <w:kern w:val="0"/>
          <w:sz w:val="28"/>
          <w:szCs w:val="28"/>
        </w:rPr>
      </w:pPr>
      <w:bookmarkStart w:id="185" w:name="_Toc989074"/>
      <w:r w:rsidRPr="00980BC4">
        <w:rPr>
          <w:rFonts w:ascii="仿宋" w:eastAsia="仿宋" w:hAnsi="仿宋" w:cs="宋体"/>
          <w:b/>
          <w:kern w:val="0"/>
          <w:sz w:val="28"/>
          <w:szCs w:val="28"/>
        </w:rPr>
        <w:t>（1） 确认条件</w:t>
      </w:r>
      <w:bookmarkEnd w:id="185"/>
    </w:p>
    <w:p w:rsidR="00F67D6F" w:rsidRPr="00980BC4" w:rsidRDefault="00F67D6F" w:rsidP="008B6E6D">
      <w:pPr>
        <w:pStyle w:val="3"/>
        <w:spacing w:before="0" w:after="0" w:line="560" w:lineRule="exact"/>
        <w:ind w:firstLineChars="200" w:firstLine="560"/>
        <w:jc w:val="left"/>
        <w:divId w:val="969553885"/>
        <w:rPr>
          <w:rFonts w:ascii="仿宋" w:eastAsia="仿宋" w:hAnsi="仿宋" w:cs="宋体"/>
          <w:kern w:val="0"/>
          <w:sz w:val="28"/>
          <w:szCs w:val="28"/>
        </w:rPr>
      </w:pPr>
      <w:r w:rsidRPr="00980BC4">
        <w:rPr>
          <w:rFonts w:ascii="仿宋" w:eastAsia="仿宋" w:hAnsi="仿宋" w:cs="宋体" w:hint="eastAsia"/>
          <w:kern w:val="0"/>
          <w:sz w:val="28"/>
          <w:szCs w:val="28"/>
        </w:rPr>
        <w:t>固定资产在同时满足下列条件时，按取得时的实际成本予以确认：</w:t>
      </w:r>
    </w:p>
    <w:p w:rsidR="00F67D6F" w:rsidRPr="00980BC4" w:rsidRDefault="00F67D6F" w:rsidP="008B6E6D">
      <w:pPr>
        <w:pStyle w:val="3"/>
        <w:spacing w:before="0" w:after="0" w:line="560" w:lineRule="exact"/>
        <w:ind w:firstLineChars="200" w:firstLine="560"/>
        <w:jc w:val="left"/>
        <w:divId w:val="969553885"/>
        <w:rPr>
          <w:rFonts w:ascii="仿宋" w:eastAsia="仿宋" w:hAnsi="仿宋" w:cs="宋体"/>
          <w:kern w:val="0"/>
          <w:sz w:val="28"/>
          <w:szCs w:val="28"/>
        </w:rPr>
      </w:pPr>
      <w:r w:rsidRPr="00980BC4">
        <w:rPr>
          <w:rFonts w:ascii="仿宋" w:eastAsia="仿宋" w:hAnsi="仿宋" w:cs="宋体" w:hint="eastAsia"/>
          <w:kern w:val="0"/>
          <w:sz w:val="28"/>
          <w:szCs w:val="28"/>
        </w:rPr>
        <w:t>①与该固定资产有关的经济利益很可能流入企业。</w:t>
      </w:r>
    </w:p>
    <w:p w:rsidR="00F67D6F" w:rsidRPr="00980BC4" w:rsidRDefault="00F67D6F" w:rsidP="008B6E6D">
      <w:pPr>
        <w:pStyle w:val="3"/>
        <w:spacing w:before="0" w:after="0" w:line="560" w:lineRule="exact"/>
        <w:ind w:firstLineChars="200" w:firstLine="560"/>
        <w:jc w:val="left"/>
        <w:divId w:val="969553885"/>
        <w:rPr>
          <w:rFonts w:ascii="仿宋" w:eastAsia="仿宋" w:hAnsi="仿宋" w:cs="宋体"/>
          <w:kern w:val="0"/>
          <w:sz w:val="28"/>
          <w:szCs w:val="28"/>
        </w:rPr>
      </w:pPr>
      <w:r w:rsidRPr="00980BC4">
        <w:rPr>
          <w:rFonts w:ascii="仿宋" w:eastAsia="仿宋" w:hAnsi="仿宋" w:cs="宋体" w:hint="eastAsia"/>
          <w:kern w:val="0"/>
          <w:sz w:val="28"/>
          <w:szCs w:val="28"/>
        </w:rPr>
        <w:t>②该固定资产的成本能够可靠地计量。</w:t>
      </w:r>
    </w:p>
    <w:p w:rsidR="00F67D6F" w:rsidRPr="00980BC4" w:rsidRDefault="00F67D6F" w:rsidP="008B6E6D">
      <w:pPr>
        <w:pStyle w:val="3"/>
        <w:spacing w:before="0" w:after="0" w:line="560" w:lineRule="exact"/>
        <w:ind w:firstLineChars="200" w:firstLine="560"/>
        <w:jc w:val="left"/>
        <w:divId w:val="969553885"/>
        <w:rPr>
          <w:rFonts w:ascii="仿宋" w:eastAsia="仿宋" w:hAnsi="仿宋" w:cs="宋体"/>
          <w:kern w:val="0"/>
          <w:sz w:val="28"/>
          <w:szCs w:val="28"/>
        </w:rPr>
      </w:pPr>
      <w:r w:rsidRPr="00980BC4">
        <w:rPr>
          <w:rFonts w:ascii="仿宋" w:eastAsia="仿宋" w:hAnsi="仿宋" w:cs="宋体" w:hint="eastAsia"/>
          <w:kern w:val="0"/>
          <w:sz w:val="28"/>
          <w:szCs w:val="28"/>
        </w:rPr>
        <w:t>固定资产发生的后续支出，符合固定资产确认条件的计入固定资产成本；不符合固定资产确认条件的在发生时计入当期损益。</w:t>
      </w:r>
    </w:p>
    <w:p w:rsidR="00F67D6F" w:rsidRPr="00980BC4" w:rsidRDefault="00F67D6F" w:rsidP="008B6E6D">
      <w:pPr>
        <w:pStyle w:val="3"/>
        <w:spacing w:before="0" w:after="0" w:line="560" w:lineRule="exact"/>
        <w:ind w:firstLineChars="200" w:firstLine="562"/>
        <w:jc w:val="left"/>
        <w:divId w:val="969553885"/>
        <w:rPr>
          <w:rFonts w:ascii="仿宋" w:eastAsia="仿宋" w:hAnsi="仿宋" w:cs="宋体"/>
          <w:b/>
          <w:kern w:val="0"/>
          <w:sz w:val="28"/>
          <w:szCs w:val="28"/>
        </w:rPr>
      </w:pPr>
      <w:bookmarkStart w:id="186" w:name="_Toc989075"/>
      <w:r w:rsidRPr="00980BC4">
        <w:rPr>
          <w:rFonts w:ascii="仿宋" w:eastAsia="仿宋" w:hAnsi="仿宋" w:cs="宋体"/>
          <w:b/>
          <w:kern w:val="0"/>
          <w:sz w:val="28"/>
          <w:szCs w:val="28"/>
        </w:rPr>
        <w:t>（2） 折旧方法</w:t>
      </w:r>
      <w:bookmarkEnd w:id="18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8B6E6D">
        <w:trPr>
          <w:divId w:val="969553885"/>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B6E6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B6E6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B6E6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B6E6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B6E6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年折旧率</w:t>
            </w:r>
          </w:p>
        </w:tc>
      </w:tr>
      <w:tr w:rsidR="00F67D6F" w:rsidRPr="00980BC4" w:rsidTr="008B6E6D">
        <w:trPr>
          <w:divId w:val="969553885"/>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20-50年</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1.90%-4.75%</w:t>
            </w:r>
          </w:p>
        </w:tc>
      </w:tr>
      <w:tr w:rsidR="00F67D6F" w:rsidRPr="00980BC4" w:rsidTr="008B6E6D">
        <w:trPr>
          <w:divId w:val="969553885"/>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3-15年</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6.33%-31.67%</w:t>
            </w:r>
          </w:p>
        </w:tc>
      </w:tr>
      <w:tr w:rsidR="00F67D6F" w:rsidRPr="00980BC4" w:rsidTr="008B6E6D">
        <w:trPr>
          <w:divId w:val="969553885"/>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4-10年</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9.50%-23.75%</w:t>
            </w:r>
          </w:p>
        </w:tc>
      </w:tr>
      <w:tr w:rsidR="00F67D6F" w:rsidRPr="00980BC4" w:rsidTr="008B6E6D">
        <w:trPr>
          <w:divId w:val="969553885"/>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3-5年</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19.00%-31.67%</w:t>
            </w:r>
          </w:p>
        </w:tc>
      </w:tr>
      <w:tr w:rsidR="00F67D6F" w:rsidRPr="00980BC4" w:rsidTr="008B6E6D">
        <w:trPr>
          <w:divId w:val="969553885"/>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其他设备</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3-5年</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B6E6D">
            <w:pPr>
              <w:spacing w:line="280" w:lineRule="exact"/>
              <w:rPr>
                <w:rFonts w:ascii="宋体" w:eastAsia="宋体" w:hAnsi="宋体" w:cs="宋体"/>
                <w:sz w:val="18"/>
                <w:szCs w:val="18"/>
              </w:rPr>
            </w:pPr>
            <w:r w:rsidRPr="00980BC4">
              <w:rPr>
                <w:rFonts w:ascii="宋体" w:eastAsia="宋体" w:hAnsi="宋体" w:cs="宋体"/>
                <w:sz w:val="18"/>
                <w:szCs w:val="18"/>
              </w:rPr>
              <w:t>19.00%-31.67%</w:t>
            </w:r>
          </w:p>
        </w:tc>
      </w:tr>
    </w:tbl>
    <w:p w:rsidR="008B6E6D" w:rsidRPr="00980BC4" w:rsidRDefault="00F67D6F" w:rsidP="00A8241F">
      <w:pPr>
        <w:pStyle w:val="3"/>
        <w:spacing w:before="0" w:after="0" w:line="540" w:lineRule="exact"/>
        <w:ind w:firstLineChars="200" w:firstLine="562"/>
        <w:jc w:val="left"/>
        <w:divId w:val="969553885"/>
        <w:rPr>
          <w:rFonts w:ascii="仿宋" w:eastAsia="仿宋" w:hAnsi="仿宋" w:cs="宋体"/>
          <w:b/>
          <w:kern w:val="0"/>
          <w:sz w:val="28"/>
          <w:szCs w:val="28"/>
        </w:rPr>
      </w:pPr>
      <w:bookmarkStart w:id="187" w:name="_Toc989076"/>
      <w:r w:rsidRPr="00980BC4">
        <w:rPr>
          <w:rFonts w:ascii="仿宋" w:eastAsia="仿宋" w:hAnsi="仿宋" w:cs="宋体"/>
          <w:b/>
          <w:kern w:val="0"/>
          <w:sz w:val="28"/>
          <w:szCs w:val="28"/>
        </w:rPr>
        <w:t>（3） 融资租入固定资产的认定依据、计价和折旧方法</w:t>
      </w:r>
      <w:bookmarkEnd w:id="187"/>
    </w:p>
    <w:p w:rsidR="00F67D6F" w:rsidRPr="00980BC4" w:rsidRDefault="00F67D6F" w:rsidP="00A8241F">
      <w:pPr>
        <w:pStyle w:val="3"/>
        <w:spacing w:before="0" w:after="0" w:line="540" w:lineRule="exact"/>
        <w:ind w:firstLineChars="200" w:firstLine="560"/>
        <w:jc w:val="left"/>
        <w:divId w:val="969553885"/>
        <w:rPr>
          <w:rFonts w:ascii="仿宋" w:eastAsia="仿宋" w:hAnsi="仿宋" w:cs="宋体"/>
          <w:b/>
          <w:kern w:val="0"/>
          <w:sz w:val="28"/>
          <w:szCs w:val="28"/>
        </w:rPr>
      </w:pPr>
      <w:r w:rsidRPr="00980BC4">
        <w:rPr>
          <w:rFonts w:ascii="仿宋" w:eastAsia="仿宋" w:hAnsi="仿宋" w:cs="宋体" w:hint="eastAsia"/>
          <w:kern w:val="0"/>
          <w:sz w:val="28"/>
          <w:szCs w:val="28"/>
        </w:rPr>
        <w:t>不适用。</w:t>
      </w:r>
    </w:p>
    <w:p w:rsidR="00F67D6F" w:rsidRPr="00980BC4" w:rsidRDefault="00F67D6F" w:rsidP="00A8241F">
      <w:pPr>
        <w:pStyle w:val="3"/>
        <w:spacing w:before="0" w:after="0" w:line="540" w:lineRule="exact"/>
        <w:ind w:firstLineChars="200" w:firstLine="562"/>
        <w:jc w:val="left"/>
        <w:divId w:val="969553885"/>
        <w:rPr>
          <w:rFonts w:ascii="仿宋" w:eastAsia="仿宋" w:hAnsi="仿宋" w:cs="宋体"/>
          <w:b/>
          <w:kern w:val="0"/>
          <w:sz w:val="28"/>
          <w:szCs w:val="28"/>
        </w:rPr>
      </w:pPr>
      <w:bookmarkStart w:id="188" w:name="_Toc989077"/>
      <w:r w:rsidRPr="00980BC4">
        <w:rPr>
          <w:rFonts w:ascii="仿宋" w:eastAsia="仿宋" w:hAnsi="仿宋" w:cs="宋体"/>
          <w:b/>
          <w:kern w:val="0"/>
          <w:sz w:val="28"/>
          <w:szCs w:val="28"/>
        </w:rPr>
        <w:t>25、在建工程</w:t>
      </w:r>
      <w:bookmarkEnd w:id="188"/>
    </w:p>
    <w:p w:rsidR="00F67D6F" w:rsidRPr="00980BC4" w:rsidRDefault="00F67D6F" w:rsidP="00A8241F">
      <w:pPr>
        <w:pStyle w:val="3"/>
        <w:spacing w:before="0" w:after="0" w:line="540" w:lineRule="exact"/>
        <w:ind w:firstLineChars="200" w:firstLine="560"/>
        <w:jc w:val="left"/>
        <w:divId w:val="969553885"/>
        <w:rPr>
          <w:rFonts w:ascii="仿宋" w:eastAsia="仿宋" w:hAnsi="仿宋" w:cs="宋体"/>
          <w:kern w:val="0"/>
          <w:sz w:val="28"/>
          <w:szCs w:val="28"/>
        </w:rPr>
      </w:pPr>
      <w:r w:rsidRPr="00980BC4">
        <w:rPr>
          <w:rFonts w:ascii="仿宋" w:eastAsia="仿宋" w:hAnsi="仿宋" w:cs="宋体" w:hint="eastAsia"/>
          <w:kern w:val="0"/>
          <w:sz w:val="28"/>
          <w:szCs w:val="28"/>
        </w:rPr>
        <w:t>（</w:t>
      </w:r>
      <w:r w:rsidRPr="00980BC4">
        <w:rPr>
          <w:rFonts w:ascii="仿宋" w:eastAsia="仿宋" w:hAnsi="仿宋" w:cs="宋体"/>
          <w:kern w:val="0"/>
          <w:sz w:val="28"/>
          <w:szCs w:val="28"/>
        </w:rPr>
        <w:t>1</w:t>
      </w:r>
      <w:r w:rsidRPr="00980BC4">
        <w:rPr>
          <w:rFonts w:ascii="仿宋" w:eastAsia="仿宋" w:hAnsi="仿宋" w:cs="宋体" w:hint="eastAsia"/>
          <w:kern w:val="0"/>
          <w:sz w:val="28"/>
          <w:szCs w:val="28"/>
        </w:rPr>
        <w:t>）在建工程以立项项目分类核算。</w:t>
      </w:r>
    </w:p>
    <w:p w:rsidR="00F67D6F" w:rsidRPr="00980BC4" w:rsidRDefault="00F67D6F" w:rsidP="00A8241F">
      <w:pPr>
        <w:pStyle w:val="3"/>
        <w:spacing w:before="0" w:after="0" w:line="540" w:lineRule="exact"/>
        <w:ind w:firstLineChars="200" w:firstLine="560"/>
        <w:jc w:val="left"/>
        <w:divId w:val="969553885"/>
        <w:rPr>
          <w:rFonts w:ascii="仿宋" w:eastAsia="仿宋" w:hAnsi="仿宋" w:cs="宋体"/>
          <w:kern w:val="0"/>
          <w:sz w:val="28"/>
          <w:szCs w:val="28"/>
        </w:rPr>
      </w:pPr>
      <w:r w:rsidRPr="00980BC4">
        <w:rPr>
          <w:rFonts w:ascii="仿宋" w:eastAsia="仿宋" w:hAnsi="仿宋" w:cs="宋体" w:hint="eastAsia"/>
          <w:kern w:val="0"/>
          <w:sz w:val="28"/>
          <w:szCs w:val="28"/>
        </w:rPr>
        <w:t>（</w:t>
      </w:r>
      <w:r w:rsidRPr="00980BC4">
        <w:rPr>
          <w:rFonts w:ascii="仿宋" w:eastAsia="仿宋" w:hAnsi="仿宋" w:cs="宋体"/>
          <w:kern w:val="0"/>
          <w:sz w:val="28"/>
          <w:szCs w:val="28"/>
        </w:rPr>
        <w:t>2</w:t>
      </w:r>
      <w:r w:rsidRPr="00980BC4">
        <w:rPr>
          <w:rFonts w:ascii="仿宋" w:eastAsia="仿宋" w:hAnsi="仿宋" w:cs="宋体" w:hint="eastAsia"/>
          <w:kern w:val="0"/>
          <w:sz w:val="28"/>
          <w:szCs w:val="28"/>
        </w:rPr>
        <w:t>）在建工程结转为固定资产的标准和时点</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hint="eastAsia"/>
          <w:color w:val="000000"/>
          <w:sz w:val="28"/>
          <w:szCs w:val="28"/>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w:t>
      </w:r>
      <w:r w:rsidRPr="00980BC4">
        <w:rPr>
          <w:rFonts w:ascii="仿宋" w:eastAsia="仿宋" w:hAnsi="仿宋" w:cs="Times New Roman" w:hint="eastAsia"/>
          <w:color w:val="000000"/>
          <w:sz w:val="28"/>
          <w:szCs w:val="28"/>
        </w:rPr>
        <w:lastRenderedPageBreak/>
        <w:t>旧，待办理竣工决算后，再按实际成本调整原来的暂估价值，但不调整原已计提的折旧额。</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b/>
          <w:color w:val="000000"/>
          <w:sz w:val="28"/>
          <w:szCs w:val="28"/>
        </w:rPr>
      </w:pPr>
      <w:bookmarkStart w:id="189" w:name="_Toc989078"/>
      <w:r w:rsidRPr="00980BC4">
        <w:rPr>
          <w:rFonts w:ascii="仿宋" w:eastAsia="仿宋" w:hAnsi="仿宋" w:cs="Times New Roman"/>
          <w:b/>
          <w:color w:val="000000"/>
          <w:sz w:val="28"/>
          <w:szCs w:val="28"/>
        </w:rPr>
        <w:t>26、借款费用</w:t>
      </w:r>
      <w:bookmarkEnd w:id="189"/>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hint="eastAsia"/>
          <w:b/>
          <w:bCs/>
          <w:color w:val="000000"/>
          <w:sz w:val="28"/>
          <w:szCs w:val="28"/>
        </w:rPr>
        <w:t>（</w:t>
      </w:r>
      <w:r w:rsidRPr="00980BC4">
        <w:rPr>
          <w:rFonts w:ascii="仿宋" w:eastAsia="仿宋" w:hAnsi="仿宋"/>
          <w:b/>
          <w:bCs/>
          <w:color w:val="000000"/>
          <w:sz w:val="28"/>
          <w:szCs w:val="28"/>
        </w:rPr>
        <w:t>1</w:t>
      </w:r>
      <w:r w:rsidRPr="00980BC4">
        <w:rPr>
          <w:rFonts w:ascii="仿宋" w:eastAsia="仿宋" w:hAnsi="仿宋" w:hint="eastAsia"/>
          <w:b/>
          <w:bCs/>
          <w:color w:val="000000"/>
          <w:sz w:val="28"/>
          <w:szCs w:val="28"/>
        </w:rPr>
        <w:t>）</w:t>
      </w:r>
      <w:r w:rsidRPr="00980BC4">
        <w:rPr>
          <w:rFonts w:ascii="仿宋" w:eastAsia="仿宋" w:hAnsi="仿宋" w:hint="eastAsia"/>
          <w:b/>
          <w:bCs/>
          <w:sz w:val="28"/>
          <w:szCs w:val="28"/>
        </w:rPr>
        <w:t>借款费用资本化的确认原则和资本化期间</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本公司发生的可直接归属于符合资本化条件的资产的购建或生产的借款费用在同时满足下列条件时予以资本化计入相关资产成本：</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①资产支出已经发生；</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②借款费用已经发生；</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③为使资产达到预定可使用状态所必要的购建或者生产活动已经开始。</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其他的借款利息、折价或溢价和汇兑差额，计入发生当期的损益。</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符合资本化条件的资产在购建或者生产过程中发生非正常中断，且中断时间连续超过</w:t>
      </w:r>
      <w:r w:rsidRPr="00980BC4">
        <w:rPr>
          <w:rFonts w:ascii="仿宋" w:eastAsia="仿宋" w:hAnsi="仿宋" w:cs="Times New Roman"/>
          <w:color w:val="000000"/>
          <w:sz w:val="28"/>
          <w:szCs w:val="28"/>
        </w:rPr>
        <w:t>3</w:t>
      </w:r>
      <w:r w:rsidRPr="00980BC4">
        <w:rPr>
          <w:rFonts w:ascii="仿宋" w:eastAsia="仿宋" w:hAnsi="仿宋" w:cs="Times New Roman" w:hint="eastAsia"/>
          <w:color w:val="000000"/>
          <w:sz w:val="28"/>
          <w:szCs w:val="28"/>
        </w:rPr>
        <w:t>个月的，暂停借款费用的资本化。</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当购建或者生产符合资本化条件的资产达到预定可使用或者可销售状态时，停止其借款费用的资本化；以后发生的借款费用于发生当期确认为费用。</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）借款费用资本化率以及资本化金额的计算方法</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b/>
          <w:color w:val="000000"/>
          <w:sz w:val="28"/>
          <w:szCs w:val="28"/>
        </w:rPr>
      </w:pPr>
      <w:bookmarkStart w:id="190" w:name="_Toc989079"/>
      <w:r w:rsidRPr="00980BC4">
        <w:rPr>
          <w:rFonts w:ascii="仿宋" w:eastAsia="仿宋" w:hAnsi="仿宋" w:cs="Times New Roman"/>
          <w:b/>
          <w:color w:val="000000"/>
          <w:sz w:val="28"/>
          <w:szCs w:val="28"/>
        </w:rPr>
        <w:t>27、生物资产</w:t>
      </w:r>
      <w:bookmarkEnd w:id="190"/>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不适用。</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b/>
          <w:color w:val="000000"/>
          <w:sz w:val="28"/>
          <w:szCs w:val="28"/>
        </w:rPr>
      </w:pPr>
      <w:bookmarkStart w:id="191" w:name="_Toc989080"/>
      <w:r w:rsidRPr="00980BC4">
        <w:rPr>
          <w:rFonts w:ascii="仿宋" w:eastAsia="仿宋" w:hAnsi="仿宋" w:cs="Times New Roman"/>
          <w:b/>
          <w:color w:val="000000"/>
          <w:sz w:val="28"/>
          <w:szCs w:val="28"/>
        </w:rPr>
        <w:lastRenderedPageBreak/>
        <w:t>28、油气资产</w:t>
      </w:r>
      <w:bookmarkEnd w:id="191"/>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不适用。</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b/>
          <w:color w:val="000000"/>
          <w:sz w:val="28"/>
          <w:szCs w:val="28"/>
        </w:rPr>
      </w:pPr>
      <w:bookmarkStart w:id="192" w:name="_Toc989081"/>
      <w:r w:rsidRPr="00980BC4">
        <w:rPr>
          <w:rFonts w:ascii="仿宋" w:eastAsia="仿宋" w:hAnsi="仿宋" w:cs="Times New Roman"/>
          <w:b/>
          <w:color w:val="000000"/>
          <w:sz w:val="28"/>
          <w:szCs w:val="28"/>
        </w:rPr>
        <w:t>29、使用权资产</w:t>
      </w:r>
      <w:bookmarkEnd w:id="192"/>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使用权资产，是指承租人可在租赁期内使用租赁资产的权利。</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在租赁期开始日，使用权资产按照成本进行初始计量。该成本包括：</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租赁负债的初始计量金额；</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color w:val="000000"/>
          <w:sz w:val="28"/>
          <w:szCs w:val="28"/>
        </w:rPr>
      </w:pPr>
      <w:r w:rsidRPr="00980BC4">
        <w:rPr>
          <w:rFonts w:ascii="仿宋" w:eastAsia="仿宋" w:hAnsi="仿宋" w:cs="Times New Roman" w:hint="eastAsia"/>
          <w:color w:val="000000"/>
          <w:sz w:val="28"/>
          <w:szCs w:val="28"/>
        </w:rPr>
        <w:t>在租赁期开始日或之前支付的租赁付款额，存在租赁激励的，扣除已享受的租赁激励相关金额；</w:t>
      </w:r>
    </w:p>
    <w:p w:rsidR="00F67D6F" w:rsidRPr="00980BC4" w:rsidRDefault="00F67D6F" w:rsidP="00A8241F">
      <w:pPr>
        <w:pStyle w:val="a3"/>
        <w:spacing w:before="0" w:beforeAutospacing="0" w:after="0" w:afterAutospacing="0" w:line="540" w:lineRule="exact"/>
        <w:ind w:firstLine="560"/>
        <w:jc w:val="both"/>
        <w:divId w:val="969553885"/>
        <w:rPr>
          <w:rFonts w:ascii="Times New Roman" w:hAnsi="Times New Roman" w:cs="Times New Roman"/>
          <w:sz w:val="18"/>
          <w:szCs w:val="18"/>
        </w:rPr>
      </w:pPr>
      <w:r w:rsidRPr="00980BC4">
        <w:rPr>
          <w:rFonts w:ascii="仿宋" w:eastAsia="仿宋" w:hAnsi="仿宋" w:cs="Times New Roman" w:hint="eastAsia"/>
          <w:sz w:val="28"/>
          <w:szCs w:val="28"/>
        </w:rPr>
        <w:t>承租人发生的初始直接费用；</w:t>
      </w:r>
    </w:p>
    <w:p w:rsidR="00F67D6F" w:rsidRPr="00980BC4" w:rsidRDefault="00F67D6F" w:rsidP="00A8241F">
      <w:pPr>
        <w:pStyle w:val="a3"/>
        <w:spacing w:before="0" w:beforeAutospacing="0" w:after="0" w:afterAutospacing="0" w:line="540" w:lineRule="exact"/>
        <w:ind w:firstLine="560"/>
        <w:jc w:val="both"/>
        <w:divId w:val="969553885"/>
        <w:rPr>
          <w:rFonts w:ascii="Times New Roman" w:hAnsi="Times New Roman" w:cs="Times New Roman"/>
          <w:sz w:val="18"/>
          <w:szCs w:val="18"/>
        </w:rPr>
      </w:pPr>
      <w:r w:rsidRPr="00980BC4">
        <w:rPr>
          <w:rFonts w:ascii="仿宋" w:eastAsia="仿宋" w:hAnsi="仿宋" w:cs="Times New Roman" w:hint="eastAsia"/>
          <w:sz w:val="28"/>
          <w:szCs w:val="28"/>
        </w:rPr>
        <w:t>承租人为拆卸及移除租赁资产、复原租赁资产所在场地或将租赁资产恢复至租赁条款约定状态预计将发生的成本。本公司按照预计负债的确认标准和计量方法对该成本进行确认和计量，详见附注五、36。前述成本属于为生产存货而发生的将计入存货成本。</w:t>
      </w:r>
    </w:p>
    <w:p w:rsidR="00F67D6F" w:rsidRPr="00980BC4" w:rsidRDefault="00F67D6F" w:rsidP="00A8241F">
      <w:pPr>
        <w:pStyle w:val="a3"/>
        <w:spacing w:before="0" w:beforeAutospacing="0" w:after="0" w:afterAutospacing="0" w:line="540" w:lineRule="exact"/>
        <w:ind w:firstLine="560"/>
        <w:jc w:val="both"/>
        <w:divId w:val="969553885"/>
        <w:rPr>
          <w:rFonts w:ascii="Times New Roman" w:hAnsi="Times New Roman" w:cs="Times New Roman"/>
          <w:sz w:val="18"/>
          <w:szCs w:val="18"/>
        </w:rPr>
      </w:pPr>
      <w:r w:rsidRPr="00980BC4">
        <w:rPr>
          <w:rFonts w:ascii="仿宋" w:eastAsia="仿宋" w:hAnsi="仿宋" w:cs="Times New Roman" w:hint="eastAsia"/>
          <w:sz w:val="28"/>
          <w:szCs w:val="28"/>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rsidR="00F67D6F" w:rsidRPr="00980BC4" w:rsidRDefault="00F67D6F" w:rsidP="00A8241F">
      <w:pPr>
        <w:pStyle w:val="a3"/>
        <w:spacing w:before="0" w:beforeAutospacing="0" w:after="0" w:afterAutospacing="0" w:line="540" w:lineRule="exact"/>
        <w:ind w:firstLine="560"/>
        <w:jc w:val="both"/>
        <w:divId w:val="969553885"/>
        <w:rPr>
          <w:rFonts w:ascii="Times New Roman" w:hAnsi="Times New Roman" w:cs="Times New Roman"/>
          <w:sz w:val="18"/>
          <w:szCs w:val="18"/>
        </w:rPr>
      </w:pPr>
      <w:r w:rsidRPr="00980BC4">
        <w:rPr>
          <w:rFonts w:ascii="仿宋" w:eastAsia="仿宋" w:hAnsi="仿宋" w:cs="Times New Roman" w:hint="eastAsia"/>
          <w:sz w:val="28"/>
          <w:szCs w:val="28"/>
        </w:rPr>
        <w:t>本公司按照《企业会计准则第8号——资产减值》的相关规定来确定使用权资产是否已发生减值并进行会计处理。</w:t>
      </w:r>
    </w:p>
    <w:p w:rsidR="00F67D6F" w:rsidRPr="00980BC4" w:rsidRDefault="00F67D6F" w:rsidP="00A8241F">
      <w:pPr>
        <w:pStyle w:val="a3"/>
        <w:spacing w:before="0" w:beforeAutospacing="0" w:after="0" w:afterAutospacing="0" w:line="540" w:lineRule="exact"/>
        <w:ind w:firstLine="482"/>
        <w:jc w:val="both"/>
        <w:divId w:val="969553885"/>
        <w:rPr>
          <w:rFonts w:ascii="仿宋" w:eastAsia="仿宋" w:hAnsi="仿宋" w:cs="Times New Roman"/>
          <w:b/>
          <w:color w:val="000000"/>
          <w:sz w:val="28"/>
          <w:szCs w:val="28"/>
        </w:rPr>
      </w:pPr>
      <w:bookmarkStart w:id="193" w:name="_Toc989082"/>
      <w:r w:rsidRPr="00980BC4">
        <w:rPr>
          <w:rFonts w:ascii="仿宋" w:eastAsia="仿宋" w:hAnsi="仿宋" w:cs="Times New Roman"/>
          <w:b/>
          <w:color w:val="000000"/>
          <w:sz w:val="28"/>
          <w:szCs w:val="28"/>
        </w:rPr>
        <w:t>30、无形资产</w:t>
      </w:r>
      <w:bookmarkEnd w:id="193"/>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194" w:name="_Toc989083"/>
      <w:r w:rsidRPr="00980BC4">
        <w:rPr>
          <w:rFonts w:ascii="仿宋" w:eastAsia="仿宋" w:hAnsi="仿宋" w:cs="Times New Roman"/>
          <w:b/>
          <w:sz w:val="28"/>
          <w:szCs w:val="28"/>
        </w:rPr>
        <w:t>（1） 计价方法、使用寿命、减值测试</w:t>
      </w:r>
      <w:bookmarkEnd w:id="194"/>
    </w:p>
    <w:p w:rsidR="00CC3B47"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b/>
          <w:sz w:val="28"/>
          <w:szCs w:val="28"/>
        </w:rPr>
      </w:pPr>
      <w:r w:rsidRPr="00980BC4">
        <w:rPr>
          <w:rFonts w:ascii="仿宋" w:eastAsia="仿宋" w:hAnsi="仿宋" w:cs="Times New Roman"/>
          <w:b/>
          <w:sz w:val="28"/>
          <w:szCs w:val="28"/>
        </w:rPr>
        <w:t>1</w:t>
      </w:r>
      <w:r w:rsidRPr="00980BC4">
        <w:rPr>
          <w:rFonts w:ascii="仿宋" w:eastAsia="仿宋" w:hAnsi="仿宋" w:cs="Times New Roman" w:hint="eastAsia"/>
          <w:b/>
          <w:sz w:val="28"/>
          <w:szCs w:val="28"/>
        </w:rPr>
        <w:t>）无形资产的计价方法</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按取得时的实际成本入账。</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b/>
          <w:sz w:val="28"/>
          <w:szCs w:val="28"/>
        </w:rPr>
      </w:pPr>
      <w:r w:rsidRPr="00980BC4">
        <w:rPr>
          <w:rFonts w:ascii="仿宋" w:eastAsia="仿宋" w:hAnsi="仿宋"/>
          <w:b/>
          <w:bCs/>
          <w:sz w:val="28"/>
          <w:szCs w:val="28"/>
        </w:rPr>
        <w:t>2</w:t>
      </w:r>
      <w:r w:rsidRPr="00980BC4">
        <w:rPr>
          <w:rFonts w:ascii="仿宋" w:eastAsia="仿宋" w:hAnsi="仿宋" w:cs="Times New Roman" w:hint="eastAsia"/>
          <w:b/>
          <w:sz w:val="28"/>
          <w:szCs w:val="28"/>
        </w:rPr>
        <w:t>）无形资产使用寿命及摊销</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Times New Roman" w:hAnsi="Times New Roman" w:cs="Times New Roman"/>
          <w:sz w:val="21"/>
          <w:szCs w:val="21"/>
        </w:rPr>
      </w:pPr>
      <w:r w:rsidRPr="00980BC4">
        <w:rPr>
          <w:rFonts w:ascii="仿宋" w:eastAsia="仿宋" w:hAnsi="仿宋" w:cs="Times New Roman" w:hint="eastAsia"/>
          <w:sz w:val="28"/>
          <w:szCs w:val="28"/>
        </w:rPr>
        <w:lastRenderedPageBreak/>
        <w:t>①使用寿命有限的无形资产的使用寿命估计情况</w:t>
      </w:r>
      <w:r w:rsidRPr="00980BC4">
        <w:rPr>
          <w:rFonts w:cs="Times New Roman" w:hint="eastAsia"/>
          <w:color w:val="000000"/>
        </w:rPr>
        <w:t>：</w:t>
      </w:r>
    </w:p>
    <w:tbl>
      <w:tblPr>
        <w:tblW w:w="8844" w:type="dxa"/>
        <w:jc w:val="center"/>
        <w:tblCellMar>
          <w:left w:w="0" w:type="dxa"/>
          <w:right w:w="0" w:type="dxa"/>
        </w:tblCellMar>
        <w:tblLook w:val="04A0"/>
      </w:tblPr>
      <w:tblGrid>
        <w:gridCol w:w="2372"/>
        <w:gridCol w:w="1841"/>
        <w:gridCol w:w="4631"/>
      </w:tblGrid>
      <w:tr w:rsidR="00F67D6F" w:rsidRPr="00980BC4" w:rsidTr="00F67D6F">
        <w:trPr>
          <w:divId w:val="969553885"/>
          <w:trHeight w:val="369"/>
          <w:tblHeader/>
          <w:jc w:val="center"/>
        </w:trPr>
        <w:tc>
          <w:tcPr>
            <w:tcW w:w="1341" w:type="pct"/>
            <w:tcBorders>
              <w:top w:val="single" w:sz="8" w:space="0" w:color="auto"/>
              <w:left w:val="single" w:sz="8" w:space="0" w:color="auto"/>
              <w:bottom w:val="single" w:sz="8" w:space="0" w:color="auto"/>
              <w:right w:val="single" w:sz="8" w:space="0" w:color="auto"/>
            </w:tcBorders>
            <w:tcMar>
              <w:top w:w="0" w:type="dxa"/>
              <w:left w:w="0"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cs="Times New Roman" w:hint="eastAsia"/>
                <w:sz w:val="21"/>
                <w:szCs w:val="21"/>
              </w:rPr>
              <w:t>项</w:t>
            </w:r>
            <w:r w:rsidRPr="00980BC4">
              <w:rPr>
                <w:rFonts w:ascii="Times New Roman" w:hAnsi="Times New Roman" w:cs="Times New Roman"/>
                <w:sz w:val="21"/>
                <w:szCs w:val="21"/>
              </w:rPr>
              <w:t xml:space="preserve">  </w:t>
            </w:r>
            <w:r w:rsidRPr="00980BC4">
              <w:rPr>
                <w:rFonts w:cs="Times New Roman" w:hint="eastAsia"/>
                <w:sz w:val="21"/>
                <w:szCs w:val="21"/>
              </w:rPr>
              <w:t>目</w:t>
            </w:r>
          </w:p>
        </w:tc>
        <w:tc>
          <w:tcPr>
            <w:tcW w:w="1041" w:type="pct"/>
            <w:tcBorders>
              <w:top w:val="single" w:sz="8" w:space="0" w:color="auto"/>
              <w:left w:val="nil"/>
              <w:bottom w:val="single" w:sz="8" w:space="0" w:color="auto"/>
              <w:right w:val="single" w:sz="8" w:space="0" w:color="auto"/>
            </w:tcBorders>
            <w:tcMar>
              <w:top w:w="0" w:type="dxa"/>
              <w:left w:w="0"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cs="Times New Roman" w:hint="eastAsia"/>
                <w:sz w:val="21"/>
                <w:szCs w:val="21"/>
              </w:rPr>
              <w:t>预计使用寿命</w:t>
            </w:r>
          </w:p>
        </w:tc>
        <w:tc>
          <w:tcPr>
            <w:tcW w:w="2618" w:type="pct"/>
            <w:tcBorders>
              <w:top w:val="single" w:sz="8" w:space="0" w:color="auto"/>
              <w:left w:val="nil"/>
              <w:bottom w:val="single" w:sz="8" w:space="0" w:color="auto"/>
              <w:right w:val="single" w:sz="8" w:space="0" w:color="auto"/>
            </w:tcBorders>
            <w:tcMar>
              <w:top w:w="0" w:type="dxa"/>
              <w:left w:w="0"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cs="Times New Roman" w:hint="eastAsia"/>
                <w:sz w:val="21"/>
                <w:szCs w:val="21"/>
              </w:rPr>
              <w:t>依据</w:t>
            </w:r>
          </w:p>
        </w:tc>
      </w:tr>
      <w:tr w:rsidR="00F67D6F" w:rsidRPr="00980BC4" w:rsidTr="00F67D6F">
        <w:trPr>
          <w:divId w:val="969553885"/>
          <w:trHeight w:val="369"/>
          <w:jc w:val="center"/>
        </w:trPr>
        <w:tc>
          <w:tcPr>
            <w:tcW w:w="1341" w:type="pct"/>
            <w:tcBorders>
              <w:top w:val="nil"/>
              <w:left w:val="single" w:sz="8" w:space="0" w:color="auto"/>
              <w:bottom w:val="single" w:sz="8" w:space="0" w:color="auto"/>
              <w:right w:val="single" w:sz="8" w:space="0" w:color="auto"/>
            </w:tcBorders>
            <w:tcMar>
              <w:top w:w="0" w:type="dxa"/>
              <w:left w:w="0" w:type="dxa"/>
              <w:bottom w:w="0" w:type="dxa"/>
              <w:right w:w="108" w:type="dxa"/>
            </w:tcMar>
            <w:hideMark/>
          </w:tcPr>
          <w:p w:rsidR="00F67D6F" w:rsidRPr="00980BC4" w:rsidRDefault="00F67D6F" w:rsidP="008D6E99">
            <w:pPr>
              <w:pStyle w:val="a3"/>
              <w:spacing w:before="0" w:beforeAutospacing="0" w:after="0" w:afterAutospacing="0" w:line="360" w:lineRule="atLeast"/>
              <w:rPr>
                <w:rFonts w:ascii="Times New Roman" w:hAnsi="Times New Roman" w:cs="Times New Roman"/>
                <w:sz w:val="21"/>
                <w:szCs w:val="21"/>
              </w:rPr>
            </w:pPr>
            <w:r w:rsidRPr="00980BC4">
              <w:rPr>
                <w:rFonts w:cs="Times New Roman" w:hint="eastAsia"/>
                <w:sz w:val="21"/>
                <w:szCs w:val="21"/>
              </w:rPr>
              <w:t>土地使用权</w:t>
            </w:r>
          </w:p>
        </w:tc>
        <w:tc>
          <w:tcPr>
            <w:tcW w:w="1041" w:type="pct"/>
            <w:tcBorders>
              <w:top w:val="nil"/>
              <w:left w:val="nil"/>
              <w:bottom w:val="single" w:sz="8" w:space="0" w:color="auto"/>
              <w:right w:val="single" w:sz="8" w:space="0" w:color="auto"/>
            </w:tcBorders>
            <w:tcMar>
              <w:top w:w="0" w:type="dxa"/>
              <w:left w:w="0" w:type="dxa"/>
              <w:bottom w:w="0" w:type="dxa"/>
              <w:right w:w="108" w:type="dxa"/>
            </w:tcMa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ascii="Times New Roman" w:hAnsi="Times New Roman" w:cs="Times New Roman"/>
                <w:sz w:val="21"/>
                <w:szCs w:val="21"/>
              </w:rPr>
              <w:t>50</w:t>
            </w:r>
            <w:r w:rsidRPr="00980BC4">
              <w:rPr>
                <w:rFonts w:cs="Times New Roman" w:hint="eastAsia"/>
                <w:sz w:val="21"/>
                <w:szCs w:val="21"/>
              </w:rPr>
              <w:t>年</w:t>
            </w:r>
          </w:p>
        </w:tc>
        <w:tc>
          <w:tcPr>
            <w:tcW w:w="2618" w:type="pct"/>
            <w:tcBorders>
              <w:top w:val="nil"/>
              <w:left w:val="nil"/>
              <w:bottom w:val="single" w:sz="8" w:space="0" w:color="auto"/>
              <w:right w:val="single" w:sz="8" w:space="0" w:color="auto"/>
            </w:tcBorders>
            <w:tcMar>
              <w:top w:w="0" w:type="dxa"/>
              <w:left w:w="0" w:type="dxa"/>
              <w:bottom w:w="0" w:type="dxa"/>
              <w:right w:w="108" w:type="dxa"/>
            </w:tcMar>
            <w:hideMark/>
          </w:tcPr>
          <w:p w:rsidR="00F67D6F" w:rsidRPr="00980BC4" w:rsidRDefault="00F67D6F" w:rsidP="008D6E99">
            <w:pPr>
              <w:pStyle w:val="a3"/>
              <w:spacing w:before="0" w:beforeAutospacing="0" w:after="0" w:afterAutospacing="0" w:line="360" w:lineRule="atLeast"/>
              <w:rPr>
                <w:rFonts w:ascii="Times New Roman" w:hAnsi="Times New Roman" w:cs="Times New Roman"/>
                <w:sz w:val="21"/>
                <w:szCs w:val="21"/>
              </w:rPr>
            </w:pPr>
            <w:r w:rsidRPr="00980BC4">
              <w:rPr>
                <w:rFonts w:cs="Times New Roman" w:hint="eastAsia"/>
                <w:sz w:val="21"/>
                <w:szCs w:val="21"/>
              </w:rPr>
              <w:t>法定使用权</w:t>
            </w:r>
          </w:p>
        </w:tc>
      </w:tr>
      <w:tr w:rsidR="00F67D6F" w:rsidRPr="00980BC4" w:rsidTr="00F67D6F">
        <w:trPr>
          <w:divId w:val="969553885"/>
          <w:trHeight w:val="369"/>
          <w:jc w:val="center"/>
        </w:trPr>
        <w:tc>
          <w:tcPr>
            <w:tcW w:w="1341" w:type="pct"/>
            <w:tcBorders>
              <w:top w:val="nil"/>
              <w:left w:val="single" w:sz="8" w:space="0" w:color="auto"/>
              <w:bottom w:val="single" w:sz="8" w:space="0" w:color="auto"/>
              <w:right w:val="single" w:sz="8" w:space="0" w:color="auto"/>
            </w:tcBorders>
            <w:tcMar>
              <w:top w:w="0" w:type="dxa"/>
              <w:left w:w="0" w:type="dxa"/>
              <w:bottom w:w="0" w:type="dxa"/>
              <w:right w:w="108" w:type="dxa"/>
            </w:tcMar>
            <w:hideMark/>
          </w:tcPr>
          <w:p w:rsidR="00F67D6F" w:rsidRPr="00980BC4" w:rsidRDefault="00F67D6F" w:rsidP="008D6E99">
            <w:pPr>
              <w:pStyle w:val="a3"/>
              <w:spacing w:before="0" w:beforeAutospacing="0" w:after="0" w:afterAutospacing="0" w:line="360" w:lineRule="atLeast"/>
              <w:rPr>
                <w:rFonts w:ascii="Times New Roman" w:hAnsi="Times New Roman" w:cs="Times New Roman"/>
                <w:sz w:val="21"/>
                <w:szCs w:val="21"/>
              </w:rPr>
            </w:pPr>
            <w:r w:rsidRPr="00980BC4">
              <w:rPr>
                <w:rFonts w:cs="Times New Roman" w:hint="eastAsia"/>
                <w:sz w:val="21"/>
                <w:szCs w:val="21"/>
              </w:rPr>
              <w:t>计算机软件</w:t>
            </w:r>
          </w:p>
        </w:tc>
        <w:tc>
          <w:tcPr>
            <w:tcW w:w="1041" w:type="pct"/>
            <w:tcBorders>
              <w:top w:val="nil"/>
              <w:left w:val="nil"/>
              <w:bottom w:val="single" w:sz="8" w:space="0" w:color="auto"/>
              <w:right w:val="single" w:sz="8" w:space="0" w:color="auto"/>
            </w:tcBorders>
            <w:tcMar>
              <w:top w:w="0" w:type="dxa"/>
              <w:left w:w="0" w:type="dxa"/>
              <w:bottom w:w="0" w:type="dxa"/>
              <w:right w:w="108" w:type="dxa"/>
            </w:tcMa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ascii="Times New Roman" w:hAnsi="Times New Roman" w:cs="Times New Roman"/>
                <w:sz w:val="21"/>
                <w:szCs w:val="21"/>
              </w:rPr>
              <w:t>5-10</w:t>
            </w:r>
            <w:r w:rsidRPr="00980BC4">
              <w:rPr>
                <w:rFonts w:cs="Times New Roman" w:hint="eastAsia"/>
                <w:sz w:val="21"/>
                <w:szCs w:val="21"/>
              </w:rPr>
              <w:t>年</w:t>
            </w:r>
          </w:p>
        </w:tc>
        <w:tc>
          <w:tcPr>
            <w:tcW w:w="2618" w:type="pct"/>
            <w:tcBorders>
              <w:top w:val="nil"/>
              <w:left w:val="nil"/>
              <w:bottom w:val="single" w:sz="8" w:space="0" w:color="auto"/>
              <w:right w:val="single" w:sz="8" w:space="0" w:color="auto"/>
            </w:tcBorders>
            <w:tcMar>
              <w:top w:w="0" w:type="dxa"/>
              <w:left w:w="0" w:type="dxa"/>
              <w:bottom w:w="0" w:type="dxa"/>
              <w:right w:w="108" w:type="dxa"/>
            </w:tcMar>
            <w:hideMark/>
          </w:tcPr>
          <w:p w:rsidR="00F67D6F" w:rsidRPr="00980BC4" w:rsidRDefault="00F67D6F" w:rsidP="008D6E99">
            <w:pPr>
              <w:pStyle w:val="a3"/>
              <w:spacing w:before="0" w:beforeAutospacing="0" w:after="0" w:afterAutospacing="0" w:line="360" w:lineRule="atLeast"/>
              <w:rPr>
                <w:rFonts w:ascii="Times New Roman" w:hAnsi="Times New Roman" w:cs="Times New Roman"/>
                <w:sz w:val="21"/>
                <w:szCs w:val="21"/>
              </w:rPr>
            </w:pPr>
            <w:r w:rsidRPr="00980BC4">
              <w:rPr>
                <w:rFonts w:cs="Times New Roman" w:hint="eastAsia"/>
                <w:sz w:val="21"/>
                <w:szCs w:val="21"/>
              </w:rPr>
              <w:t>参考能为公司带来经济利益的期限确定使用寿命</w:t>
            </w:r>
          </w:p>
        </w:tc>
      </w:tr>
      <w:tr w:rsidR="00F67D6F" w:rsidRPr="00980BC4" w:rsidTr="00F67D6F">
        <w:trPr>
          <w:divId w:val="969553885"/>
          <w:trHeight w:val="369"/>
          <w:jc w:val="center"/>
        </w:trPr>
        <w:tc>
          <w:tcPr>
            <w:tcW w:w="1341" w:type="pct"/>
            <w:tcBorders>
              <w:top w:val="nil"/>
              <w:left w:val="single" w:sz="8" w:space="0" w:color="auto"/>
              <w:bottom w:val="single" w:sz="8" w:space="0" w:color="auto"/>
              <w:right w:val="single" w:sz="8" w:space="0" w:color="auto"/>
            </w:tcBorders>
            <w:tcMar>
              <w:top w:w="0" w:type="dxa"/>
              <w:left w:w="0" w:type="dxa"/>
              <w:bottom w:w="0" w:type="dxa"/>
              <w:right w:w="108" w:type="dxa"/>
            </w:tcMar>
            <w:hideMark/>
          </w:tcPr>
          <w:p w:rsidR="00F67D6F" w:rsidRPr="00980BC4" w:rsidRDefault="00F67D6F" w:rsidP="008D6E99">
            <w:pPr>
              <w:pStyle w:val="a3"/>
              <w:spacing w:before="0" w:beforeAutospacing="0" w:after="0" w:afterAutospacing="0" w:line="360" w:lineRule="atLeast"/>
              <w:rPr>
                <w:rFonts w:ascii="Times New Roman" w:hAnsi="Times New Roman" w:cs="Times New Roman"/>
                <w:sz w:val="21"/>
                <w:szCs w:val="21"/>
              </w:rPr>
            </w:pPr>
            <w:r w:rsidRPr="00980BC4">
              <w:rPr>
                <w:rFonts w:cs="Times New Roman" w:hint="eastAsia"/>
                <w:sz w:val="21"/>
                <w:szCs w:val="21"/>
              </w:rPr>
              <w:t>专利技术</w:t>
            </w:r>
          </w:p>
        </w:tc>
        <w:tc>
          <w:tcPr>
            <w:tcW w:w="1041" w:type="pct"/>
            <w:tcBorders>
              <w:top w:val="nil"/>
              <w:left w:val="nil"/>
              <w:bottom w:val="single" w:sz="8" w:space="0" w:color="auto"/>
              <w:right w:val="single" w:sz="8" w:space="0" w:color="auto"/>
            </w:tcBorders>
            <w:tcMar>
              <w:top w:w="0" w:type="dxa"/>
              <w:left w:w="0" w:type="dxa"/>
              <w:bottom w:w="0" w:type="dxa"/>
              <w:right w:w="108" w:type="dxa"/>
            </w:tcMa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ascii="Times New Roman" w:hAnsi="Times New Roman" w:cs="Times New Roman"/>
                <w:sz w:val="21"/>
                <w:szCs w:val="21"/>
              </w:rPr>
              <w:t>10</w:t>
            </w:r>
            <w:r w:rsidRPr="00980BC4">
              <w:rPr>
                <w:rFonts w:cs="Times New Roman" w:hint="eastAsia"/>
                <w:sz w:val="21"/>
                <w:szCs w:val="21"/>
              </w:rPr>
              <w:t>年</w:t>
            </w:r>
          </w:p>
        </w:tc>
        <w:tc>
          <w:tcPr>
            <w:tcW w:w="2618" w:type="pct"/>
            <w:tcBorders>
              <w:top w:val="nil"/>
              <w:left w:val="nil"/>
              <w:bottom w:val="single" w:sz="8" w:space="0" w:color="auto"/>
              <w:right w:val="single" w:sz="8" w:space="0" w:color="auto"/>
            </w:tcBorders>
            <w:tcMar>
              <w:top w:w="0" w:type="dxa"/>
              <w:left w:w="0" w:type="dxa"/>
              <w:bottom w:w="0" w:type="dxa"/>
              <w:right w:w="108" w:type="dxa"/>
            </w:tcMar>
            <w:hideMark/>
          </w:tcPr>
          <w:p w:rsidR="00F67D6F" w:rsidRPr="00980BC4" w:rsidRDefault="00F67D6F" w:rsidP="008D6E99">
            <w:pPr>
              <w:pStyle w:val="a3"/>
              <w:spacing w:before="0" w:beforeAutospacing="0" w:after="0" w:afterAutospacing="0" w:line="360" w:lineRule="atLeast"/>
              <w:rPr>
                <w:rFonts w:ascii="Times New Roman" w:hAnsi="Times New Roman" w:cs="Times New Roman"/>
                <w:sz w:val="21"/>
                <w:szCs w:val="21"/>
              </w:rPr>
            </w:pPr>
            <w:r w:rsidRPr="00980BC4">
              <w:rPr>
                <w:rFonts w:cs="Times New Roman" w:hint="eastAsia"/>
                <w:sz w:val="21"/>
                <w:szCs w:val="21"/>
              </w:rPr>
              <w:t>参考能为公司带来经济利益的期限确定使用寿命</w:t>
            </w:r>
          </w:p>
        </w:tc>
      </w:tr>
    </w:tbl>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每年年度终了，公司对使用寿命有限的无形资产的使用寿命及摊销方法进行复核。经复核，本期末无形资产的使用寿命及摊销方法与以前估计未有不同。</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无法预见无形资产为企业带来经济利益期限的，视为使用寿命不确定的无形资产。对于使用寿命不确定的无形资产，公司在每年年度终了对使用寿命不确定的无形资产的使用寿命进行复核，如果重新复核后仍为不确定的，于资产负债表日进行减值测试。</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③无形资产的摊销</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对于使用寿命有限的无形资产，本公司在取得时确定其使用寿命，在使用寿命内采用直线法系统合理摊销，摊销金额按受益项目计入当期损益。具体应摊销金额为其成本扣除预计残值后的金额。已计提减值准备的无形资产，还应扣除已计提的无形资产减值准备累计金额。使用寿命有限的无形资产，其残值视为零，但下列情况除外：有第三方承诺在无形资产使用寿命结束时购买该无形资产或可以根据活跃市场得到预计残值信息，并且该市场在无形资产使用寿命结束时很可能存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对使用寿命不确定的无形资产，不予摊销。每年年度终了对使用寿命不确定的无形资产的使用寿命进行复核，如果有证据表明无形资产的使用寿命是有限的，估计其使用寿命并在预计使用年限内系统合理摊销。</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195" w:name="_Toc989084"/>
      <w:r w:rsidRPr="00980BC4">
        <w:rPr>
          <w:rFonts w:ascii="仿宋" w:eastAsia="仿宋" w:hAnsi="仿宋" w:cs="Times New Roman"/>
          <w:b/>
          <w:sz w:val="28"/>
          <w:szCs w:val="28"/>
        </w:rPr>
        <w:t>（2） 内部研究开发支出会计政策</w:t>
      </w:r>
      <w:bookmarkEnd w:id="195"/>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划分内部研究开发项目的研究阶段和开发阶段具体标准</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lastRenderedPageBreak/>
        <w:t>①本公司将为进一步开发活动进行的资料及相关方面的准备活动作为研究阶段，无形资产研究阶段的支出在发生时计入当期损益。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②在本公司已完成研究阶段的工作后再进行的开发活动作为开发阶段。</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开发阶段支出资本化的具体条件</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开发阶段的支出同时满足下列条件时，才能确认为无形资产：</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A.</w:t>
      </w:r>
      <w:r w:rsidRPr="00980BC4">
        <w:rPr>
          <w:rFonts w:ascii="仿宋" w:eastAsia="仿宋" w:hAnsi="仿宋" w:cs="Times New Roman" w:hint="eastAsia"/>
          <w:sz w:val="28"/>
          <w:szCs w:val="28"/>
        </w:rPr>
        <w:t>完成该无形资产以使其能够使用或出售在技术上具有可行性；</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B.</w:t>
      </w:r>
      <w:r w:rsidRPr="00980BC4">
        <w:rPr>
          <w:rFonts w:ascii="仿宋" w:eastAsia="仿宋" w:hAnsi="仿宋" w:cs="Times New Roman" w:hint="eastAsia"/>
          <w:sz w:val="28"/>
          <w:szCs w:val="28"/>
        </w:rPr>
        <w:t>具有完成该无形资产并使用或出售的意图；</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C.</w:t>
      </w:r>
      <w:r w:rsidRPr="00980BC4">
        <w:rPr>
          <w:rFonts w:ascii="仿宋" w:eastAsia="仿宋" w:hAnsi="仿宋" w:cs="Times New Roman" w:hint="eastAsia"/>
          <w:sz w:val="28"/>
          <w:szCs w:val="28"/>
        </w:rPr>
        <w:t>无形资产产生经济利益的方式，包括能够证明运用该无形资产生产的产品存在市场或无形资产自身存在市场，无形资产将在内部使用的，能够证明其有用性；</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D.</w:t>
      </w:r>
      <w:r w:rsidRPr="00980BC4">
        <w:rPr>
          <w:rFonts w:ascii="仿宋" w:eastAsia="仿宋" w:hAnsi="仿宋" w:cs="Times New Roman" w:hint="eastAsia"/>
          <w:sz w:val="28"/>
          <w:szCs w:val="28"/>
        </w:rPr>
        <w:t>有足够的技术、财务资源和其他资源支持，以完成该无形资产的开发，并有能力使用或出售该无形资产；</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E.</w:t>
      </w:r>
      <w:r w:rsidRPr="00980BC4">
        <w:rPr>
          <w:rFonts w:ascii="仿宋" w:eastAsia="仿宋" w:hAnsi="仿宋" w:cs="Times New Roman" w:hint="eastAsia"/>
          <w:sz w:val="28"/>
          <w:szCs w:val="28"/>
        </w:rPr>
        <w:t>归属于该无形资产开发阶段的支出能够可靠地计量。</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196" w:name="_Toc989085"/>
      <w:r w:rsidRPr="00980BC4">
        <w:rPr>
          <w:rFonts w:ascii="仿宋" w:eastAsia="仿宋" w:hAnsi="仿宋" w:cs="Times New Roman"/>
          <w:b/>
          <w:sz w:val="28"/>
          <w:szCs w:val="28"/>
        </w:rPr>
        <w:t>31、长期资产减值</w:t>
      </w:r>
      <w:bookmarkEnd w:id="196"/>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对子公司、联营企业和合营企业的长期股权投资、采用成本模式进行后续计量的投资性房地产、固定资产、在建工程、无形资产、商誉等（存货、递延所得税资产、金融资产除外）的资产减值，按以下方法确定：</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w:t>
      </w:r>
      <w:r w:rsidRPr="00980BC4">
        <w:rPr>
          <w:rFonts w:ascii="仿宋" w:eastAsia="仿宋" w:hAnsi="仿宋" w:cs="Times New Roman" w:hint="eastAsia"/>
          <w:sz w:val="28"/>
          <w:szCs w:val="28"/>
        </w:rPr>
        <w:lastRenderedPageBreak/>
        <w:t>为基础确定资产组的可收回金额。资产组的认定，以资产组产生的主要现金流入是否独立于其他资产或者资产组的现金流入为依据。</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当资产或资产组的可收回金额低于其账面价值时，本公司将其账面价值减记至可收回金额，减记的金额计入当期损益，同时计提相应的资产减值准备。</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资产减值损失一经确认，在以后会计期间不再转回。</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197" w:name="_Toc989086"/>
      <w:r w:rsidRPr="00980BC4">
        <w:rPr>
          <w:rFonts w:ascii="仿宋" w:eastAsia="仿宋" w:hAnsi="仿宋" w:cs="Times New Roman"/>
          <w:b/>
          <w:sz w:val="28"/>
          <w:szCs w:val="28"/>
        </w:rPr>
        <w:t>32、长期待摊费用</w:t>
      </w:r>
      <w:bookmarkEnd w:id="197"/>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长期待摊费用核算本公司已经发生但应由本期和以后各期负担的分摊期限在一年以上的各项费用，以实际发生的支出入账并在其预计受益期内按直线法平均摊销。</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198" w:name="_Toc989087"/>
      <w:r w:rsidRPr="00980BC4">
        <w:rPr>
          <w:rFonts w:ascii="仿宋" w:eastAsia="仿宋" w:hAnsi="仿宋" w:cs="Times New Roman"/>
          <w:b/>
          <w:sz w:val="28"/>
          <w:szCs w:val="28"/>
        </w:rPr>
        <w:t>33、合同负债</w:t>
      </w:r>
      <w:bookmarkEnd w:id="198"/>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已收客户对价而应向客户转让商品或提供服务的义务列示为合同负债。合同资产和合同负债在资产负债表中单独列示。同一合同下的合同资产和合同负债以净额列示，净额为借方余额的，根据其流动性在“合同资产”或“其他非流动资产”项目中列示；净额为贷方余额的，根据其流动性在</w:t>
      </w:r>
      <w:r w:rsidRPr="00980BC4">
        <w:rPr>
          <w:rFonts w:ascii="仿宋" w:eastAsia="仿宋" w:hAnsi="仿宋" w:cs="Times New Roman" w:hint="eastAsia"/>
          <w:sz w:val="28"/>
          <w:szCs w:val="28"/>
        </w:rPr>
        <w:lastRenderedPageBreak/>
        <w:t>“合同负债”或“其他非流动负债”项目中列示。不同合同下的合同资产和合同负债不能相互抵销。</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199" w:name="_Toc989088"/>
      <w:r w:rsidRPr="00980BC4">
        <w:rPr>
          <w:rFonts w:ascii="仿宋" w:eastAsia="仿宋" w:hAnsi="仿宋" w:cs="Times New Roman"/>
          <w:b/>
          <w:sz w:val="28"/>
          <w:szCs w:val="28"/>
        </w:rPr>
        <w:t>34、职工薪酬</w:t>
      </w:r>
      <w:bookmarkEnd w:id="199"/>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00" w:name="_Toc989089"/>
      <w:r w:rsidRPr="00980BC4">
        <w:rPr>
          <w:rFonts w:ascii="仿宋" w:eastAsia="仿宋" w:hAnsi="仿宋" w:cs="Times New Roman"/>
          <w:b/>
          <w:sz w:val="28"/>
          <w:szCs w:val="28"/>
        </w:rPr>
        <w:t>（1） 短期薪酬的会计处理方法</w:t>
      </w:r>
      <w:bookmarkEnd w:id="200"/>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①职工基本薪酬（工资、奖金、津贴、补贴）</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本公司在职工为其提供服务的会计期间，将实际发生的短期薪酬确认为负债，并计入当期损益，其他会计准则要求或允许计入资产成本的除外。</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②职工福利费</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本公司发生的职工福利费，在实际发生时根据实际发生额计入当期损益或相关资产成本。职工福利费为非货币性福利的，按照公允价值计量。</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③医疗保险费、工伤保险费、生育保险费等社会保险费和住房公积金，以及工会经费和职工教育经费</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01" w:name="_Toc989090"/>
      <w:r w:rsidRPr="00980BC4">
        <w:rPr>
          <w:rFonts w:ascii="仿宋" w:eastAsia="仿宋" w:hAnsi="仿宋" w:cs="Times New Roman"/>
          <w:b/>
          <w:sz w:val="28"/>
          <w:szCs w:val="28"/>
        </w:rPr>
        <w:t>（2） 离职后福利的会计处理方法</w:t>
      </w:r>
      <w:bookmarkEnd w:id="201"/>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①设定提存计划</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本公司在职工为其提供服务的会计期间，将根据设定提存计划计算的应缴存金额确认为负债，并计入当期损益或相关资产成本。</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02" w:name="_Toc989091"/>
      <w:r w:rsidRPr="00980BC4">
        <w:rPr>
          <w:rFonts w:ascii="仿宋" w:eastAsia="仿宋" w:hAnsi="仿宋" w:cs="Times New Roman"/>
          <w:b/>
          <w:sz w:val="28"/>
          <w:szCs w:val="28"/>
        </w:rPr>
        <w:lastRenderedPageBreak/>
        <w:t>（3） 辞退福利的会计处理方法</w:t>
      </w:r>
      <w:bookmarkEnd w:id="202"/>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本公司向职工提供辞退福利的，在下列两者孰早日确认辞退福利产生的职工薪酬负债，并计入当期损益：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①企业不能单方面撤回因解除劳动关系计划或裁减建议所提供的辞退福利时；</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②企业确认与涉及支付辞退福利的重组相关的成本或费用时。</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03" w:name="_Toc989092"/>
      <w:r w:rsidRPr="00980BC4">
        <w:rPr>
          <w:rFonts w:ascii="仿宋" w:eastAsia="仿宋" w:hAnsi="仿宋" w:cs="Times New Roman"/>
          <w:b/>
          <w:sz w:val="28"/>
          <w:szCs w:val="28"/>
        </w:rPr>
        <w:t>（4） 其他长期职工福利的会计处理方法</w:t>
      </w:r>
      <w:bookmarkEnd w:id="203"/>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不适用。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04" w:name="_Toc989093"/>
      <w:r w:rsidRPr="00980BC4">
        <w:rPr>
          <w:rFonts w:ascii="仿宋" w:eastAsia="仿宋" w:hAnsi="仿宋" w:cs="Times New Roman"/>
          <w:b/>
          <w:sz w:val="28"/>
          <w:szCs w:val="28"/>
        </w:rPr>
        <w:t>35、租赁负债</w:t>
      </w:r>
      <w:bookmarkEnd w:id="204"/>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租赁负债应当按照租赁期开始日尚未支付的租赁付款额的现值进行初始计量。租赁付款额包括以下五项内容:</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固定付款额及实质固定付款额，存在租赁激励的，扣除租赁激励相关金额；</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取决于指数或比率的可变租赁付款额；</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购买选择权的行权价格，前提是承租人合理确定将行使该选择权；</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行使终止租赁选择权需支付的款项，前提是租赁期反映出承租人将行使终止租赁选择权；</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根据承租人提供的担保余值预计应支付的款项。</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计算租赁付款额现值时采用租赁内含利率作为折现率，无法确定租赁内含利率的，采用公司增量借款利率作为折现率。租赁付款额与其现值之间的差额作为未确认融资费用，在租赁期各个期间内按照确认租赁付款额现值的</w:t>
      </w:r>
      <w:r w:rsidRPr="00980BC4">
        <w:rPr>
          <w:rFonts w:ascii="仿宋" w:eastAsia="仿宋" w:hAnsi="仿宋" w:cs="Times New Roman" w:hint="eastAsia"/>
          <w:sz w:val="28"/>
          <w:szCs w:val="28"/>
        </w:rPr>
        <w:lastRenderedPageBreak/>
        <w:t>折现率确认利息费用，并计入当期损益。未纳入租赁负债计量的可变租赁付款额于实际发生时计入当期损益。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05" w:name="_Toc989094"/>
      <w:r w:rsidRPr="00980BC4">
        <w:rPr>
          <w:rFonts w:ascii="仿宋" w:eastAsia="仿宋" w:hAnsi="仿宋" w:cs="Times New Roman"/>
          <w:b/>
          <w:sz w:val="28"/>
          <w:szCs w:val="28"/>
        </w:rPr>
        <w:t>36、预计负债</w:t>
      </w:r>
      <w:bookmarkEnd w:id="205"/>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（1）预计负债的确认标准</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如果与或有事项相关的义务同时符合以下条件，本公司将其确认为预计负债：</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①该义务是本公司承担的现时义务；</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②该义务的履行很可能导致经济利益流出本公司；</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③该义务的金额能够可靠地计量。</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（2）预计负债的计量方法</w:t>
      </w:r>
    </w:p>
    <w:p w:rsidR="00CC3B47"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预计负债按照履行相关现时义务所需支出的最佳估计数进行初始计量，并综合考虑与或有事项有关的风险、不确定性和货币时间价值等因素。每个资产负债表日对预计负债的账面价值进行复核。有确凿证据表明该账面价值不能反映当前最佳估计数的，按照当前最佳估计数对该账面价值进行调整。</w:t>
      </w:r>
      <w:bookmarkStart w:id="206" w:name="_Toc989095"/>
      <w:r w:rsidR="00CC3B47" w:rsidRPr="00980BC4">
        <w:rPr>
          <w:rFonts w:ascii="仿宋" w:eastAsia="仿宋" w:hAnsi="仿宋" w:cs="Times New Roman" w:hint="eastAsia"/>
          <w:sz w:val="28"/>
          <w:szCs w:val="28"/>
        </w:rPr>
        <w:t xml:space="preserve">     </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37、股份支付</w:t>
      </w:r>
      <w:bookmarkEnd w:id="206"/>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w:t>
      </w:r>
      <w:r w:rsidRPr="00980BC4">
        <w:rPr>
          <w:rFonts w:ascii="仿宋" w:eastAsia="仿宋" w:hAnsi="仿宋" w:cs="Times New Roman"/>
          <w:b/>
          <w:sz w:val="28"/>
          <w:szCs w:val="28"/>
        </w:rPr>
        <w:t>1</w:t>
      </w:r>
      <w:r w:rsidRPr="00980BC4">
        <w:rPr>
          <w:rFonts w:ascii="仿宋" w:eastAsia="仿宋" w:hAnsi="仿宋" w:cs="Times New Roman" w:hint="eastAsia"/>
          <w:b/>
          <w:sz w:val="28"/>
          <w:szCs w:val="28"/>
        </w:rPr>
        <w:t>）股份支付的种类</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本公司股份支付包括以现金结算的股份支付和以权益结算的股份支付。</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w:t>
      </w:r>
      <w:r w:rsidRPr="00980BC4">
        <w:rPr>
          <w:rFonts w:ascii="仿宋" w:eastAsia="仿宋" w:hAnsi="仿宋" w:cs="Times New Roman"/>
          <w:b/>
          <w:sz w:val="28"/>
          <w:szCs w:val="28"/>
        </w:rPr>
        <w:t>2</w:t>
      </w:r>
      <w:r w:rsidRPr="00980BC4">
        <w:rPr>
          <w:rFonts w:ascii="仿宋" w:eastAsia="仿宋" w:hAnsi="仿宋" w:cs="Times New Roman" w:hint="eastAsia"/>
          <w:b/>
          <w:sz w:val="28"/>
          <w:szCs w:val="28"/>
        </w:rPr>
        <w:t>）权益工具公允价值的确定方法</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①对于授予职工的股份，其公允价值按公司股份的市场价格计量，同时考虑授予股份所依据的条款和条件（不包括市场条件之外的可行权条件）进</w:t>
      </w:r>
      <w:r w:rsidRPr="00980BC4">
        <w:rPr>
          <w:rFonts w:ascii="仿宋" w:eastAsia="仿宋" w:hAnsi="仿宋" w:cs="Times New Roman" w:hint="eastAsia"/>
          <w:sz w:val="28"/>
          <w:szCs w:val="28"/>
        </w:rPr>
        <w:lastRenderedPageBreak/>
        <w:t>行调整。②对于授予职工的股票期权，在许多情况下难以获得其市场价格。如果不存在条款和条件相似的交易期权，公司选择适用的期权定价模型估计所授予的期权的公允价值。</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3</w:t>
      </w:r>
      <w:r w:rsidRPr="00980BC4">
        <w:rPr>
          <w:rFonts w:ascii="仿宋" w:eastAsia="仿宋" w:hAnsi="仿宋" w:hint="eastAsia"/>
          <w:b/>
          <w:bCs/>
          <w:sz w:val="28"/>
          <w:szCs w:val="28"/>
        </w:rPr>
        <w:t>）确认可行权权益工具最佳估计的依据</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在等待期内每个资产负债表日，公司根据最新取得的可行权职工人数变动等后续信息作出最佳估计，修正预计可行权的权益工具数量，以作出可行权权益工具的最佳估计。</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4</w:t>
      </w:r>
      <w:r w:rsidRPr="00980BC4">
        <w:rPr>
          <w:rFonts w:ascii="仿宋" w:eastAsia="仿宋" w:hAnsi="仿宋" w:hint="eastAsia"/>
          <w:b/>
          <w:bCs/>
          <w:sz w:val="28"/>
          <w:szCs w:val="28"/>
        </w:rPr>
        <w:t>）股份支付计划实施的会计处理</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hint="eastAsia"/>
          <w:b/>
          <w:iCs/>
          <w:sz w:val="28"/>
          <w:szCs w:val="28"/>
        </w:rPr>
        <w:t>以现金结算的股份支付</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授予后立即可行权的以现金结算的股份支付，在授予日以本公司承担负债的公允价值计入相关成本或费用，相应增加负债。并在结算前的每个资产负债表日和结算日对负债的公允价值重新计量，将其变动计入损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完成等待期内的服务或达到规定业绩条件以后才可行权的以现金结算的股份支付，在等待期内的每个资产负债表日以对可行权情况的最佳估计为基础，按本公司承担负债的公允价值金额，将当期取得的服务计入成本或费用和相应的负债。</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hint="eastAsia"/>
          <w:b/>
          <w:iCs/>
          <w:sz w:val="28"/>
          <w:szCs w:val="28"/>
        </w:rPr>
        <w:t>以权益结算的股份支付</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①授予后立即可行权的换取职工服务的以权益结算的股份支付，在授予日以权益工具的公允价值计入相关成本或费用，相应增加资本公积。</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完成等待期内的服务或达到规定业绩条件以后才可行权换取职工服务的以权益结算的股份支付，在等待期内的每个资产负债表日，以对可行权权益工具数量的最佳估计为基础，按权益工具授予日的公允价值，将当期取得的服务计入成本或费用和资本公积。</w:t>
      </w:r>
    </w:p>
    <w:p w:rsidR="00A8241F" w:rsidRDefault="00F67D6F" w:rsidP="00A8241F">
      <w:pPr>
        <w:pStyle w:val="a3"/>
        <w:widowControl w:val="0"/>
        <w:spacing w:before="0" w:beforeAutospacing="0" w:after="0" w:afterAutospacing="0" w:line="540" w:lineRule="exact"/>
        <w:ind w:firstLine="561"/>
        <w:jc w:val="both"/>
        <w:divId w:val="969553885"/>
        <w:rPr>
          <w:rFonts w:ascii="仿宋" w:eastAsia="仿宋" w:hAnsi="仿宋"/>
          <w:b/>
          <w:bCs/>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5</w:t>
      </w:r>
      <w:r w:rsidRPr="00980BC4">
        <w:rPr>
          <w:rFonts w:ascii="仿宋" w:eastAsia="仿宋" w:hAnsi="仿宋" w:hint="eastAsia"/>
          <w:b/>
          <w:bCs/>
          <w:sz w:val="28"/>
          <w:szCs w:val="28"/>
        </w:rPr>
        <w:t>）股份支付计划修改的会计处理</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本公司对股份支付计划进行修改时，若修改增加了所授予权益工具的公</w:t>
      </w:r>
      <w:r w:rsidRPr="00980BC4">
        <w:rPr>
          <w:rFonts w:ascii="仿宋" w:eastAsia="仿宋" w:hAnsi="仿宋" w:cs="Times New Roman" w:hint="eastAsia"/>
          <w:sz w:val="28"/>
          <w:szCs w:val="28"/>
        </w:rPr>
        <w:lastRenderedPageBreak/>
        <w:t>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6</w:t>
      </w:r>
      <w:r w:rsidRPr="00980BC4">
        <w:rPr>
          <w:rFonts w:ascii="仿宋" w:eastAsia="仿宋" w:hAnsi="仿宋" w:hint="eastAsia"/>
          <w:b/>
          <w:bCs/>
          <w:sz w:val="28"/>
          <w:szCs w:val="28"/>
        </w:rPr>
        <w:t>）股份支付计划终止的会计处理</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如果在等待期内取消了所授予的权益工具或结算了所授予的权益工具（因未满足可行权条件而被取消的除外），本公司：</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①将取消或结算作为加速可行权处理，立即确认原本应在剩余等待期内确认的金额；</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②在取消或结算时支付给职工的所有款项均作为权益的回购处理，回购支付的金额高于该权益工具在回购日公允价值的部分，计入当期费用。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本公司如果回购其职工已可行权的权益工具，冲减企业的所有者权益；回购支付的款项高于该权益工具在回购日公允价值的部分，计入当期损益。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07" w:name="_Toc989096"/>
      <w:r w:rsidRPr="00980BC4">
        <w:rPr>
          <w:rFonts w:ascii="仿宋" w:eastAsia="仿宋" w:hAnsi="仿宋" w:cs="Times New Roman"/>
          <w:b/>
          <w:sz w:val="28"/>
          <w:szCs w:val="28"/>
        </w:rPr>
        <w:t>38、优先股、永续债等其他金融工具</w:t>
      </w:r>
      <w:bookmarkEnd w:id="207"/>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不适用。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08" w:name="_Toc989097"/>
      <w:r w:rsidRPr="00980BC4">
        <w:rPr>
          <w:rFonts w:ascii="仿宋" w:eastAsia="仿宋" w:hAnsi="仿宋" w:cs="Times New Roman"/>
          <w:b/>
          <w:sz w:val="28"/>
          <w:szCs w:val="28"/>
        </w:rPr>
        <w:t>39、收入</w:t>
      </w:r>
      <w:bookmarkEnd w:id="208"/>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收入确认和计量所采用的会计政策</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1</w:t>
      </w:r>
      <w:r w:rsidRPr="00980BC4">
        <w:rPr>
          <w:rFonts w:ascii="仿宋" w:eastAsia="仿宋" w:hAnsi="仿宋" w:hint="eastAsia"/>
          <w:b/>
          <w:bCs/>
          <w:sz w:val="28"/>
          <w:szCs w:val="28"/>
        </w:rPr>
        <w:t>）一般原则</w:t>
      </w:r>
    </w:p>
    <w:p w:rsidR="00A8241F"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收入是本公司在日常活动中形成的、会导致股东权益增加且与股东投入资本无关的经济利益的总流入。</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本公司在履行了合同中的履约义务，即在客户取得相关商品控制权时确认收入。取得相关商品控制权，是指能够主导该商品的使用并从中获得几乎</w:t>
      </w:r>
      <w:r w:rsidRPr="00980BC4">
        <w:rPr>
          <w:rFonts w:ascii="仿宋" w:eastAsia="仿宋" w:hAnsi="仿宋" w:cs="Times New Roman" w:hint="eastAsia"/>
          <w:sz w:val="28"/>
          <w:szCs w:val="28"/>
        </w:rPr>
        <w:lastRenderedPageBreak/>
        <w:t>全部的经济利益。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合同中包含两项或多项履约义务的，本公司在合同开始日，按照各单项履约义务所承诺商品或服务的单独售价的相对比例，将交易价格分摊至各单项履约义务，按照分摊至各单项履约义务的交易价格计量收入。</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满足下列条件之一的，属于在某一时段内履行履约义务；否则，属于在某一时点履行履约义务：</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①客户在本公司履约的同时即取得并消耗本公司履约所带来的经济利益；</w:t>
      </w:r>
    </w:p>
    <w:p w:rsidR="000569C9"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②客户能够控制本公司履约过程中在建的商品；</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③本公司履约过程中所产出的商品具有不可替代用途，且本公司在整个合同期间内有权就累计至今已完成的履约部分收取款项。</w:t>
      </w:r>
    </w:p>
    <w:p w:rsidR="00A8241F"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对于在某一时点履行的履约义务，本公司在客户取得相关商品控制权时点确认收入。在判断客户是否已取得商品或服务控制权时，本公司会考虑下</w:t>
      </w:r>
      <w:r w:rsidRPr="00980BC4">
        <w:rPr>
          <w:rFonts w:ascii="仿宋" w:eastAsia="仿宋" w:hAnsi="仿宋" w:cs="Times New Roman" w:hint="eastAsia"/>
          <w:sz w:val="28"/>
          <w:szCs w:val="28"/>
        </w:rPr>
        <w:lastRenderedPageBreak/>
        <w:t>列迹象：</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①本公司就该商品或服务享有现时收款权利，即客户就该商品负有现时付款义务；</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②本公司已将该商品的法定所有权转移给客户，即客户已拥有了该商品的法定所有权；</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③本公司已将该商品的实物转移给客户，即客户已实物占有该商品；</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④本公司已将该商品所有权上的主要风险和报酬转移给客户，即客户已取得该商品所有权上的主要风险和报酬；</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⑤客户已接受该商品。</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主要责任人与代理人</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）具体方法</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本公司收入确认的具体方法如下：</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 商品销售收入</w:t>
      </w:r>
    </w:p>
    <w:p w:rsidR="00F67D6F" w:rsidRPr="00980BC4" w:rsidRDefault="00DF46D6"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本公司与客户之间的销售商品合同包含转让</w:t>
      </w:r>
      <w:r>
        <w:rPr>
          <w:rFonts w:ascii="仿宋" w:eastAsia="仿宋" w:hAnsi="仿宋" w:cs="Times New Roman" w:hint="eastAsia"/>
          <w:sz w:val="28"/>
          <w:szCs w:val="28"/>
        </w:rPr>
        <w:t>电源及相关产品</w:t>
      </w:r>
      <w:r w:rsidRPr="00980BC4">
        <w:rPr>
          <w:rFonts w:ascii="仿宋" w:eastAsia="仿宋" w:hAnsi="仿宋" w:cs="Times New Roman" w:hint="eastAsia"/>
          <w:sz w:val="28"/>
          <w:szCs w:val="28"/>
        </w:rPr>
        <w:t>、</w:t>
      </w:r>
      <w:r w:rsidRPr="001138C9">
        <w:rPr>
          <w:rFonts w:ascii="仿宋" w:eastAsia="仿宋" w:hAnsi="仿宋" w:cs="Times New Roman" w:hint="eastAsia"/>
          <w:sz w:val="28"/>
          <w:szCs w:val="28"/>
        </w:rPr>
        <w:t>高性能特种合金材料制品</w:t>
      </w:r>
      <w:r w:rsidR="00F67D6F" w:rsidRPr="00980BC4">
        <w:rPr>
          <w:rFonts w:ascii="仿宋" w:eastAsia="仿宋" w:hAnsi="仿宋" w:cs="Times New Roman" w:hint="eastAsia"/>
          <w:sz w:val="28"/>
          <w:szCs w:val="28"/>
        </w:rPr>
        <w:t>以及食糖的履约义务，属于在某一时点履行履约义务。产品收入确认需满足以下条件：本公司已根据合同约定将产品交付给客户且客户已接受该商品，已经收回货款或取得了收款凭证且相关的经济利益很可能流入，商品所有权上的主要风险和报酬已转移，商品的法定所有权已转移。</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lastRenderedPageBreak/>
        <w:t>同类业务采用不同经营模式导致收入确认会计政策存在差异的情况</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不适用。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09" w:name="_Toc989098"/>
      <w:r w:rsidRPr="00980BC4">
        <w:rPr>
          <w:rFonts w:ascii="仿宋" w:eastAsia="仿宋" w:hAnsi="仿宋" w:cs="Times New Roman"/>
          <w:b/>
          <w:sz w:val="28"/>
          <w:szCs w:val="28"/>
        </w:rPr>
        <w:t>40、政府补助</w:t>
      </w:r>
      <w:bookmarkEnd w:id="209"/>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1</w:t>
      </w:r>
      <w:r w:rsidRPr="00980BC4">
        <w:rPr>
          <w:rFonts w:ascii="仿宋" w:eastAsia="仿宋" w:hAnsi="仿宋" w:hint="eastAsia"/>
          <w:b/>
          <w:bCs/>
          <w:sz w:val="28"/>
          <w:szCs w:val="28"/>
        </w:rPr>
        <w:t>）政府补助的确认</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政府补助同时满足下列条件的，才能予以确认：</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①本公司能够满足政府补助所附条件；</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②本公司能够收到政府补助。</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）政府补助的计量</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政府补助为货币性资产的，按照收到或应收的金额计量。政府补助为非货币性资产的，按照公允价值计量；公允价值不能可靠取得的，按照名义金额</w:t>
      </w:r>
      <w:r w:rsidRPr="00980BC4">
        <w:rPr>
          <w:rFonts w:ascii="仿宋" w:eastAsia="仿宋" w:hAnsi="仿宋" w:cs="Times New Roman"/>
          <w:sz w:val="28"/>
          <w:szCs w:val="28"/>
        </w:rPr>
        <w:t>1</w:t>
      </w:r>
      <w:r w:rsidRPr="00980BC4">
        <w:rPr>
          <w:rFonts w:ascii="仿宋" w:eastAsia="仿宋" w:hAnsi="仿宋" w:cs="Times New Roman" w:hint="eastAsia"/>
          <w:sz w:val="28"/>
          <w:szCs w:val="28"/>
        </w:rPr>
        <w:t>元计量。</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3</w:t>
      </w:r>
      <w:r w:rsidRPr="00980BC4">
        <w:rPr>
          <w:rFonts w:ascii="仿宋" w:eastAsia="仿宋" w:hAnsi="仿宋" w:hint="eastAsia"/>
          <w:b/>
          <w:bCs/>
          <w:sz w:val="28"/>
          <w:szCs w:val="28"/>
        </w:rPr>
        <w:t>）政府补助的会计处理</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①与资产相关的政府补助</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公司取得的、用于购建或以其他方式形成长期资产的政府补助划分为与资产相关的政府补助。与资产相关的政府补助确认为递延收益，在相关资产使用期限内按照合理、系统的方法分期计入损益。【采用净额法则表述：与资产相关的政府补助冲减相关资产的账面价值。】按照名义金额计量的政府补助，直接计入当期损益。相关资产在使用寿命结束前被出售、转让、报废或发生毁损的，将尚未分配的相关递延收益余额转入资产处置当期的损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②与收益相关的政府补助</w:t>
      </w:r>
    </w:p>
    <w:p w:rsidR="00A8241F"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除与资产相关的政府补助之外的政府补助划分为与收益相关的政府补助。与收益相关的政府补助，分情况按照以下规定进行会计处理：</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用于补偿本公司以后期间的相关成本费用或损失的，确认为递延收益，并在确认相关成本费用或损失的期间，计入当期损益；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用于补偿本公司已发生的相关成本费用或损失的，直接计入当期损益。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lastRenderedPageBreak/>
        <w:t>对于同时包含与资产相关部分和与收益相关部分的政府补助，区分不同部分分别进行会计处理；难以区分的，整体归类为与收益相关的政府补助。</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与本公司日常活动相关的政府补助，按照经济业务实质，计入其他收益。与本公司日常活动无关的政府补助，计入营业外收支。</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10" w:name="_Toc989099"/>
      <w:r w:rsidRPr="00980BC4">
        <w:rPr>
          <w:rFonts w:ascii="仿宋" w:eastAsia="仿宋" w:hAnsi="仿宋" w:cs="Times New Roman"/>
          <w:b/>
          <w:sz w:val="28"/>
          <w:szCs w:val="28"/>
        </w:rPr>
        <w:t>41、递延所得税资产/递延所得税负债</w:t>
      </w:r>
      <w:bookmarkEnd w:id="210"/>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通常根据资产与负债在资产负债表日的账面价值与计税基础之间的暂时性差异，采用资产负债表债务法将应纳税暂时性差异或可抵扣暂时性差异对所得税的影响额确认和计量为递延所得税负债或递延所得税资产。本公司不对递延所得税资产和递延所得税负债进行折现。</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1</w:t>
      </w:r>
      <w:r w:rsidRPr="00980BC4">
        <w:rPr>
          <w:rFonts w:ascii="仿宋" w:eastAsia="仿宋" w:hAnsi="仿宋" w:hint="eastAsia"/>
          <w:b/>
          <w:bCs/>
          <w:sz w:val="28"/>
          <w:szCs w:val="28"/>
        </w:rPr>
        <w:t>）递延所得税资产的确认</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对于可抵扣暂时性差异、能够结转以后年度的可抵扣亏损和税款抵减，其对所得税的影响额按预计转回期间的所得税税率计算，并将该影响额确认为递延所得税资产，但是以本公司很可能取得用来抵扣可抵扣暂时性差异、可抵扣亏损和税款抵减的未来应纳税所得额为限。</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同时具有下列特征的交易或事项中因资产或负债的初始确认所产生的可抵扣暂时性差异对所得税的影响额不确认为递延所得税资产：</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A.</w:t>
      </w:r>
      <w:r w:rsidRPr="00980BC4">
        <w:rPr>
          <w:rFonts w:ascii="仿宋" w:eastAsia="仿宋" w:hAnsi="仿宋" w:cs="Times New Roman" w:hint="eastAsia"/>
          <w:sz w:val="28"/>
          <w:szCs w:val="28"/>
        </w:rPr>
        <w:t>该项交易不是企业合并；</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B.</w:t>
      </w:r>
      <w:r w:rsidRPr="00980BC4">
        <w:rPr>
          <w:rFonts w:ascii="仿宋" w:eastAsia="仿宋" w:hAnsi="仿宋" w:cs="Times New Roman" w:hint="eastAsia"/>
          <w:sz w:val="28"/>
          <w:szCs w:val="28"/>
        </w:rPr>
        <w:t>交易发生时既不影响会计利润也不影响应纳税所得额（或可抵扣亏损）。</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本公司对与子公司、联营公司及合营企业投资相关的可抵扣暂时性差异，同时满足下列两项条件的，其对所得税的影响额（才能）确认为递延所得税资产：</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A.</w:t>
      </w:r>
      <w:r w:rsidRPr="00980BC4">
        <w:rPr>
          <w:rFonts w:ascii="仿宋" w:eastAsia="仿宋" w:hAnsi="仿宋" w:cs="Times New Roman" w:hint="eastAsia"/>
          <w:sz w:val="28"/>
          <w:szCs w:val="28"/>
        </w:rPr>
        <w:t>暂时性差异在可预见的未来很可能转回；</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B.</w:t>
      </w:r>
      <w:r w:rsidRPr="00980BC4">
        <w:rPr>
          <w:rFonts w:ascii="仿宋" w:eastAsia="仿宋" w:hAnsi="仿宋" w:cs="Times New Roman" w:hint="eastAsia"/>
          <w:sz w:val="28"/>
          <w:szCs w:val="28"/>
        </w:rPr>
        <w:t>未来很可能获得用来抵扣可抵扣暂时性差异的应纳税所得额；</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lastRenderedPageBreak/>
        <w:t>资产负债表日，有确凿证据表明未来期间很可能获得足够的应纳税所得额用来抵扣可抵扣暂时性差异的，确认以前期间未确认的递延所得税资产。</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2</w:t>
      </w:r>
      <w:r w:rsidRPr="00980BC4">
        <w:rPr>
          <w:rFonts w:ascii="仿宋" w:eastAsia="仿宋" w:hAnsi="仿宋" w:hint="eastAsia"/>
          <w:b/>
          <w:bCs/>
          <w:sz w:val="28"/>
          <w:szCs w:val="28"/>
        </w:rPr>
        <w:t>）递延所得税负债的确认</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本公司所有应纳税暂时性差异均按预计转回期间的所得税税率计量对所得税的影响，并将该影响额确认为递延所得税负债，但下列情况的除外：</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①因下列交易或事项中产生的应纳税暂时性差异对所得税的影响不确认为递延所得税负债：</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A.</w:t>
      </w:r>
      <w:r w:rsidRPr="00980BC4">
        <w:rPr>
          <w:rFonts w:ascii="仿宋" w:eastAsia="仿宋" w:hAnsi="仿宋" w:cs="Times New Roman" w:hint="eastAsia"/>
          <w:sz w:val="28"/>
          <w:szCs w:val="28"/>
        </w:rPr>
        <w:t>商誉的初始确认；</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B.</w:t>
      </w:r>
      <w:r w:rsidRPr="00980BC4">
        <w:rPr>
          <w:rFonts w:ascii="仿宋" w:eastAsia="仿宋" w:hAnsi="仿宋" w:cs="Times New Roman" w:hint="eastAsia"/>
          <w:sz w:val="28"/>
          <w:szCs w:val="28"/>
        </w:rPr>
        <w:t>具有以下特征的交易中产生的资产或负债的初始确认：该交易不是企业合并，并且交易发生时既不影响会计利润也不影响应纳税所得额或可抵扣亏损。</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②本公司对与子公司、合营企业及联营企业投资相关的应纳税暂时性差异，其对所得税的影响额一般确认为递延所得税负债，但同时满足以下两项条件的除外：</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A.</w:t>
      </w:r>
      <w:r w:rsidRPr="00980BC4">
        <w:rPr>
          <w:rFonts w:ascii="仿宋" w:eastAsia="仿宋" w:hAnsi="仿宋" w:cs="Times New Roman" w:hint="eastAsia"/>
          <w:sz w:val="28"/>
          <w:szCs w:val="28"/>
        </w:rPr>
        <w:t>本公司能够控制暂时性差异转回的时间；</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B.</w:t>
      </w:r>
      <w:r w:rsidRPr="00980BC4">
        <w:rPr>
          <w:rFonts w:ascii="仿宋" w:eastAsia="仿宋" w:hAnsi="仿宋" w:cs="Times New Roman" w:hint="eastAsia"/>
          <w:sz w:val="28"/>
          <w:szCs w:val="28"/>
        </w:rPr>
        <w:t>该暂时性差异在可预见的未来很可能不会转回。</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w:t>
      </w:r>
      <w:r w:rsidRPr="00980BC4">
        <w:rPr>
          <w:rFonts w:ascii="仿宋" w:eastAsia="仿宋" w:hAnsi="仿宋"/>
          <w:b/>
          <w:bCs/>
          <w:sz w:val="28"/>
          <w:szCs w:val="28"/>
        </w:rPr>
        <w:t>3</w:t>
      </w:r>
      <w:r w:rsidRPr="00980BC4">
        <w:rPr>
          <w:rFonts w:ascii="仿宋" w:eastAsia="仿宋" w:hAnsi="仿宋" w:hint="eastAsia"/>
          <w:b/>
          <w:bCs/>
          <w:sz w:val="28"/>
          <w:szCs w:val="28"/>
        </w:rPr>
        <w:t>）特定交易或事项所涉及的递延所得税负债或资产的确认</w:t>
      </w:r>
    </w:p>
    <w:p w:rsidR="00A8241F"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①与企业合并相关的递延所得税负债或资产</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非同一控制下企业合并产生的应纳税暂时性差异或可抵扣暂时性差异，在确认递延所得税负债或递延所得税资产的同时，相关的递延所得税费用（或收益），通常调整企业合并中所确认的商誉。</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lastRenderedPageBreak/>
        <w:t>②直接计入所有者权益的项目</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与直接计入所有者权益的交易或者事项相关的当期所得税和递延所得税，计入所有者权益。暂时性差异对所得税的影响计入所有者权益的交易或事项包括：其他债权投资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③可弥补亏损和税款抵减</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A.</w:t>
      </w:r>
      <w:r w:rsidRPr="00980BC4">
        <w:rPr>
          <w:rFonts w:ascii="仿宋" w:eastAsia="仿宋" w:hAnsi="仿宋" w:cs="Times New Roman" w:hint="eastAsia"/>
          <w:sz w:val="28"/>
          <w:szCs w:val="28"/>
        </w:rPr>
        <w:t>本公司自身经营产生的可弥补亏损以及税款抵减</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可抵扣亏损是指按照税法规定计算确定的准予用以后年度的应纳税所得额弥补的亏损。对于按照税法规定可以结转以后年度的未弥补亏损（可抵扣亏损）和税款抵减，视同可抵扣暂时性差异处理。</w:t>
      </w:r>
      <w:bookmarkStart w:id="211" w:name="_GoBack"/>
      <w:bookmarkEnd w:id="211"/>
      <w:r w:rsidRPr="00980BC4">
        <w:rPr>
          <w:rFonts w:ascii="仿宋" w:eastAsia="仿宋" w:hAnsi="仿宋" w:cs="Times New Roman" w:hint="eastAsia"/>
          <w:sz w:val="28"/>
          <w:szCs w:val="28"/>
        </w:rPr>
        <w:t>在预计可利用可弥补亏损或税款抵减的未来期间内很可能取得足够的应纳税所得额时，以很可能取得的应纳税所得额为限，确认相应的递延所得税资产，同时减少当期利润表中的所得税费用。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B.</w:t>
      </w:r>
      <w:r w:rsidRPr="00980BC4">
        <w:rPr>
          <w:rFonts w:ascii="仿宋" w:eastAsia="仿宋" w:hAnsi="仿宋" w:cs="Times New Roman" w:hint="eastAsia"/>
          <w:sz w:val="28"/>
          <w:szCs w:val="28"/>
        </w:rPr>
        <w:t>因企业合并而形成的可弥补的被合并企业的未弥补亏损</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在企业合并中，本公司取得被购买方的可抵扣暂时性差异，在购买日不符合递延所得税资产确认条件的，不予以确认。购买日后</w:t>
      </w:r>
      <w:r w:rsidRPr="00980BC4">
        <w:rPr>
          <w:rFonts w:ascii="仿宋" w:eastAsia="仿宋" w:hAnsi="仿宋" w:cs="Times New Roman"/>
          <w:sz w:val="28"/>
          <w:szCs w:val="28"/>
        </w:rPr>
        <w:t>12</w:t>
      </w:r>
      <w:r w:rsidRPr="00980BC4">
        <w:rPr>
          <w:rFonts w:ascii="仿宋" w:eastAsia="仿宋" w:hAnsi="仿宋" w:cs="Times New Roman" w:hint="eastAsia"/>
          <w:sz w:val="28"/>
          <w:szCs w:val="28"/>
        </w:rPr>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A8241F"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④合并抵销形成的暂时性差异</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本公司在编制合并财务报表时，因抵销未实现内部销售损益导致合并资产负债表中资产、负债的账面价值与其在所属纳税主体的计税基础之间产生</w:t>
      </w:r>
      <w:r w:rsidRPr="00980BC4">
        <w:rPr>
          <w:rFonts w:ascii="仿宋" w:eastAsia="仿宋" w:hAnsi="仿宋" w:cs="Times New Roman" w:hint="eastAsia"/>
          <w:sz w:val="28"/>
          <w:szCs w:val="28"/>
        </w:rPr>
        <w:lastRenderedPageBreak/>
        <w:t>暂时性差异的，在合并资产负债表中确认递延所得税资产或递延所得税负债，同时调整合并利润表中的所得税费用，但与直接计入所有者权益的交易或事项及企业合并相关的递延所得税除外。</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⑤以权益结算的股份支付</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12" w:name="_Toc989100"/>
      <w:r w:rsidRPr="00980BC4">
        <w:rPr>
          <w:rFonts w:ascii="仿宋" w:eastAsia="仿宋" w:hAnsi="仿宋" w:cs="Times New Roman"/>
          <w:b/>
          <w:sz w:val="28"/>
          <w:szCs w:val="28"/>
        </w:rPr>
        <w:t>42、租赁</w:t>
      </w:r>
      <w:bookmarkEnd w:id="212"/>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13" w:name="_Toc989101"/>
      <w:r w:rsidRPr="00980BC4">
        <w:rPr>
          <w:rFonts w:ascii="仿宋" w:eastAsia="仿宋" w:hAnsi="仿宋" w:cs="Times New Roman"/>
          <w:b/>
          <w:sz w:val="28"/>
          <w:szCs w:val="28"/>
        </w:rPr>
        <w:t>（1） 经营租赁的会计处理方法</w:t>
      </w:r>
      <w:bookmarkEnd w:id="213"/>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在租赁期内各个期间按照直线法将租赁收款额确认为租金收入，发生的初始直接费用予以资本化并按照与租金收入确认相同的基础进行分摊，分期计入当期损益。本公司取得的与经营租赁有关的未计入租赁收款额的可变租赁付款额在实际发生时计入当期损益。</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14" w:name="_Toc989102"/>
      <w:r w:rsidRPr="00980BC4">
        <w:rPr>
          <w:rFonts w:ascii="仿宋" w:eastAsia="仿宋" w:hAnsi="仿宋" w:cs="Times New Roman"/>
          <w:b/>
          <w:sz w:val="28"/>
          <w:szCs w:val="28"/>
        </w:rPr>
        <w:t>（2） 融资租赁的会计处理方法</w:t>
      </w:r>
      <w:bookmarkEnd w:id="214"/>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在租赁开始日，本公司按照租赁投资净额(未担保余值和租赁期开始日尚未收到的租赁收款额按照租赁内含利率折现的现值之和)确认应收融资租赁款，并终止确认融资租赁资产。在租赁期的各个期间，本公司按照租赁内含利率计算并确认利息收入。</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15" w:name="_Toc989103"/>
      <w:r w:rsidRPr="00980BC4">
        <w:rPr>
          <w:rFonts w:ascii="仿宋" w:eastAsia="仿宋" w:hAnsi="仿宋" w:cs="Times New Roman"/>
          <w:b/>
          <w:sz w:val="28"/>
          <w:szCs w:val="28"/>
        </w:rPr>
        <w:t>43、其他重要的会计政策和会计估计</w:t>
      </w:r>
      <w:bookmarkEnd w:id="215"/>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（1）安全生产费用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lastRenderedPageBreak/>
        <w:t>公司之子公司沈阳含能从事</w:t>
      </w:r>
      <w:r w:rsidR="00DF46D6" w:rsidRPr="001138C9">
        <w:rPr>
          <w:rFonts w:ascii="仿宋" w:eastAsia="仿宋" w:hAnsi="仿宋" w:cs="Times New Roman" w:hint="eastAsia"/>
          <w:sz w:val="28"/>
          <w:szCs w:val="28"/>
        </w:rPr>
        <w:t>高性能特种合金材料制品</w:t>
      </w:r>
      <w:r w:rsidRPr="00980BC4">
        <w:rPr>
          <w:rFonts w:ascii="仿宋" w:eastAsia="仿宋" w:hAnsi="仿宋" w:cs="Times New Roman" w:hint="eastAsia"/>
          <w:sz w:val="28"/>
          <w:szCs w:val="28"/>
        </w:rPr>
        <w:t>生产，根据《企业安全生产费用提取和使用管理办法》对冶金企业的有关规定，按以下标准提取安全生产费用：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a.营业收入不超过1000万元的，按照3%提取;</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b.营业收入超过1000万元至1亿元的部分，按照1.5%提取;</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c.营业收入超过1亿元至10亿元的部分，按照0.5%提取;</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d.营业收入超过10亿元至50亿元的部分，按照0.2%提取。</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e.营业收入超过50亿元至100亿元的部分，按照0.1%提取。</w:t>
      </w:r>
    </w:p>
    <w:p w:rsidR="00F67D6F"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f.营业收入超过100亿元的部分，按照0.05%提取。</w:t>
      </w:r>
    </w:p>
    <w:p w:rsidR="00DF46D6" w:rsidRPr="001138C9" w:rsidRDefault="00DF46D6"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1138C9">
        <w:rPr>
          <w:rFonts w:ascii="仿宋" w:eastAsia="仿宋" w:hAnsi="仿宋" w:cs="Times New Roman" w:hint="eastAsia"/>
          <w:sz w:val="28"/>
          <w:szCs w:val="28"/>
        </w:rPr>
        <w:t>公司之子公司沈阳非晶从事高性能特种合金材料制品生产，根据《企业安全生产费用提取和使用管理办法》对机械制造企业的有关规定，以上一年度营业收入为依据，采取超额累退方式确定本年度应计提金额，并逐月平均提取安全生产费用。具体如下：</w:t>
      </w:r>
    </w:p>
    <w:p w:rsidR="00DF46D6" w:rsidRPr="001138C9" w:rsidRDefault="00DF46D6"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1138C9">
        <w:rPr>
          <w:rFonts w:ascii="仿宋" w:eastAsia="仿宋" w:hAnsi="仿宋" w:cs="Times New Roman" w:hint="eastAsia"/>
          <w:sz w:val="28"/>
          <w:szCs w:val="28"/>
        </w:rPr>
        <w:t>a.上一年度营业收入不超过1000万元的，按照2%提取；</w:t>
      </w:r>
    </w:p>
    <w:p w:rsidR="00DF46D6" w:rsidRPr="001138C9" w:rsidRDefault="00DF46D6"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1138C9">
        <w:rPr>
          <w:rFonts w:ascii="仿宋" w:eastAsia="仿宋" w:hAnsi="仿宋" w:cs="Times New Roman" w:hint="eastAsia"/>
          <w:sz w:val="28"/>
          <w:szCs w:val="28"/>
        </w:rPr>
        <w:t>b.上一年度营业收入超过1000万元至1亿元的部分，按照1%提取；</w:t>
      </w:r>
    </w:p>
    <w:p w:rsidR="00DF46D6" w:rsidRPr="001138C9" w:rsidRDefault="00DF46D6"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1138C9">
        <w:rPr>
          <w:rFonts w:ascii="仿宋" w:eastAsia="仿宋" w:hAnsi="仿宋" w:cs="Times New Roman" w:hint="eastAsia"/>
          <w:sz w:val="28"/>
          <w:szCs w:val="28"/>
        </w:rPr>
        <w:t>c.上一年度营业收入超过1亿元至10亿元的部分，按照0.2%提取；</w:t>
      </w:r>
    </w:p>
    <w:p w:rsidR="00DF46D6" w:rsidRPr="001138C9" w:rsidRDefault="00DF46D6"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1138C9">
        <w:rPr>
          <w:rFonts w:ascii="仿宋" w:eastAsia="仿宋" w:hAnsi="仿宋" w:cs="Times New Roman" w:hint="eastAsia"/>
          <w:sz w:val="28"/>
          <w:szCs w:val="28"/>
        </w:rPr>
        <w:t>d.上一年度营业收入超过10亿元至50亿元的部分，按照0.1%提取；</w:t>
      </w:r>
    </w:p>
    <w:p w:rsidR="00DF46D6" w:rsidRPr="001138C9" w:rsidRDefault="00DF46D6"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1138C9">
        <w:rPr>
          <w:rFonts w:ascii="仿宋" w:eastAsia="仿宋" w:hAnsi="仿宋" w:cs="Times New Roman" w:hint="eastAsia"/>
          <w:sz w:val="28"/>
          <w:szCs w:val="28"/>
        </w:rPr>
        <w:t>e.上一年度营业收入超过50亿元的部分，按照0.05%提取。</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安全生产费用于提取时计入相关产品的成本或当期损益，同时计入“专项储备”科目。</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提取的安全生产费按规定范围使用时，属于费用性支出的，直接冲减专项储备；形成固定资产的，先通过“在建工程”科目归集所发生的支出，待安全项目完工达到预定可使用状态时确认为固定资产；同时，按照形成固定资产的成本冲减专项储备，并确认相同金额的累计折旧。该固定资产在以后期间不再计提折旧。</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lastRenderedPageBreak/>
        <w:t>（2）终止经营</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终止经营的认定标准</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终止经营，是指本公司满足下列条件之一的、能够单独区分的组成部分，且该组成部分已经处置或划分为持有待售类别：</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①该组成部分代表一项独立的主要业务或一个单独的主要经营地区；</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②该组成部分是拟对一项独立的主要业务或一个单独的主要经营地区进行处置的一项相关联计划的一部分；</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③该组成部分是专为转售而取得的子公司。</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终止经营的列示</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在利润表中分别列示持续经营损益和终止经营损益。对于当期列报的终止经营，本公司在当期财务报表中，将原来作为持续经营损益列报的信息重新作为可比会计期间的终止经营损益列报。终止经营不再满足持有待售类别划分条件的，本公司在当期财务报表中，将原来作为终止经营损益列报的信息重新作为可比会计期间的持续经营损益列报。</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（3）回购公司股份</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①本公司按法定程序报经批准采用收购本公司股票方式减资的，按注销股票面值总额减少股本，购回股票支付的价款（含交易费用）与股票面值的差额调整所有者权益，超过面值总额的部分，依次冲减资本公积（股本溢价）、盈余公积和未分配利润；低于面值总额的，低于面值总额的部分增加资本公积（股本溢价）。</w:t>
      </w:r>
    </w:p>
    <w:p w:rsidR="00A8241F"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②公司回购的股份在注销或者转让之前，作为库存股管理，回购股份的全部支出转作库存股成本。</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③库存股转让时，转让收入高于库存股成本的部分，增加资本公积（股本溢价）；低于库存股成本的部分，依次冲减资本公积（股本溢价）、盈余公积、未分配利润。</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lastRenderedPageBreak/>
        <w:t>（4）限制性股票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股权激励计划中，本公司授予被激励对象限制性股票，被激励对象先认购股票，如果后续未达到股权激励计划规定的解锁条件，则本公司按照事先约定的价格回购股票。向职工发行的限制性股票按有关规定履行了注册登记等增资手续的，公司股权激励授予股票来源为从二级市场回购，在授予日，本公司根据收到的职工缴纳的认股款确认回购义务，并将授予股票的回购价格与授予价格差异部分转出核销库存股。</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16" w:name="_Toc989104"/>
      <w:r w:rsidRPr="00980BC4">
        <w:rPr>
          <w:rFonts w:ascii="仿宋" w:eastAsia="仿宋" w:hAnsi="仿宋" w:cs="Times New Roman"/>
          <w:b/>
          <w:sz w:val="28"/>
          <w:szCs w:val="28"/>
        </w:rPr>
        <w:t>44、重要会计政策和会计估计变更</w:t>
      </w:r>
      <w:bookmarkEnd w:id="216"/>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17" w:name="_Toc989105"/>
      <w:r w:rsidRPr="00980BC4">
        <w:rPr>
          <w:rFonts w:ascii="仿宋" w:eastAsia="仿宋" w:hAnsi="仿宋" w:cs="Times New Roman"/>
          <w:b/>
          <w:sz w:val="28"/>
          <w:szCs w:val="28"/>
        </w:rPr>
        <w:t>（1） 重要会计政策变更</w:t>
      </w:r>
      <w:bookmarkEnd w:id="217"/>
    </w:p>
    <w:p w:rsidR="00F67D6F" w:rsidRPr="00980BC4" w:rsidRDefault="00F67D6F" w:rsidP="00A8241F">
      <w:pPr>
        <w:pStyle w:val="a3"/>
        <w:spacing w:before="0" w:beforeAutospacing="0" w:after="0" w:afterAutospacing="0" w:line="540" w:lineRule="exact"/>
        <w:ind w:firstLine="560"/>
        <w:jc w:val="both"/>
        <w:divId w:val="969553885"/>
      </w:pP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适用</w:t>
      </w:r>
      <w:r w:rsidR="00016688"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□不适用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①执行《企业会计准则解释第</w:t>
      </w:r>
      <w:r w:rsidRPr="00980BC4">
        <w:rPr>
          <w:rFonts w:ascii="仿宋" w:eastAsia="仿宋" w:hAnsi="仿宋"/>
          <w:b/>
          <w:bCs/>
          <w:sz w:val="28"/>
          <w:szCs w:val="28"/>
        </w:rPr>
        <w:t>15</w:t>
      </w:r>
      <w:r w:rsidRPr="00980BC4">
        <w:rPr>
          <w:rFonts w:ascii="仿宋" w:eastAsia="仿宋" w:hAnsi="仿宋" w:hint="eastAsia"/>
          <w:b/>
          <w:bCs/>
          <w:sz w:val="28"/>
          <w:szCs w:val="28"/>
        </w:rPr>
        <w:t>号》中“关于企业将固定资产达到预定可使用状态前或者研发过程中产出的产品或副产品对外销售的会计处理”和“关于亏损合同的判断”的规定</w:t>
      </w:r>
    </w:p>
    <w:p w:rsidR="00F67D6F" w:rsidRPr="00980BC4"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sz w:val="28"/>
          <w:szCs w:val="28"/>
        </w:rPr>
        <w:t>2021</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30</w:t>
      </w:r>
      <w:r w:rsidRPr="00980BC4">
        <w:rPr>
          <w:rFonts w:ascii="仿宋" w:eastAsia="仿宋" w:hAnsi="仿宋" w:cs="Times New Roman" w:hint="eastAsia"/>
          <w:sz w:val="28"/>
          <w:szCs w:val="28"/>
        </w:rPr>
        <w:t>日，财政部发布了《企业会计准则解释第</w:t>
      </w:r>
      <w:r w:rsidRPr="00980BC4">
        <w:rPr>
          <w:rFonts w:ascii="仿宋" w:eastAsia="仿宋" w:hAnsi="仿宋" w:cs="Times New Roman"/>
          <w:sz w:val="28"/>
          <w:szCs w:val="28"/>
        </w:rPr>
        <w:t>15</w:t>
      </w:r>
      <w:r w:rsidRPr="00980BC4">
        <w:rPr>
          <w:rFonts w:ascii="仿宋" w:eastAsia="仿宋" w:hAnsi="仿宋" w:cs="Times New Roman" w:hint="eastAsia"/>
          <w:sz w:val="28"/>
          <w:szCs w:val="28"/>
        </w:rPr>
        <w:t>号》（财会</w:t>
      </w:r>
      <w:r w:rsidRPr="00980BC4">
        <w:rPr>
          <w:rFonts w:ascii="仿宋" w:eastAsia="仿宋" w:hAnsi="仿宋" w:cs="Times New Roman"/>
          <w:sz w:val="28"/>
          <w:szCs w:val="28"/>
        </w:rPr>
        <w:t>[2021]35</w:t>
      </w:r>
      <w:r w:rsidRPr="00980BC4">
        <w:rPr>
          <w:rFonts w:ascii="仿宋" w:eastAsia="仿宋" w:hAnsi="仿宋" w:cs="Times New Roman" w:hint="eastAsia"/>
          <w:sz w:val="28"/>
          <w:szCs w:val="28"/>
        </w:rPr>
        <w:t>号）（以下简称“解释</w:t>
      </w:r>
      <w:r w:rsidRPr="00980BC4">
        <w:rPr>
          <w:rFonts w:ascii="仿宋" w:eastAsia="仿宋" w:hAnsi="仿宋" w:cs="Times New Roman"/>
          <w:sz w:val="28"/>
          <w:szCs w:val="28"/>
        </w:rPr>
        <w:t>15</w:t>
      </w:r>
      <w:r w:rsidRPr="00980BC4">
        <w:rPr>
          <w:rFonts w:ascii="仿宋" w:eastAsia="仿宋" w:hAnsi="仿宋" w:cs="Times New Roman" w:hint="eastAsia"/>
          <w:sz w:val="28"/>
          <w:szCs w:val="28"/>
        </w:rPr>
        <w:t>号”），其中“关于企业将固定资产达到预定可使用状态前或者研发过程中产出的产品或副产品对外销售的会计处理”（以下简称“试运行销售的会计处理规定”）和“关于亏损合同的判断”内容自</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w:t>
      </w:r>
      <w:r w:rsidRPr="00980BC4">
        <w:rPr>
          <w:rFonts w:ascii="仿宋" w:eastAsia="仿宋" w:hAnsi="仿宋" w:cs="Times New Roman" w:hint="eastAsia"/>
          <w:sz w:val="28"/>
          <w:szCs w:val="28"/>
        </w:rPr>
        <w:t>月</w:t>
      </w:r>
      <w:r w:rsidRPr="00980BC4">
        <w:rPr>
          <w:rFonts w:ascii="仿宋" w:eastAsia="仿宋" w:hAnsi="仿宋" w:cs="Times New Roman"/>
          <w:sz w:val="28"/>
          <w:szCs w:val="28"/>
        </w:rPr>
        <w:t>1</w:t>
      </w:r>
      <w:r w:rsidRPr="00980BC4">
        <w:rPr>
          <w:rFonts w:ascii="仿宋" w:eastAsia="仿宋" w:hAnsi="仿宋" w:cs="Times New Roman" w:hint="eastAsia"/>
          <w:sz w:val="28"/>
          <w:szCs w:val="28"/>
        </w:rPr>
        <w:t>日起施行。</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执行解释</w:t>
      </w:r>
      <w:r w:rsidRPr="00980BC4">
        <w:rPr>
          <w:rFonts w:ascii="仿宋" w:eastAsia="仿宋" w:hAnsi="仿宋" w:cs="Times New Roman"/>
          <w:sz w:val="28"/>
          <w:szCs w:val="28"/>
        </w:rPr>
        <w:t>15</w:t>
      </w:r>
      <w:r w:rsidRPr="00980BC4">
        <w:rPr>
          <w:rFonts w:ascii="仿宋" w:eastAsia="仿宋" w:hAnsi="仿宋" w:cs="Times New Roman" w:hint="eastAsia"/>
          <w:sz w:val="28"/>
          <w:szCs w:val="28"/>
        </w:rPr>
        <w:t>号的相关规定对本公司报告期内财务报表未产生重大影响。</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hint="eastAsia"/>
          <w:b/>
          <w:bCs/>
          <w:sz w:val="28"/>
          <w:szCs w:val="28"/>
        </w:rPr>
        <w:t>②执行《企业会计准则解释第</w:t>
      </w:r>
      <w:r w:rsidRPr="00980BC4">
        <w:rPr>
          <w:rFonts w:ascii="仿宋" w:eastAsia="仿宋" w:hAnsi="仿宋"/>
          <w:b/>
          <w:bCs/>
          <w:sz w:val="28"/>
          <w:szCs w:val="28"/>
        </w:rPr>
        <w:t>16</w:t>
      </w:r>
      <w:r w:rsidRPr="00980BC4">
        <w:rPr>
          <w:rFonts w:ascii="仿宋" w:eastAsia="仿宋" w:hAnsi="仿宋" w:hint="eastAsia"/>
          <w:b/>
          <w:bCs/>
          <w:sz w:val="28"/>
          <w:szCs w:val="28"/>
        </w:rPr>
        <w:t>号》中“关于发行方分类为权益工具的金融工具相关股利的所得税影响的会计处理”和“关于企业将以现金结算的股份支付修改为以权益结算的股份支付的会计处理”的规定</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11</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30</w:t>
      </w:r>
      <w:r w:rsidRPr="00980BC4">
        <w:rPr>
          <w:rFonts w:ascii="仿宋" w:eastAsia="仿宋" w:hAnsi="仿宋" w:cs="Times New Roman" w:hint="eastAsia"/>
          <w:sz w:val="28"/>
          <w:szCs w:val="28"/>
        </w:rPr>
        <w:t>日，财政部发布了《企业会计准则解释第</w:t>
      </w:r>
      <w:r w:rsidRPr="00980BC4">
        <w:rPr>
          <w:rFonts w:ascii="仿宋" w:eastAsia="仿宋" w:hAnsi="仿宋" w:cs="Times New Roman"/>
          <w:sz w:val="28"/>
          <w:szCs w:val="28"/>
        </w:rPr>
        <w:t>16</w:t>
      </w:r>
      <w:r w:rsidRPr="00980BC4">
        <w:rPr>
          <w:rFonts w:ascii="仿宋" w:eastAsia="仿宋" w:hAnsi="仿宋" w:cs="Times New Roman" w:hint="eastAsia"/>
          <w:sz w:val="28"/>
          <w:szCs w:val="28"/>
        </w:rPr>
        <w:t>号》（财会</w:t>
      </w:r>
      <w:r w:rsidRPr="00980BC4">
        <w:rPr>
          <w:rFonts w:ascii="仿宋" w:eastAsia="仿宋" w:hAnsi="仿宋" w:cs="Times New Roman"/>
          <w:sz w:val="28"/>
          <w:szCs w:val="28"/>
        </w:rPr>
        <w:t>[2022]31</w:t>
      </w:r>
      <w:r w:rsidRPr="00980BC4">
        <w:rPr>
          <w:rFonts w:ascii="仿宋" w:eastAsia="仿宋" w:hAnsi="仿宋" w:cs="Times New Roman" w:hint="eastAsia"/>
          <w:sz w:val="28"/>
          <w:szCs w:val="28"/>
        </w:rPr>
        <w:t>号）（以下简称“解释</w:t>
      </w:r>
      <w:r w:rsidRPr="00980BC4">
        <w:rPr>
          <w:rFonts w:ascii="仿宋" w:eastAsia="仿宋" w:hAnsi="仿宋" w:cs="Times New Roman"/>
          <w:sz w:val="28"/>
          <w:szCs w:val="28"/>
        </w:rPr>
        <w:t>16</w:t>
      </w:r>
      <w:r w:rsidRPr="00980BC4">
        <w:rPr>
          <w:rFonts w:ascii="仿宋" w:eastAsia="仿宋" w:hAnsi="仿宋" w:cs="Times New Roman" w:hint="eastAsia"/>
          <w:sz w:val="28"/>
          <w:szCs w:val="28"/>
        </w:rPr>
        <w:t>号”），其中“关于单项交易产生的资产和负债相关的递延所得税不适用初始确认豁免的会计处理”内容自</w:t>
      </w:r>
      <w:r w:rsidRPr="00980BC4">
        <w:rPr>
          <w:rFonts w:ascii="仿宋" w:eastAsia="仿宋" w:hAnsi="仿宋" w:cs="Times New Roman"/>
          <w:sz w:val="28"/>
          <w:szCs w:val="28"/>
        </w:rPr>
        <w:t>2023</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w:t>
      </w:r>
      <w:r w:rsidRPr="00980BC4">
        <w:rPr>
          <w:rFonts w:ascii="仿宋" w:eastAsia="仿宋" w:hAnsi="仿宋" w:cs="Times New Roman" w:hint="eastAsia"/>
          <w:sz w:val="28"/>
          <w:szCs w:val="28"/>
        </w:rPr>
        <w:lastRenderedPageBreak/>
        <w:t>月</w:t>
      </w:r>
      <w:r w:rsidRPr="00980BC4">
        <w:rPr>
          <w:rFonts w:ascii="仿宋" w:eastAsia="仿宋" w:hAnsi="仿宋" w:cs="Times New Roman"/>
          <w:sz w:val="28"/>
          <w:szCs w:val="28"/>
        </w:rPr>
        <w:t>1</w:t>
      </w:r>
      <w:r w:rsidRPr="00980BC4">
        <w:rPr>
          <w:rFonts w:ascii="仿宋" w:eastAsia="仿宋" w:hAnsi="仿宋" w:cs="Times New Roman" w:hint="eastAsia"/>
          <w:sz w:val="28"/>
          <w:szCs w:val="28"/>
        </w:rPr>
        <w:t>日起施行，允许企业自发布年度提前执行，本公司本年度未提前施行该事项相关的会计处理；“关于发行方分类为权益工具的金融工具相关股利的所得税影响的会计处理”和“关于企业将以现金结算的股份支付修改为以权益结算的股份支付的会计处理”内容自公布之日起施行。</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执行解释</w:t>
      </w:r>
      <w:r w:rsidRPr="00980BC4">
        <w:rPr>
          <w:rFonts w:ascii="仿宋" w:eastAsia="仿宋" w:hAnsi="仿宋" w:cs="Times New Roman"/>
          <w:sz w:val="28"/>
          <w:szCs w:val="28"/>
        </w:rPr>
        <w:t>16</w:t>
      </w:r>
      <w:r w:rsidRPr="00980BC4">
        <w:rPr>
          <w:rFonts w:ascii="仿宋" w:eastAsia="仿宋" w:hAnsi="仿宋" w:cs="Times New Roman" w:hint="eastAsia"/>
          <w:sz w:val="28"/>
          <w:szCs w:val="28"/>
        </w:rPr>
        <w:t>号的相关规定对本公司报告期内财务报表未产生重大影响。</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18" w:name="_Toc989106"/>
      <w:r w:rsidRPr="00980BC4">
        <w:rPr>
          <w:rFonts w:ascii="仿宋" w:eastAsia="仿宋" w:hAnsi="仿宋" w:cs="Times New Roman"/>
          <w:b/>
          <w:sz w:val="28"/>
          <w:szCs w:val="28"/>
        </w:rPr>
        <w:t>（2） 重要会计估计变更</w:t>
      </w:r>
      <w:bookmarkEnd w:id="218"/>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016688"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A8241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19" w:name="_Toc989107"/>
      <w:r w:rsidRPr="00980BC4">
        <w:rPr>
          <w:rFonts w:ascii="仿宋" w:eastAsia="仿宋" w:hAnsi="仿宋" w:cs="Times New Roman"/>
          <w:b/>
          <w:sz w:val="28"/>
          <w:szCs w:val="28"/>
        </w:rPr>
        <w:t>45、其他</w:t>
      </w:r>
      <w:bookmarkEnd w:id="219"/>
    </w:p>
    <w:p w:rsidR="00B7436F"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无。</w:t>
      </w:r>
      <w:bookmarkStart w:id="220" w:name="_Toc989108"/>
    </w:p>
    <w:p w:rsidR="00F67D6F" w:rsidRPr="00980BC4" w:rsidRDefault="00F67D6F" w:rsidP="00B7436F">
      <w:pPr>
        <w:pStyle w:val="a3"/>
        <w:spacing w:before="0" w:beforeAutospacing="0" w:after="0" w:afterAutospacing="0" w:line="560" w:lineRule="exact"/>
        <w:ind w:firstLine="560"/>
        <w:jc w:val="both"/>
        <w:divId w:val="969553885"/>
        <w:rPr>
          <w:b/>
          <w:bCs/>
          <w:sz w:val="28"/>
          <w:szCs w:val="28"/>
        </w:rPr>
      </w:pPr>
      <w:r w:rsidRPr="00980BC4">
        <w:rPr>
          <w:b/>
          <w:bCs/>
          <w:sz w:val="28"/>
          <w:szCs w:val="28"/>
        </w:rPr>
        <w:t>六、税项</w:t>
      </w:r>
      <w:bookmarkEnd w:id="220"/>
    </w:p>
    <w:p w:rsidR="00F67D6F" w:rsidRPr="00980BC4" w:rsidRDefault="00F67D6F" w:rsidP="00DC298B">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21" w:name="_Toc989109"/>
      <w:r w:rsidRPr="00980BC4">
        <w:rPr>
          <w:rFonts w:ascii="仿宋" w:eastAsia="仿宋" w:hAnsi="仿宋" w:cs="Times New Roman"/>
          <w:b/>
          <w:sz w:val="28"/>
          <w:szCs w:val="28"/>
        </w:rPr>
        <w:t>1、主要税种及税率</w:t>
      </w:r>
      <w:bookmarkEnd w:id="22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C298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C298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C298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税率</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C298B">
            <w:pPr>
              <w:spacing w:before="40" w:after="40" w:line="280" w:lineRule="exact"/>
              <w:rPr>
                <w:rFonts w:ascii="宋体" w:eastAsia="宋体" w:hAnsi="宋体" w:cs="宋体"/>
                <w:sz w:val="18"/>
                <w:szCs w:val="18"/>
              </w:rPr>
            </w:pPr>
            <w:r w:rsidRPr="00980BC4">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C298B">
            <w:pPr>
              <w:spacing w:line="280" w:lineRule="exact"/>
              <w:rPr>
                <w:rFonts w:ascii="宋体" w:eastAsia="宋体" w:hAnsi="宋体" w:cs="宋体"/>
                <w:sz w:val="18"/>
                <w:szCs w:val="18"/>
              </w:rPr>
            </w:pPr>
            <w:r w:rsidRPr="00980BC4">
              <w:rPr>
                <w:rFonts w:ascii="宋体" w:eastAsia="宋体" w:hAnsi="宋体" w:cs="宋体"/>
                <w:sz w:val="18"/>
                <w:szCs w:val="18"/>
              </w:rPr>
              <w:t>销售商品或提供劳务、有形动产租赁的增值额</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C298B">
            <w:pPr>
              <w:spacing w:line="280" w:lineRule="exact"/>
              <w:rPr>
                <w:rFonts w:ascii="宋体" w:eastAsia="宋体" w:hAnsi="宋体" w:cs="宋体"/>
                <w:sz w:val="18"/>
                <w:szCs w:val="18"/>
              </w:rPr>
            </w:pPr>
            <w:r w:rsidRPr="00980BC4">
              <w:rPr>
                <w:rFonts w:ascii="宋体" w:eastAsia="宋体" w:hAnsi="宋体" w:cs="宋体"/>
                <w:sz w:val="18"/>
                <w:szCs w:val="18"/>
              </w:rPr>
              <w:t>3% 、5% 、6%</w:t>
            </w:r>
          </w:p>
          <w:p w:rsidR="00F67D6F" w:rsidRPr="00980BC4" w:rsidRDefault="00F67D6F" w:rsidP="00DC298B">
            <w:pPr>
              <w:spacing w:line="280" w:lineRule="exact"/>
              <w:rPr>
                <w:rFonts w:ascii="宋体" w:eastAsia="宋体" w:hAnsi="宋体" w:cs="宋体"/>
                <w:sz w:val="18"/>
                <w:szCs w:val="18"/>
              </w:rPr>
            </w:pPr>
            <w:r w:rsidRPr="00980BC4">
              <w:rPr>
                <w:rFonts w:ascii="宋体" w:eastAsia="宋体" w:hAnsi="宋体" w:cs="宋体"/>
                <w:sz w:val="18"/>
                <w:szCs w:val="18"/>
              </w:rPr>
              <w:t>、9%、10%、13%、免</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C298B">
            <w:pPr>
              <w:spacing w:before="40" w:after="40" w:line="280" w:lineRule="exact"/>
              <w:rPr>
                <w:rFonts w:ascii="宋体" w:eastAsia="宋体" w:hAnsi="宋体" w:cs="宋体"/>
                <w:sz w:val="18"/>
                <w:szCs w:val="18"/>
              </w:rPr>
            </w:pPr>
            <w:r w:rsidRPr="00980BC4">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C298B">
            <w:pPr>
              <w:spacing w:line="280" w:lineRule="exact"/>
              <w:rPr>
                <w:rFonts w:ascii="宋体" w:eastAsia="宋体" w:hAnsi="宋体" w:cs="宋体"/>
                <w:sz w:val="18"/>
                <w:szCs w:val="18"/>
              </w:rPr>
            </w:pPr>
            <w:r w:rsidRPr="00980BC4">
              <w:rPr>
                <w:rFonts w:ascii="宋体" w:eastAsia="宋体" w:hAnsi="宋体" w:cs="宋体"/>
                <w:sz w:val="18"/>
                <w:szCs w:val="18"/>
              </w:rPr>
              <w:t>应缴纳流转税额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C298B">
            <w:pPr>
              <w:spacing w:line="280" w:lineRule="exact"/>
              <w:rPr>
                <w:rFonts w:ascii="宋体" w:eastAsia="宋体" w:hAnsi="宋体" w:cs="宋体"/>
                <w:sz w:val="18"/>
                <w:szCs w:val="18"/>
              </w:rPr>
            </w:pPr>
            <w:r w:rsidRPr="00980BC4">
              <w:rPr>
                <w:rFonts w:ascii="宋体" w:eastAsia="宋体" w:hAnsi="宋体" w:cs="宋体"/>
                <w:sz w:val="18"/>
                <w:szCs w:val="18"/>
              </w:rPr>
              <w:t>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C298B">
            <w:pPr>
              <w:spacing w:before="40" w:after="40" w:line="280" w:lineRule="exact"/>
              <w:rPr>
                <w:rFonts w:ascii="宋体" w:eastAsia="宋体" w:hAnsi="宋体" w:cs="宋体"/>
                <w:sz w:val="18"/>
                <w:szCs w:val="18"/>
              </w:rPr>
            </w:pPr>
            <w:r w:rsidRPr="00980BC4">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C298B">
            <w:pPr>
              <w:spacing w:line="280" w:lineRule="exact"/>
              <w:rPr>
                <w:rFonts w:ascii="宋体" w:eastAsia="宋体" w:hAnsi="宋体" w:cs="宋体"/>
                <w:sz w:val="18"/>
                <w:szCs w:val="18"/>
              </w:rPr>
            </w:pPr>
            <w:r w:rsidRPr="00980BC4">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BB1824" w:rsidP="00DC298B">
            <w:pPr>
              <w:spacing w:line="280" w:lineRule="exact"/>
              <w:rPr>
                <w:rFonts w:ascii="宋体" w:eastAsia="宋体" w:hAnsi="宋体" w:cs="宋体"/>
                <w:sz w:val="18"/>
                <w:szCs w:val="18"/>
              </w:rPr>
            </w:pPr>
            <w:r w:rsidRPr="00BB1824">
              <w:rPr>
                <w:rFonts w:ascii="宋体" w:eastAsia="宋体" w:hAnsi="宋体" w:cs="宋体" w:hint="eastAsia"/>
                <w:sz w:val="18"/>
                <w:szCs w:val="18"/>
              </w:rPr>
              <w:t>15%、16.5%、20%、25%</w:t>
            </w:r>
          </w:p>
        </w:tc>
      </w:tr>
    </w:tbl>
    <w:p w:rsidR="00F67D6F" w:rsidRPr="00980BC4" w:rsidRDefault="00F67D6F" w:rsidP="00DC298B">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BB1824">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纳税主体名称</w:t>
            </w:r>
          </w:p>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所得税税率</w:t>
            </w:r>
          </w:p>
        </w:tc>
      </w:tr>
      <w:tr w:rsidR="00F67D6F" w:rsidRPr="00980BC4" w:rsidTr="00BB1824">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升华电源</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15%</w:t>
            </w:r>
          </w:p>
        </w:tc>
      </w:tr>
      <w:tr w:rsidR="00F67D6F" w:rsidRPr="00980BC4" w:rsidTr="00BB1824">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沈阳含能</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15%</w:t>
            </w:r>
          </w:p>
        </w:tc>
      </w:tr>
      <w:tr w:rsidR="00F67D6F" w:rsidRPr="00980BC4" w:rsidTr="00BB1824">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沈阳非晶</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15%</w:t>
            </w:r>
          </w:p>
        </w:tc>
      </w:tr>
      <w:tr w:rsidR="00F67D6F" w:rsidRPr="00980BC4" w:rsidTr="00BB1824">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汇德投资</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16.5%</w:t>
            </w:r>
          </w:p>
        </w:tc>
      </w:tr>
      <w:tr w:rsidR="00BB1824" w:rsidRPr="00980BC4" w:rsidTr="00BB1824">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B1824" w:rsidRDefault="00BB1824" w:rsidP="00BB1824">
            <w:pPr>
              <w:spacing w:line="240" w:lineRule="exact"/>
              <w:rPr>
                <w:rFonts w:ascii="宋体" w:eastAsia="宋体" w:hAnsi="宋体" w:cs="宋体"/>
                <w:sz w:val="18"/>
                <w:szCs w:val="18"/>
              </w:rPr>
            </w:pPr>
            <w:r w:rsidRPr="004469EC">
              <w:rPr>
                <w:rFonts w:ascii="宋体" w:eastAsia="宋体" w:hAnsi="宋体" w:cs="宋体" w:hint="eastAsia"/>
                <w:sz w:val="18"/>
                <w:szCs w:val="18"/>
              </w:rPr>
              <w:t>甘华电源</w:t>
            </w:r>
          </w:p>
        </w:tc>
        <w:tc>
          <w:tcPr>
            <w:tcW w:w="4819" w:type="dxa"/>
            <w:tcBorders>
              <w:top w:val="single" w:sz="2" w:space="0" w:color="auto"/>
              <w:left w:val="single" w:sz="2" w:space="0" w:color="auto"/>
              <w:bottom w:val="single" w:sz="2" w:space="0" w:color="auto"/>
              <w:right w:val="single" w:sz="2" w:space="0" w:color="auto"/>
            </w:tcBorders>
            <w:vAlign w:val="center"/>
          </w:tcPr>
          <w:p w:rsidR="00BB1824" w:rsidRDefault="00BB1824" w:rsidP="00BB1824">
            <w:pPr>
              <w:spacing w:line="240" w:lineRule="exact"/>
              <w:rPr>
                <w:rFonts w:ascii="宋体" w:eastAsia="宋体" w:hAnsi="宋体" w:cs="宋体"/>
                <w:sz w:val="18"/>
                <w:szCs w:val="18"/>
              </w:rPr>
            </w:pPr>
            <w:r w:rsidRPr="004469EC">
              <w:rPr>
                <w:rFonts w:ascii="宋体" w:eastAsia="宋体" w:hAnsi="宋体" w:cs="宋体"/>
                <w:sz w:val="18"/>
                <w:szCs w:val="18"/>
              </w:rPr>
              <w:t>20%</w:t>
            </w:r>
          </w:p>
        </w:tc>
      </w:tr>
      <w:tr w:rsidR="00BB1824" w:rsidRPr="00980BC4" w:rsidTr="00BB1824">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B1824" w:rsidRDefault="00BB1824" w:rsidP="00BB1824">
            <w:pPr>
              <w:spacing w:line="240" w:lineRule="exact"/>
              <w:rPr>
                <w:rFonts w:ascii="宋体" w:eastAsia="宋体" w:hAnsi="宋体" w:cs="宋体"/>
                <w:sz w:val="18"/>
                <w:szCs w:val="18"/>
              </w:rPr>
            </w:pPr>
            <w:r w:rsidRPr="004469EC">
              <w:rPr>
                <w:rFonts w:ascii="宋体" w:eastAsia="宋体" w:hAnsi="宋体" w:cs="宋体" w:hint="eastAsia"/>
                <w:sz w:val="18"/>
                <w:szCs w:val="18"/>
              </w:rPr>
              <w:t>甘科物业</w:t>
            </w:r>
          </w:p>
        </w:tc>
        <w:tc>
          <w:tcPr>
            <w:tcW w:w="4819" w:type="dxa"/>
            <w:tcBorders>
              <w:top w:val="single" w:sz="2" w:space="0" w:color="auto"/>
              <w:left w:val="single" w:sz="2" w:space="0" w:color="auto"/>
              <w:bottom w:val="single" w:sz="2" w:space="0" w:color="auto"/>
              <w:right w:val="single" w:sz="2" w:space="0" w:color="auto"/>
            </w:tcBorders>
            <w:vAlign w:val="center"/>
          </w:tcPr>
          <w:p w:rsidR="00BB1824" w:rsidRDefault="00BB1824" w:rsidP="00BB1824">
            <w:pPr>
              <w:spacing w:line="240" w:lineRule="exact"/>
              <w:rPr>
                <w:rFonts w:ascii="宋体" w:eastAsia="宋体" w:hAnsi="宋体" w:cs="宋体"/>
                <w:sz w:val="18"/>
                <w:szCs w:val="18"/>
              </w:rPr>
            </w:pPr>
            <w:r w:rsidRPr="004469EC">
              <w:rPr>
                <w:rFonts w:ascii="宋体" w:eastAsia="宋体" w:hAnsi="宋体" w:cs="宋体"/>
                <w:sz w:val="18"/>
                <w:szCs w:val="18"/>
              </w:rPr>
              <w:t>20%</w:t>
            </w:r>
          </w:p>
        </w:tc>
      </w:tr>
      <w:tr w:rsidR="00BB1824" w:rsidRPr="00980BC4" w:rsidTr="00BB1824">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B1824" w:rsidRDefault="00BB1824" w:rsidP="00BB1824">
            <w:pPr>
              <w:spacing w:line="240" w:lineRule="exact"/>
              <w:rPr>
                <w:rFonts w:ascii="宋体" w:eastAsia="宋体" w:hAnsi="宋体" w:cs="宋体"/>
                <w:sz w:val="18"/>
                <w:szCs w:val="18"/>
              </w:rPr>
            </w:pPr>
            <w:r w:rsidRPr="004469EC">
              <w:rPr>
                <w:rFonts w:ascii="宋体" w:eastAsia="宋体" w:hAnsi="宋体" w:cs="宋体" w:hint="eastAsia"/>
                <w:sz w:val="18"/>
                <w:szCs w:val="18"/>
              </w:rPr>
              <w:t>升华源</w:t>
            </w:r>
          </w:p>
        </w:tc>
        <w:tc>
          <w:tcPr>
            <w:tcW w:w="4819" w:type="dxa"/>
            <w:tcBorders>
              <w:top w:val="single" w:sz="2" w:space="0" w:color="auto"/>
              <w:left w:val="single" w:sz="2" w:space="0" w:color="auto"/>
              <w:bottom w:val="single" w:sz="2" w:space="0" w:color="auto"/>
              <w:right w:val="single" w:sz="2" w:space="0" w:color="auto"/>
            </w:tcBorders>
            <w:vAlign w:val="center"/>
          </w:tcPr>
          <w:p w:rsidR="00BB1824" w:rsidRDefault="00BB1824" w:rsidP="00BB1824">
            <w:pPr>
              <w:spacing w:line="240" w:lineRule="exact"/>
              <w:rPr>
                <w:rFonts w:ascii="宋体" w:eastAsia="宋体" w:hAnsi="宋体" w:cs="宋体"/>
                <w:sz w:val="18"/>
                <w:szCs w:val="18"/>
              </w:rPr>
            </w:pPr>
            <w:r w:rsidRPr="004469EC">
              <w:rPr>
                <w:rFonts w:ascii="宋体" w:eastAsia="宋体" w:hAnsi="宋体" w:cs="宋体"/>
                <w:sz w:val="18"/>
                <w:szCs w:val="18"/>
              </w:rPr>
              <w:t>20%</w:t>
            </w:r>
          </w:p>
        </w:tc>
      </w:tr>
      <w:tr w:rsidR="00BB1824" w:rsidRPr="00980BC4" w:rsidTr="00BB1824">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B1824" w:rsidRDefault="00BB1824" w:rsidP="00BB1824">
            <w:pPr>
              <w:spacing w:line="240" w:lineRule="exact"/>
              <w:rPr>
                <w:rFonts w:ascii="宋体" w:eastAsia="宋体" w:hAnsi="宋体" w:cs="宋体"/>
                <w:sz w:val="18"/>
                <w:szCs w:val="18"/>
              </w:rPr>
            </w:pPr>
            <w:r w:rsidRPr="004469EC">
              <w:rPr>
                <w:rFonts w:ascii="宋体" w:eastAsia="宋体" w:hAnsi="宋体" w:cs="宋体" w:hint="eastAsia"/>
                <w:sz w:val="18"/>
                <w:szCs w:val="18"/>
              </w:rPr>
              <w:t>四川德芯源</w:t>
            </w:r>
          </w:p>
        </w:tc>
        <w:tc>
          <w:tcPr>
            <w:tcW w:w="4819" w:type="dxa"/>
            <w:tcBorders>
              <w:top w:val="single" w:sz="2" w:space="0" w:color="auto"/>
              <w:left w:val="single" w:sz="2" w:space="0" w:color="auto"/>
              <w:bottom w:val="single" w:sz="2" w:space="0" w:color="auto"/>
              <w:right w:val="single" w:sz="2" w:space="0" w:color="auto"/>
            </w:tcBorders>
            <w:vAlign w:val="center"/>
          </w:tcPr>
          <w:p w:rsidR="00BB1824" w:rsidRDefault="00BB1824" w:rsidP="00BB1824">
            <w:pPr>
              <w:spacing w:line="240" w:lineRule="exact"/>
              <w:rPr>
                <w:rFonts w:ascii="宋体" w:eastAsia="宋体" w:hAnsi="宋体" w:cs="宋体"/>
                <w:sz w:val="18"/>
                <w:szCs w:val="18"/>
              </w:rPr>
            </w:pPr>
            <w:r w:rsidRPr="004469EC">
              <w:rPr>
                <w:rFonts w:ascii="宋体" w:eastAsia="宋体" w:hAnsi="宋体" w:cs="宋体"/>
                <w:sz w:val="18"/>
                <w:szCs w:val="18"/>
              </w:rPr>
              <w:t>20%</w:t>
            </w:r>
          </w:p>
        </w:tc>
      </w:tr>
    </w:tbl>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22" w:name="_Toc989110"/>
      <w:r w:rsidRPr="00980BC4">
        <w:rPr>
          <w:rFonts w:ascii="仿宋" w:eastAsia="仿宋" w:hAnsi="仿宋" w:cs="Times New Roman"/>
          <w:b/>
          <w:sz w:val="28"/>
          <w:szCs w:val="28"/>
        </w:rPr>
        <w:t>2、税收优惠</w:t>
      </w:r>
      <w:bookmarkEnd w:id="222"/>
    </w:p>
    <w:p w:rsidR="00F67D6F" w:rsidRPr="00980BC4" w:rsidRDefault="00F67D6F" w:rsidP="00A8241F">
      <w:pPr>
        <w:pStyle w:val="a3"/>
        <w:widowControl w:val="0"/>
        <w:spacing w:before="0" w:beforeAutospacing="0" w:after="0" w:afterAutospacing="0" w:line="56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w:t>
      </w:r>
      <w:r w:rsidRPr="00980BC4">
        <w:rPr>
          <w:rFonts w:ascii="仿宋" w:eastAsia="仿宋" w:hAnsi="仿宋" w:cs="Times New Roman"/>
          <w:sz w:val="28"/>
          <w:szCs w:val="28"/>
        </w:rPr>
        <w:t>1</w:t>
      </w:r>
      <w:r w:rsidRPr="00980BC4">
        <w:rPr>
          <w:rFonts w:ascii="仿宋" w:eastAsia="仿宋" w:hAnsi="仿宋" w:cs="Times New Roman" w:hint="eastAsia"/>
          <w:sz w:val="28"/>
          <w:szCs w:val="28"/>
        </w:rPr>
        <w:t>）高新技术企业企业所得税优惠</w:t>
      </w:r>
    </w:p>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公司下属子公司升华电源、沈阳含能及沈阳非晶为高新技术企业，高新技术资格有效期内适用高新技术企业所得税的优惠税率</w:t>
      </w:r>
      <w:r w:rsidRPr="00980BC4">
        <w:rPr>
          <w:rFonts w:ascii="仿宋" w:eastAsia="仿宋" w:hAnsi="仿宋" w:cs="Times New Roman"/>
          <w:sz w:val="28"/>
          <w:szCs w:val="28"/>
        </w:rPr>
        <w:t>15%</w:t>
      </w:r>
      <w:r w:rsidRPr="00980BC4">
        <w:rPr>
          <w:rFonts w:ascii="仿宋" w:eastAsia="仿宋" w:hAnsi="仿宋" w:cs="Times New Roman" w:hint="eastAsia"/>
          <w:sz w:val="28"/>
          <w:szCs w:val="28"/>
        </w:rPr>
        <w:t>。</w:t>
      </w:r>
    </w:p>
    <w:tbl>
      <w:tblPr>
        <w:tblW w:w="5000" w:type="pct"/>
        <w:tblCellMar>
          <w:left w:w="0" w:type="dxa"/>
          <w:right w:w="0" w:type="dxa"/>
        </w:tblCellMar>
        <w:tblLook w:val="04A0"/>
      </w:tblPr>
      <w:tblGrid>
        <w:gridCol w:w="2927"/>
        <w:gridCol w:w="2924"/>
        <w:gridCol w:w="4002"/>
      </w:tblGrid>
      <w:tr w:rsidR="00F67D6F" w:rsidRPr="00980BC4" w:rsidTr="00F67D6F">
        <w:trPr>
          <w:divId w:val="969553885"/>
        </w:trPr>
        <w:tc>
          <w:tcPr>
            <w:tcW w:w="14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cs="Times New Roman" w:hint="eastAsia"/>
                <w:sz w:val="21"/>
                <w:szCs w:val="21"/>
              </w:rPr>
              <w:t>纳税主体</w:t>
            </w:r>
          </w:p>
        </w:tc>
        <w:tc>
          <w:tcPr>
            <w:tcW w:w="14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cs="Times New Roman" w:hint="eastAsia"/>
                <w:sz w:val="21"/>
                <w:szCs w:val="21"/>
              </w:rPr>
              <w:t>证书编号</w:t>
            </w:r>
          </w:p>
        </w:tc>
        <w:tc>
          <w:tcPr>
            <w:tcW w:w="20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cs="Times New Roman" w:hint="eastAsia"/>
                <w:sz w:val="21"/>
                <w:szCs w:val="21"/>
              </w:rPr>
              <w:t>证书有效期</w:t>
            </w:r>
          </w:p>
        </w:tc>
      </w:tr>
      <w:tr w:rsidR="00F67D6F" w:rsidRPr="00980BC4" w:rsidTr="00F67D6F">
        <w:trPr>
          <w:divId w:val="969553885"/>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sz w:val="21"/>
                <w:szCs w:val="21"/>
              </w:rPr>
            </w:pPr>
            <w:r w:rsidRPr="00980BC4">
              <w:rPr>
                <w:rFonts w:hint="eastAsia"/>
                <w:sz w:val="21"/>
                <w:szCs w:val="21"/>
              </w:rPr>
              <w:t>升华电源</w:t>
            </w:r>
          </w:p>
        </w:tc>
        <w:tc>
          <w:tcPr>
            <w:tcW w:w="1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sz w:val="21"/>
                <w:szCs w:val="21"/>
              </w:rPr>
            </w:pPr>
            <w:r w:rsidRPr="00980BC4">
              <w:rPr>
                <w:rFonts w:ascii="Times New Roman" w:hAnsi="Times New Roman" w:cs="Times New Roman"/>
                <w:sz w:val="21"/>
                <w:szCs w:val="21"/>
              </w:rPr>
              <w:t>GR202051000613</w:t>
            </w:r>
          </w:p>
        </w:tc>
        <w:tc>
          <w:tcPr>
            <w:tcW w:w="20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sz w:val="21"/>
                <w:szCs w:val="21"/>
              </w:rPr>
            </w:pPr>
            <w:r w:rsidRPr="00980BC4">
              <w:rPr>
                <w:rFonts w:ascii="Times New Roman" w:hAnsi="Times New Roman" w:cs="Times New Roman"/>
                <w:sz w:val="21"/>
                <w:szCs w:val="21"/>
              </w:rPr>
              <w:t>2020</w:t>
            </w:r>
            <w:r w:rsidRPr="00980BC4">
              <w:rPr>
                <w:rFonts w:hint="eastAsia"/>
                <w:sz w:val="21"/>
                <w:szCs w:val="21"/>
              </w:rPr>
              <w:t>年</w:t>
            </w:r>
            <w:r w:rsidRPr="00980BC4">
              <w:rPr>
                <w:rFonts w:ascii="Times New Roman" w:hAnsi="Times New Roman" w:cs="Times New Roman"/>
                <w:sz w:val="21"/>
                <w:szCs w:val="21"/>
              </w:rPr>
              <w:t>-2022</w:t>
            </w:r>
            <w:r w:rsidRPr="00980BC4">
              <w:rPr>
                <w:rFonts w:hint="eastAsia"/>
                <w:sz w:val="21"/>
                <w:szCs w:val="21"/>
              </w:rPr>
              <w:t>年</w:t>
            </w:r>
          </w:p>
        </w:tc>
      </w:tr>
      <w:tr w:rsidR="00F67D6F" w:rsidRPr="00980BC4" w:rsidTr="00F67D6F">
        <w:trPr>
          <w:divId w:val="969553885"/>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sz w:val="21"/>
                <w:szCs w:val="21"/>
              </w:rPr>
            </w:pPr>
            <w:r w:rsidRPr="00980BC4">
              <w:rPr>
                <w:rFonts w:hint="eastAsia"/>
                <w:sz w:val="21"/>
                <w:szCs w:val="21"/>
              </w:rPr>
              <w:t>沈阳含能</w:t>
            </w:r>
          </w:p>
        </w:tc>
        <w:tc>
          <w:tcPr>
            <w:tcW w:w="1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ascii="Times New Roman" w:hAnsi="Times New Roman" w:cs="Times New Roman"/>
                <w:sz w:val="21"/>
                <w:szCs w:val="21"/>
              </w:rPr>
              <w:t>GR202021000603</w:t>
            </w:r>
          </w:p>
        </w:tc>
        <w:tc>
          <w:tcPr>
            <w:tcW w:w="20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ascii="Times New Roman" w:hAnsi="Times New Roman" w:cs="Times New Roman"/>
                <w:sz w:val="21"/>
                <w:szCs w:val="21"/>
              </w:rPr>
              <w:t>2020</w:t>
            </w:r>
            <w:r w:rsidRPr="00980BC4">
              <w:rPr>
                <w:rFonts w:cs="Times New Roman" w:hint="eastAsia"/>
                <w:sz w:val="21"/>
                <w:szCs w:val="21"/>
              </w:rPr>
              <w:t>年</w:t>
            </w:r>
            <w:r w:rsidRPr="00980BC4">
              <w:rPr>
                <w:rFonts w:ascii="Times New Roman" w:hAnsi="Times New Roman" w:cs="Times New Roman"/>
                <w:sz w:val="21"/>
                <w:szCs w:val="21"/>
              </w:rPr>
              <w:t>-2022</w:t>
            </w:r>
            <w:r w:rsidRPr="00980BC4">
              <w:rPr>
                <w:rFonts w:cs="Times New Roman" w:hint="eastAsia"/>
                <w:sz w:val="21"/>
                <w:szCs w:val="21"/>
              </w:rPr>
              <w:t>年</w:t>
            </w:r>
          </w:p>
        </w:tc>
      </w:tr>
      <w:tr w:rsidR="00F67D6F" w:rsidRPr="00980BC4" w:rsidTr="00F67D6F">
        <w:trPr>
          <w:divId w:val="969553885"/>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sz w:val="21"/>
                <w:szCs w:val="21"/>
              </w:rPr>
            </w:pPr>
            <w:r w:rsidRPr="00980BC4">
              <w:rPr>
                <w:rFonts w:hint="eastAsia"/>
                <w:color w:val="000000"/>
              </w:rPr>
              <w:lastRenderedPageBreak/>
              <w:t>沈阳非晶</w:t>
            </w:r>
          </w:p>
        </w:tc>
        <w:tc>
          <w:tcPr>
            <w:tcW w:w="1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ascii="Times New Roman" w:hAnsi="Times New Roman" w:cs="Times New Roman"/>
                <w:sz w:val="21"/>
                <w:szCs w:val="21"/>
              </w:rPr>
              <w:t>GR202221000916</w:t>
            </w:r>
          </w:p>
        </w:tc>
        <w:tc>
          <w:tcPr>
            <w:tcW w:w="20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line="360" w:lineRule="atLeast"/>
              <w:jc w:val="center"/>
              <w:rPr>
                <w:rFonts w:ascii="Times New Roman" w:hAnsi="Times New Roman" w:cs="Times New Roman"/>
                <w:sz w:val="21"/>
                <w:szCs w:val="21"/>
              </w:rPr>
            </w:pPr>
            <w:r w:rsidRPr="00980BC4">
              <w:rPr>
                <w:rFonts w:ascii="Times New Roman" w:hAnsi="Times New Roman" w:cs="Times New Roman"/>
                <w:sz w:val="21"/>
                <w:szCs w:val="21"/>
              </w:rPr>
              <w:t>2022</w:t>
            </w:r>
            <w:r w:rsidRPr="00980BC4">
              <w:rPr>
                <w:rFonts w:cs="Times New Roman" w:hint="eastAsia"/>
                <w:sz w:val="21"/>
                <w:szCs w:val="21"/>
              </w:rPr>
              <w:t>年</w:t>
            </w:r>
            <w:r w:rsidRPr="00980BC4">
              <w:rPr>
                <w:rFonts w:ascii="Times New Roman" w:hAnsi="Times New Roman" w:cs="Times New Roman"/>
                <w:sz w:val="21"/>
                <w:szCs w:val="21"/>
              </w:rPr>
              <w:t>-2024</w:t>
            </w:r>
            <w:r w:rsidRPr="00980BC4">
              <w:rPr>
                <w:rFonts w:cs="Times New Roman" w:hint="eastAsia"/>
                <w:sz w:val="21"/>
                <w:szCs w:val="21"/>
              </w:rPr>
              <w:t>年</w:t>
            </w:r>
          </w:p>
        </w:tc>
      </w:tr>
    </w:tbl>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w:t>
      </w:r>
      <w:r w:rsidRPr="00980BC4">
        <w:rPr>
          <w:rFonts w:ascii="仿宋" w:eastAsia="仿宋" w:hAnsi="仿宋" w:cs="Times New Roman"/>
          <w:sz w:val="28"/>
          <w:szCs w:val="28"/>
        </w:rPr>
        <w:t>2</w:t>
      </w:r>
      <w:r w:rsidRPr="00980BC4">
        <w:rPr>
          <w:rFonts w:ascii="仿宋" w:eastAsia="仿宋" w:hAnsi="仿宋" w:cs="Times New Roman" w:hint="eastAsia"/>
          <w:sz w:val="28"/>
          <w:szCs w:val="28"/>
        </w:rPr>
        <w:t>）西部大开发企业所得税优惠</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根据财政部、税务总局、国家发展改革委《关于延续西部大开发企业所得税政策的公告》（</w:t>
      </w:r>
      <w:r w:rsidRPr="00980BC4">
        <w:rPr>
          <w:rFonts w:ascii="仿宋" w:eastAsia="仿宋" w:hAnsi="仿宋" w:cs="Times New Roman"/>
          <w:sz w:val="28"/>
          <w:szCs w:val="28"/>
        </w:rPr>
        <w:t>2020</w:t>
      </w:r>
      <w:r w:rsidRPr="00980BC4">
        <w:rPr>
          <w:rFonts w:ascii="仿宋" w:eastAsia="仿宋" w:hAnsi="仿宋" w:cs="Times New Roman" w:hint="eastAsia"/>
          <w:sz w:val="28"/>
          <w:szCs w:val="28"/>
        </w:rPr>
        <w:t>年第</w:t>
      </w:r>
      <w:r w:rsidRPr="00980BC4">
        <w:rPr>
          <w:rFonts w:ascii="仿宋" w:eastAsia="仿宋" w:hAnsi="仿宋" w:cs="Times New Roman"/>
          <w:sz w:val="28"/>
          <w:szCs w:val="28"/>
        </w:rPr>
        <w:t>23</w:t>
      </w:r>
      <w:r w:rsidRPr="00980BC4">
        <w:rPr>
          <w:rFonts w:ascii="仿宋" w:eastAsia="仿宋" w:hAnsi="仿宋" w:cs="Times New Roman" w:hint="eastAsia"/>
          <w:sz w:val="28"/>
          <w:szCs w:val="28"/>
        </w:rPr>
        <w:t>号），自</w:t>
      </w:r>
      <w:r w:rsidRPr="00980BC4">
        <w:rPr>
          <w:rFonts w:ascii="仿宋" w:eastAsia="仿宋" w:hAnsi="仿宋" w:cs="Times New Roman"/>
          <w:sz w:val="28"/>
          <w:szCs w:val="28"/>
        </w:rPr>
        <w:t>2021</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w:t>
      </w:r>
      <w:r w:rsidRPr="00980BC4">
        <w:rPr>
          <w:rFonts w:ascii="仿宋" w:eastAsia="仿宋" w:hAnsi="仿宋" w:cs="Times New Roman" w:hint="eastAsia"/>
          <w:sz w:val="28"/>
          <w:szCs w:val="28"/>
        </w:rPr>
        <w:t>月</w:t>
      </w:r>
      <w:r w:rsidRPr="00980BC4">
        <w:rPr>
          <w:rFonts w:ascii="仿宋" w:eastAsia="仿宋" w:hAnsi="仿宋" w:cs="Times New Roman"/>
          <w:sz w:val="28"/>
          <w:szCs w:val="28"/>
        </w:rPr>
        <w:t>1</w:t>
      </w:r>
      <w:r w:rsidRPr="00980BC4">
        <w:rPr>
          <w:rFonts w:ascii="仿宋" w:eastAsia="仿宋" w:hAnsi="仿宋" w:cs="Times New Roman" w:hint="eastAsia"/>
          <w:sz w:val="28"/>
          <w:szCs w:val="28"/>
        </w:rPr>
        <w:t>日至</w:t>
      </w:r>
      <w:r w:rsidRPr="00980BC4">
        <w:rPr>
          <w:rFonts w:ascii="仿宋" w:eastAsia="仿宋" w:hAnsi="仿宋" w:cs="Times New Roman"/>
          <w:sz w:val="28"/>
          <w:szCs w:val="28"/>
        </w:rPr>
        <w:t>2030</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31</w:t>
      </w:r>
      <w:r w:rsidRPr="00980BC4">
        <w:rPr>
          <w:rFonts w:ascii="仿宋" w:eastAsia="仿宋" w:hAnsi="仿宋" w:cs="Times New Roman" w:hint="eastAsia"/>
          <w:sz w:val="28"/>
          <w:szCs w:val="28"/>
        </w:rPr>
        <w:t>日，对设在西部地区的鼓励类产业企业减按</w:t>
      </w:r>
      <w:r w:rsidRPr="00980BC4">
        <w:rPr>
          <w:rFonts w:ascii="仿宋" w:eastAsia="仿宋" w:hAnsi="仿宋" w:cs="Times New Roman"/>
          <w:sz w:val="28"/>
          <w:szCs w:val="28"/>
        </w:rPr>
        <w:t>15%</w:t>
      </w:r>
      <w:r w:rsidRPr="00980BC4">
        <w:rPr>
          <w:rFonts w:ascii="仿宋" w:eastAsia="仿宋" w:hAnsi="仿宋" w:cs="Times New Roman" w:hint="eastAsia"/>
          <w:sz w:val="28"/>
          <w:szCs w:val="28"/>
        </w:rPr>
        <w:t>的税率征收企业所得税。本条所称鼓励类产业企业是指以《西部地区鼓励类产业目录》中规定的产业项目为主营业务，且其主营业务收入占企业收入总额</w:t>
      </w:r>
      <w:r w:rsidRPr="00980BC4">
        <w:rPr>
          <w:rFonts w:ascii="仿宋" w:eastAsia="仿宋" w:hAnsi="仿宋" w:cs="Times New Roman"/>
          <w:sz w:val="28"/>
          <w:szCs w:val="28"/>
        </w:rPr>
        <w:t>60%</w:t>
      </w:r>
      <w:r w:rsidRPr="00980BC4">
        <w:rPr>
          <w:rFonts w:ascii="仿宋" w:eastAsia="仿宋" w:hAnsi="仿宋" w:cs="Times New Roman" w:hint="eastAsia"/>
          <w:sz w:val="28"/>
          <w:szCs w:val="28"/>
        </w:rPr>
        <w:t>以上的企业，经公司申请，主管税务机关审核确认后，可减按</w:t>
      </w:r>
      <w:r w:rsidRPr="00980BC4">
        <w:rPr>
          <w:rFonts w:ascii="仿宋" w:eastAsia="仿宋" w:hAnsi="仿宋" w:cs="Times New Roman"/>
          <w:sz w:val="28"/>
          <w:szCs w:val="28"/>
        </w:rPr>
        <w:t>15%</w:t>
      </w:r>
      <w:r w:rsidRPr="00980BC4">
        <w:rPr>
          <w:rFonts w:ascii="仿宋" w:eastAsia="仿宋" w:hAnsi="仿宋" w:cs="Times New Roman" w:hint="eastAsia"/>
          <w:sz w:val="28"/>
          <w:szCs w:val="28"/>
        </w:rPr>
        <w:t>税率缴纳企业所得税。公司下属子公司升华电源于</w:t>
      </w:r>
      <w:r w:rsidRPr="00980BC4">
        <w:rPr>
          <w:rFonts w:ascii="仿宋" w:eastAsia="仿宋" w:hAnsi="仿宋" w:cs="Times New Roman"/>
          <w:sz w:val="28"/>
          <w:szCs w:val="28"/>
        </w:rPr>
        <w:t>2014</w:t>
      </w:r>
      <w:r w:rsidRPr="00980BC4">
        <w:rPr>
          <w:rFonts w:ascii="仿宋" w:eastAsia="仿宋" w:hAnsi="仿宋" w:cs="Times New Roman" w:hint="eastAsia"/>
          <w:sz w:val="28"/>
          <w:szCs w:val="28"/>
        </w:rPr>
        <w:t>年</w:t>
      </w:r>
      <w:r w:rsidRPr="00980BC4">
        <w:rPr>
          <w:rFonts w:ascii="仿宋" w:eastAsia="仿宋" w:hAnsi="仿宋" w:cs="Times New Roman"/>
          <w:sz w:val="28"/>
          <w:szCs w:val="28"/>
        </w:rPr>
        <w:t>5</w:t>
      </w:r>
      <w:r w:rsidRPr="00980BC4">
        <w:rPr>
          <w:rFonts w:ascii="仿宋" w:eastAsia="仿宋" w:hAnsi="仿宋" w:cs="Times New Roman" w:hint="eastAsia"/>
          <w:sz w:val="28"/>
          <w:szCs w:val="28"/>
        </w:rPr>
        <w:t>月</w:t>
      </w:r>
      <w:r w:rsidRPr="00980BC4">
        <w:rPr>
          <w:rFonts w:ascii="仿宋" w:eastAsia="仿宋" w:hAnsi="仿宋" w:cs="Times New Roman"/>
          <w:sz w:val="28"/>
          <w:szCs w:val="28"/>
        </w:rPr>
        <w:t>14</w:t>
      </w:r>
      <w:r w:rsidRPr="00980BC4">
        <w:rPr>
          <w:rFonts w:ascii="仿宋" w:eastAsia="仿宋" w:hAnsi="仿宋" w:cs="Times New Roman" w:hint="eastAsia"/>
          <w:sz w:val="28"/>
          <w:szCs w:val="28"/>
        </w:rPr>
        <w:t>日获得成都市成华区国家税务局批准通知书，于</w:t>
      </w:r>
      <w:r w:rsidRPr="00980BC4">
        <w:rPr>
          <w:rFonts w:ascii="仿宋" w:eastAsia="仿宋" w:hAnsi="仿宋" w:cs="Times New Roman"/>
          <w:sz w:val="28"/>
          <w:szCs w:val="28"/>
        </w:rPr>
        <w:t>2013</w:t>
      </w:r>
      <w:r w:rsidRPr="00980BC4">
        <w:rPr>
          <w:rFonts w:ascii="仿宋" w:eastAsia="仿宋" w:hAnsi="仿宋" w:cs="Times New Roman" w:hint="eastAsia"/>
          <w:sz w:val="28"/>
          <w:szCs w:val="28"/>
        </w:rPr>
        <w:t>年度开始享受所得税减免优惠。</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w:t>
      </w:r>
      <w:r w:rsidRPr="00980BC4">
        <w:rPr>
          <w:rFonts w:ascii="仿宋" w:eastAsia="仿宋" w:hAnsi="仿宋" w:cs="Times New Roman"/>
          <w:sz w:val="28"/>
          <w:szCs w:val="28"/>
        </w:rPr>
        <w:t>3</w:t>
      </w:r>
      <w:r w:rsidRPr="00980BC4">
        <w:rPr>
          <w:rFonts w:ascii="仿宋" w:eastAsia="仿宋" w:hAnsi="仿宋" w:cs="Times New Roman" w:hint="eastAsia"/>
          <w:sz w:val="28"/>
          <w:szCs w:val="28"/>
        </w:rPr>
        <w:t>）小微企业税收优惠</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根据财政部、税务总局</w:t>
      </w:r>
      <w:r w:rsidRPr="00980BC4">
        <w:rPr>
          <w:rFonts w:ascii="仿宋" w:eastAsia="仿宋" w:hAnsi="仿宋" w:cs="Times New Roman"/>
          <w:sz w:val="28"/>
          <w:szCs w:val="28"/>
        </w:rPr>
        <w:t>2019</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w:t>
      </w:r>
      <w:r w:rsidRPr="00980BC4">
        <w:rPr>
          <w:rFonts w:ascii="仿宋" w:eastAsia="仿宋" w:hAnsi="仿宋" w:cs="Times New Roman" w:hint="eastAsia"/>
          <w:sz w:val="28"/>
          <w:szCs w:val="28"/>
        </w:rPr>
        <w:t>月</w:t>
      </w:r>
      <w:r w:rsidRPr="00980BC4">
        <w:rPr>
          <w:rFonts w:ascii="仿宋" w:eastAsia="仿宋" w:hAnsi="仿宋" w:cs="Times New Roman"/>
          <w:sz w:val="28"/>
          <w:szCs w:val="28"/>
        </w:rPr>
        <w:t>17</w:t>
      </w:r>
      <w:r w:rsidRPr="00980BC4">
        <w:rPr>
          <w:rFonts w:ascii="仿宋" w:eastAsia="仿宋" w:hAnsi="仿宋" w:cs="Times New Roman" w:hint="eastAsia"/>
          <w:sz w:val="28"/>
          <w:szCs w:val="28"/>
        </w:rPr>
        <w:t>日发布的《关于实施小微企业普惠性税收减免政策的通知》（财税</w:t>
      </w:r>
      <w:r w:rsidRPr="00980BC4">
        <w:rPr>
          <w:rFonts w:ascii="仿宋" w:eastAsia="仿宋" w:hAnsi="仿宋" w:cs="Times New Roman"/>
          <w:sz w:val="28"/>
          <w:szCs w:val="28"/>
        </w:rPr>
        <w:t>201913</w:t>
      </w:r>
      <w:r w:rsidRPr="00980BC4">
        <w:rPr>
          <w:rFonts w:ascii="仿宋" w:eastAsia="仿宋" w:hAnsi="仿宋" w:cs="Times New Roman" w:hint="eastAsia"/>
          <w:sz w:val="28"/>
          <w:szCs w:val="28"/>
        </w:rPr>
        <w:t>号）规定，自</w:t>
      </w:r>
      <w:r w:rsidRPr="00980BC4">
        <w:rPr>
          <w:rFonts w:ascii="仿宋" w:eastAsia="仿宋" w:hAnsi="仿宋" w:cs="Times New Roman"/>
          <w:sz w:val="28"/>
          <w:szCs w:val="28"/>
        </w:rPr>
        <w:t>2019</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w:t>
      </w:r>
      <w:r w:rsidRPr="00980BC4">
        <w:rPr>
          <w:rFonts w:ascii="仿宋" w:eastAsia="仿宋" w:hAnsi="仿宋" w:cs="Times New Roman" w:hint="eastAsia"/>
          <w:sz w:val="28"/>
          <w:szCs w:val="28"/>
        </w:rPr>
        <w:t>月</w:t>
      </w:r>
      <w:r w:rsidRPr="00980BC4">
        <w:rPr>
          <w:rFonts w:ascii="仿宋" w:eastAsia="仿宋" w:hAnsi="仿宋" w:cs="Times New Roman"/>
          <w:sz w:val="28"/>
          <w:szCs w:val="28"/>
        </w:rPr>
        <w:t>1</w:t>
      </w:r>
      <w:r w:rsidRPr="00980BC4">
        <w:rPr>
          <w:rFonts w:ascii="仿宋" w:eastAsia="仿宋" w:hAnsi="仿宋" w:cs="Times New Roman" w:hint="eastAsia"/>
          <w:sz w:val="28"/>
          <w:szCs w:val="28"/>
        </w:rPr>
        <w:t>日至</w:t>
      </w:r>
      <w:r w:rsidRPr="00980BC4">
        <w:rPr>
          <w:rFonts w:ascii="仿宋" w:eastAsia="仿宋" w:hAnsi="仿宋" w:cs="Times New Roman"/>
          <w:sz w:val="28"/>
          <w:szCs w:val="28"/>
        </w:rPr>
        <w:t>2021</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31</w:t>
      </w:r>
      <w:r w:rsidRPr="00980BC4">
        <w:rPr>
          <w:rFonts w:ascii="仿宋" w:eastAsia="仿宋" w:hAnsi="仿宋" w:cs="Times New Roman" w:hint="eastAsia"/>
          <w:sz w:val="28"/>
          <w:szCs w:val="28"/>
        </w:rPr>
        <w:t>日，对小型微利企业年应纳税所得额不超过</w:t>
      </w:r>
      <w:r w:rsidRPr="00980BC4">
        <w:rPr>
          <w:rFonts w:ascii="仿宋" w:eastAsia="仿宋" w:hAnsi="仿宋" w:cs="Times New Roman"/>
          <w:sz w:val="28"/>
          <w:szCs w:val="28"/>
        </w:rPr>
        <w:t>100</w:t>
      </w:r>
      <w:r w:rsidRPr="00980BC4">
        <w:rPr>
          <w:rFonts w:ascii="仿宋" w:eastAsia="仿宋" w:hAnsi="仿宋" w:cs="Times New Roman" w:hint="eastAsia"/>
          <w:sz w:val="28"/>
          <w:szCs w:val="28"/>
        </w:rPr>
        <w:t>万元的部分，减按</w:t>
      </w:r>
      <w:r w:rsidRPr="00980BC4">
        <w:rPr>
          <w:rFonts w:ascii="仿宋" w:eastAsia="仿宋" w:hAnsi="仿宋" w:cs="Times New Roman"/>
          <w:sz w:val="28"/>
          <w:szCs w:val="28"/>
        </w:rPr>
        <w:t>25%</w:t>
      </w:r>
      <w:r w:rsidRPr="00980BC4">
        <w:rPr>
          <w:rFonts w:ascii="仿宋" w:eastAsia="仿宋" w:hAnsi="仿宋" w:cs="Times New Roman" w:hint="eastAsia"/>
          <w:sz w:val="28"/>
          <w:szCs w:val="28"/>
        </w:rPr>
        <w:t>计入应纳税所得额，按</w:t>
      </w:r>
      <w:r w:rsidRPr="00980BC4">
        <w:rPr>
          <w:rFonts w:ascii="仿宋" w:eastAsia="仿宋" w:hAnsi="仿宋" w:cs="Times New Roman"/>
          <w:sz w:val="28"/>
          <w:szCs w:val="28"/>
        </w:rPr>
        <w:t>20%</w:t>
      </w:r>
      <w:r w:rsidRPr="00980BC4">
        <w:rPr>
          <w:rFonts w:ascii="仿宋" w:eastAsia="仿宋" w:hAnsi="仿宋" w:cs="Times New Roman" w:hint="eastAsia"/>
          <w:sz w:val="28"/>
          <w:szCs w:val="28"/>
        </w:rPr>
        <w:t>的税率缴纳企业所得税；对年应纳税所得额超过</w:t>
      </w:r>
      <w:r w:rsidRPr="00980BC4">
        <w:rPr>
          <w:rFonts w:ascii="仿宋" w:eastAsia="仿宋" w:hAnsi="仿宋" w:cs="Times New Roman"/>
          <w:sz w:val="28"/>
          <w:szCs w:val="28"/>
        </w:rPr>
        <w:t>100</w:t>
      </w:r>
      <w:r w:rsidRPr="00980BC4">
        <w:rPr>
          <w:rFonts w:ascii="仿宋" w:eastAsia="仿宋" w:hAnsi="仿宋" w:cs="Times New Roman" w:hint="eastAsia"/>
          <w:sz w:val="28"/>
          <w:szCs w:val="28"/>
        </w:rPr>
        <w:t>万元但不超过</w:t>
      </w:r>
      <w:r w:rsidRPr="00980BC4">
        <w:rPr>
          <w:rFonts w:ascii="仿宋" w:eastAsia="仿宋" w:hAnsi="仿宋" w:cs="Times New Roman"/>
          <w:sz w:val="28"/>
          <w:szCs w:val="28"/>
        </w:rPr>
        <w:t>300</w:t>
      </w:r>
      <w:r w:rsidRPr="00980BC4">
        <w:rPr>
          <w:rFonts w:ascii="仿宋" w:eastAsia="仿宋" w:hAnsi="仿宋" w:cs="Times New Roman" w:hint="eastAsia"/>
          <w:sz w:val="28"/>
          <w:szCs w:val="28"/>
        </w:rPr>
        <w:t>万元的部分，减按</w:t>
      </w:r>
      <w:r w:rsidRPr="00980BC4">
        <w:rPr>
          <w:rFonts w:ascii="仿宋" w:eastAsia="仿宋" w:hAnsi="仿宋" w:cs="Times New Roman"/>
          <w:sz w:val="28"/>
          <w:szCs w:val="28"/>
        </w:rPr>
        <w:t>50%</w:t>
      </w:r>
      <w:r w:rsidRPr="00980BC4">
        <w:rPr>
          <w:rFonts w:ascii="仿宋" w:eastAsia="仿宋" w:hAnsi="仿宋" w:cs="Times New Roman" w:hint="eastAsia"/>
          <w:sz w:val="28"/>
          <w:szCs w:val="28"/>
        </w:rPr>
        <w:t>计入应纳税所得额，按</w:t>
      </w:r>
      <w:r w:rsidRPr="00980BC4">
        <w:rPr>
          <w:rFonts w:ascii="仿宋" w:eastAsia="仿宋" w:hAnsi="仿宋" w:cs="Times New Roman"/>
          <w:sz w:val="28"/>
          <w:szCs w:val="28"/>
        </w:rPr>
        <w:t>20%</w:t>
      </w:r>
      <w:r w:rsidRPr="00980BC4">
        <w:rPr>
          <w:rFonts w:ascii="仿宋" w:eastAsia="仿宋" w:hAnsi="仿宋" w:cs="Times New Roman" w:hint="eastAsia"/>
          <w:sz w:val="28"/>
          <w:szCs w:val="28"/>
        </w:rPr>
        <w:t>的税率缴纳企业所得税。</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根据财政部、税务总局</w:t>
      </w:r>
      <w:r w:rsidRPr="00980BC4">
        <w:rPr>
          <w:rFonts w:ascii="仿宋" w:eastAsia="仿宋" w:hAnsi="仿宋" w:cs="Times New Roman"/>
          <w:sz w:val="28"/>
          <w:szCs w:val="28"/>
        </w:rPr>
        <w:t>2021</w:t>
      </w:r>
      <w:r w:rsidRPr="00980BC4">
        <w:rPr>
          <w:rFonts w:ascii="仿宋" w:eastAsia="仿宋" w:hAnsi="仿宋" w:cs="Times New Roman" w:hint="eastAsia"/>
          <w:sz w:val="28"/>
          <w:szCs w:val="28"/>
        </w:rPr>
        <w:t>年</w:t>
      </w:r>
      <w:r w:rsidRPr="00980BC4">
        <w:rPr>
          <w:rFonts w:ascii="仿宋" w:eastAsia="仿宋" w:hAnsi="仿宋" w:cs="Times New Roman"/>
          <w:sz w:val="28"/>
          <w:szCs w:val="28"/>
        </w:rPr>
        <w:t>4</w:t>
      </w:r>
      <w:r w:rsidRPr="00980BC4">
        <w:rPr>
          <w:rFonts w:ascii="仿宋" w:eastAsia="仿宋" w:hAnsi="仿宋" w:cs="Times New Roman" w:hint="eastAsia"/>
          <w:sz w:val="28"/>
          <w:szCs w:val="28"/>
        </w:rPr>
        <w:t>月</w:t>
      </w:r>
      <w:r w:rsidRPr="00980BC4">
        <w:rPr>
          <w:rFonts w:ascii="仿宋" w:eastAsia="仿宋" w:hAnsi="仿宋" w:cs="Times New Roman"/>
          <w:sz w:val="28"/>
          <w:szCs w:val="28"/>
        </w:rPr>
        <w:t>2</w:t>
      </w:r>
      <w:r w:rsidRPr="00980BC4">
        <w:rPr>
          <w:rFonts w:ascii="仿宋" w:eastAsia="仿宋" w:hAnsi="仿宋" w:cs="Times New Roman" w:hint="eastAsia"/>
          <w:sz w:val="28"/>
          <w:szCs w:val="28"/>
        </w:rPr>
        <w:t>日发布的《关于实施小微企业和个体工商户所得税优惠政策的公告》（财税</w:t>
      </w:r>
      <w:r w:rsidRPr="00980BC4">
        <w:rPr>
          <w:rFonts w:ascii="仿宋" w:eastAsia="仿宋" w:hAnsi="仿宋" w:cs="Times New Roman"/>
          <w:sz w:val="28"/>
          <w:szCs w:val="28"/>
        </w:rPr>
        <w:t>202112</w:t>
      </w:r>
      <w:r w:rsidRPr="00980BC4">
        <w:rPr>
          <w:rFonts w:ascii="仿宋" w:eastAsia="仿宋" w:hAnsi="仿宋" w:cs="Times New Roman" w:hint="eastAsia"/>
          <w:sz w:val="28"/>
          <w:szCs w:val="28"/>
        </w:rPr>
        <w:t>号）规定，自</w:t>
      </w:r>
      <w:r w:rsidRPr="00980BC4">
        <w:rPr>
          <w:rFonts w:ascii="仿宋" w:eastAsia="仿宋" w:hAnsi="仿宋" w:cs="Times New Roman"/>
          <w:sz w:val="28"/>
          <w:szCs w:val="28"/>
        </w:rPr>
        <w:t>2021</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w:t>
      </w:r>
      <w:r w:rsidRPr="00980BC4">
        <w:rPr>
          <w:rFonts w:ascii="仿宋" w:eastAsia="仿宋" w:hAnsi="仿宋" w:cs="Times New Roman" w:hint="eastAsia"/>
          <w:sz w:val="28"/>
          <w:szCs w:val="28"/>
        </w:rPr>
        <w:t>月</w:t>
      </w:r>
      <w:r w:rsidRPr="00980BC4">
        <w:rPr>
          <w:rFonts w:ascii="仿宋" w:eastAsia="仿宋" w:hAnsi="仿宋" w:cs="Times New Roman"/>
          <w:sz w:val="28"/>
          <w:szCs w:val="28"/>
        </w:rPr>
        <w:t>1</w:t>
      </w:r>
      <w:r w:rsidRPr="00980BC4">
        <w:rPr>
          <w:rFonts w:ascii="仿宋" w:eastAsia="仿宋" w:hAnsi="仿宋" w:cs="Times New Roman" w:hint="eastAsia"/>
          <w:sz w:val="28"/>
          <w:szCs w:val="28"/>
        </w:rPr>
        <w:t>日至</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31</w:t>
      </w:r>
      <w:r w:rsidRPr="00980BC4">
        <w:rPr>
          <w:rFonts w:ascii="仿宋" w:eastAsia="仿宋" w:hAnsi="仿宋" w:cs="Times New Roman" w:hint="eastAsia"/>
          <w:sz w:val="28"/>
          <w:szCs w:val="28"/>
        </w:rPr>
        <w:t>日，对小型微利企业年应纳税所得额不超过</w:t>
      </w:r>
      <w:r w:rsidRPr="00980BC4">
        <w:rPr>
          <w:rFonts w:ascii="仿宋" w:eastAsia="仿宋" w:hAnsi="仿宋" w:cs="Times New Roman"/>
          <w:sz w:val="28"/>
          <w:szCs w:val="28"/>
        </w:rPr>
        <w:t>100</w:t>
      </w:r>
      <w:r w:rsidRPr="00980BC4">
        <w:rPr>
          <w:rFonts w:ascii="仿宋" w:eastAsia="仿宋" w:hAnsi="仿宋" w:cs="Times New Roman" w:hint="eastAsia"/>
          <w:sz w:val="28"/>
          <w:szCs w:val="28"/>
        </w:rPr>
        <w:t>万元的部分，在财政部、税务总局发布的《关于实施小微企业普惠性税收减免政策的通知》（财税</w:t>
      </w:r>
      <w:r w:rsidRPr="00980BC4">
        <w:rPr>
          <w:rFonts w:ascii="仿宋" w:eastAsia="仿宋" w:hAnsi="仿宋" w:cs="Times New Roman"/>
          <w:sz w:val="28"/>
          <w:szCs w:val="28"/>
        </w:rPr>
        <w:t>201913</w:t>
      </w:r>
      <w:r w:rsidRPr="00980BC4">
        <w:rPr>
          <w:rFonts w:ascii="仿宋" w:eastAsia="仿宋" w:hAnsi="仿宋" w:cs="Times New Roman" w:hint="eastAsia"/>
          <w:sz w:val="28"/>
          <w:szCs w:val="28"/>
        </w:rPr>
        <w:t>号）第二条规定的优惠政策基础上，再减半征收企业所得税。即年应纳税所得额不超过</w:t>
      </w:r>
      <w:r w:rsidRPr="00980BC4">
        <w:rPr>
          <w:rFonts w:ascii="仿宋" w:eastAsia="仿宋" w:hAnsi="仿宋" w:cs="Times New Roman"/>
          <w:sz w:val="28"/>
          <w:szCs w:val="28"/>
        </w:rPr>
        <w:t>100</w:t>
      </w:r>
      <w:r w:rsidRPr="00980BC4">
        <w:rPr>
          <w:rFonts w:ascii="仿宋" w:eastAsia="仿宋" w:hAnsi="仿宋" w:cs="Times New Roman" w:hint="eastAsia"/>
          <w:sz w:val="28"/>
          <w:szCs w:val="28"/>
        </w:rPr>
        <w:t>万元的部分，减按</w:t>
      </w:r>
      <w:r w:rsidRPr="00980BC4">
        <w:rPr>
          <w:rFonts w:ascii="仿宋" w:eastAsia="仿宋" w:hAnsi="仿宋" w:cs="Times New Roman"/>
          <w:sz w:val="28"/>
          <w:szCs w:val="28"/>
        </w:rPr>
        <w:t>12.5%</w:t>
      </w:r>
      <w:r w:rsidRPr="00980BC4">
        <w:rPr>
          <w:rFonts w:ascii="仿宋" w:eastAsia="仿宋" w:hAnsi="仿宋" w:cs="Times New Roman" w:hint="eastAsia"/>
          <w:sz w:val="28"/>
          <w:szCs w:val="28"/>
        </w:rPr>
        <w:t>计入应纳税所得额，按</w:t>
      </w:r>
      <w:r w:rsidRPr="00980BC4">
        <w:rPr>
          <w:rFonts w:ascii="仿宋" w:eastAsia="仿宋" w:hAnsi="仿宋" w:cs="Times New Roman"/>
          <w:sz w:val="28"/>
          <w:szCs w:val="28"/>
        </w:rPr>
        <w:t>20%</w:t>
      </w:r>
      <w:r w:rsidRPr="00980BC4">
        <w:rPr>
          <w:rFonts w:ascii="仿宋" w:eastAsia="仿宋" w:hAnsi="仿宋" w:cs="Times New Roman" w:hint="eastAsia"/>
          <w:sz w:val="28"/>
          <w:szCs w:val="28"/>
        </w:rPr>
        <w:t>的税率缴纳企业所得税。根据财政部、税务总局</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3</w:t>
      </w:r>
      <w:r w:rsidRPr="00980BC4">
        <w:rPr>
          <w:rFonts w:ascii="仿宋" w:eastAsia="仿宋" w:hAnsi="仿宋" w:cs="Times New Roman" w:hint="eastAsia"/>
          <w:sz w:val="28"/>
          <w:szCs w:val="28"/>
        </w:rPr>
        <w:t>月</w:t>
      </w:r>
      <w:r w:rsidRPr="00980BC4">
        <w:rPr>
          <w:rFonts w:ascii="仿宋" w:eastAsia="仿宋" w:hAnsi="仿宋" w:cs="Times New Roman"/>
          <w:sz w:val="28"/>
          <w:szCs w:val="28"/>
        </w:rPr>
        <w:t>14</w:t>
      </w:r>
      <w:r w:rsidRPr="00980BC4">
        <w:rPr>
          <w:rFonts w:ascii="仿宋" w:eastAsia="仿宋" w:hAnsi="仿宋" w:cs="Times New Roman" w:hint="eastAsia"/>
          <w:sz w:val="28"/>
          <w:szCs w:val="28"/>
        </w:rPr>
        <w:t>日发布的《关于进一步实施小微企业所得税优惠政策的公告》（财税</w:t>
      </w:r>
      <w:r w:rsidRPr="00980BC4">
        <w:rPr>
          <w:rFonts w:ascii="仿宋" w:eastAsia="仿宋" w:hAnsi="仿宋" w:cs="Times New Roman"/>
          <w:sz w:val="28"/>
          <w:szCs w:val="28"/>
        </w:rPr>
        <w:t>202213</w:t>
      </w:r>
      <w:r w:rsidRPr="00980BC4">
        <w:rPr>
          <w:rFonts w:ascii="仿宋" w:eastAsia="仿宋" w:hAnsi="仿宋" w:cs="Times New Roman" w:hint="eastAsia"/>
          <w:sz w:val="28"/>
          <w:szCs w:val="28"/>
        </w:rPr>
        <w:t>号）规定，自</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w:t>
      </w:r>
      <w:r w:rsidRPr="00980BC4">
        <w:rPr>
          <w:rFonts w:ascii="仿宋" w:eastAsia="仿宋" w:hAnsi="仿宋" w:cs="Times New Roman" w:hint="eastAsia"/>
          <w:sz w:val="28"/>
          <w:szCs w:val="28"/>
        </w:rPr>
        <w:t>月</w:t>
      </w:r>
      <w:r w:rsidRPr="00980BC4">
        <w:rPr>
          <w:rFonts w:ascii="仿宋" w:eastAsia="仿宋" w:hAnsi="仿宋" w:cs="Times New Roman"/>
          <w:sz w:val="28"/>
          <w:szCs w:val="28"/>
        </w:rPr>
        <w:t>1</w:t>
      </w:r>
      <w:r w:rsidRPr="00980BC4">
        <w:rPr>
          <w:rFonts w:ascii="仿宋" w:eastAsia="仿宋" w:hAnsi="仿宋" w:cs="Times New Roman" w:hint="eastAsia"/>
          <w:sz w:val="28"/>
          <w:szCs w:val="28"/>
        </w:rPr>
        <w:t>日至</w:t>
      </w:r>
      <w:r w:rsidRPr="00980BC4">
        <w:rPr>
          <w:rFonts w:ascii="仿宋" w:eastAsia="仿宋" w:hAnsi="仿宋" w:cs="Times New Roman"/>
          <w:sz w:val="28"/>
          <w:szCs w:val="28"/>
        </w:rPr>
        <w:t>2024</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31</w:t>
      </w:r>
      <w:r w:rsidRPr="00980BC4">
        <w:rPr>
          <w:rFonts w:ascii="仿宋" w:eastAsia="仿宋" w:hAnsi="仿宋" w:cs="Times New Roman" w:hint="eastAsia"/>
          <w:sz w:val="28"/>
          <w:szCs w:val="28"/>
        </w:rPr>
        <w:t>日，对年应纳税所得额超</w:t>
      </w:r>
      <w:r w:rsidRPr="00980BC4">
        <w:rPr>
          <w:rFonts w:ascii="仿宋" w:eastAsia="仿宋" w:hAnsi="仿宋" w:cs="Times New Roman" w:hint="eastAsia"/>
          <w:sz w:val="28"/>
          <w:szCs w:val="28"/>
        </w:rPr>
        <w:lastRenderedPageBreak/>
        <w:t>过</w:t>
      </w:r>
      <w:r w:rsidRPr="00980BC4">
        <w:rPr>
          <w:rFonts w:ascii="仿宋" w:eastAsia="仿宋" w:hAnsi="仿宋" w:cs="Times New Roman"/>
          <w:sz w:val="28"/>
          <w:szCs w:val="28"/>
        </w:rPr>
        <w:t>100</w:t>
      </w:r>
      <w:r w:rsidRPr="00980BC4">
        <w:rPr>
          <w:rFonts w:ascii="仿宋" w:eastAsia="仿宋" w:hAnsi="仿宋" w:cs="Times New Roman" w:hint="eastAsia"/>
          <w:sz w:val="28"/>
          <w:szCs w:val="28"/>
        </w:rPr>
        <w:t>万元但不超过</w:t>
      </w:r>
      <w:r w:rsidRPr="00980BC4">
        <w:rPr>
          <w:rFonts w:ascii="仿宋" w:eastAsia="仿宋" w:hAnsi="仿宋" w:cs="Times New Roman"/>
          <w:sz w:val="28"/>
          <w:szCs w:val="28"/>
        </w:rPr>
        <w:t>300</w:t>
      </w:r>
      <w:r w:rsidRPr="00980BC4">
        <w:rPr>
          <w:rFonts w:ascii="仿宋" w:eastAsia="仿宋" w:hAnsi="仿宋" w:cs="Times New Roman" w:hint="eastAsia"/>
          <w:sz w:val="28"/>
          <w:szCs w:val="28"/>
        </w:rPr>
        <w:t>万元的部分，减按</w:t>
      </w:r>
      <w:r w:rsidRPr="00980BC4">
        <w:rPr>
          <w:rFonts w:ascii="仿宋" w:eastAsia="仿宋" w:hAnsi="仿宋" w:cs="Times New Roman"/>
          <w:sz w:val="28"/>
          <w:szCs w:val="28"/>
        </w:rPr>
        <w:t>25%</w:t>
      </w:r>
      <w:r w:rsidRPr="00980BC4">
        <w:rPr>
          <w:rFonts w:ascii="仿宋" w:eastAsia="仿宋" w:hAnsi="仿宋" w:cs="Times New Roman" w:hint="eastAsia"/>
          <w:sz w:val="28"/>
          <w:szCs w:val="28"/>
        </w:rPr>
        <w:t>计入应纳税所得额，按</w:t>
      </w:r>
      <w:r w:rsidRPr="00980BC4">
        <w:rPr>
          <w:rFonts w:ascii="仿宋" w:eastAsia="仿宋" w:hAnsi="仿宋" w:cs="Times New Roman"/>
          <w:sz w:val="28"/>
          <w:szCs w:val="28"/>
        </w:rPr>
        <w:t>20%</w:t>
      </w:r>
      <w:r w:rsidRPr="00980BC4">
        <w:rPr>
          <w:rFonts w:ascii="仿宋" w:eastAsia="仿宋" w:hAnsi="仿宋" w:cs="Times New Roman" w:hint="eastAsia"/>
          <w:sz w:val="28"/>
          <w:szCs w:val="28"/>
        </w:rPr>
        <w:t>的税率缴纳企业所得税。公司之子公司甘华电源、甘科物业、升华源、四川德芯源</w:t>
      </w:r>
      <w:r w:rsidRPr="00980BC4">
        <w:rPr>
          <w:rFonts w:ascii="仿宋" w:eastAsia="仿宋" w:hAnsi="仿宋" w:cs="Times New Roman"/>
          <w:sz w:val="28"/>
          <w:szCs w:val="28"/>
        </w:rPr>
        <w:t>2021</w:t>
      </w:r>
      <w:r w:rsidRPr="00980BC4">
        <w:rPr>
          <w:rFonts w:ascii="仿宋" w:eastAsia="仿宋" w:hAnsi="仿宋" w:cs="Times New Roman" w:hint="eastAsia"/>
          <w:sz w:val="28"/>
          <w:szCs w:val="28"/>
        </w:rPr>
        <w:t>年度和</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年度享受该税收优惠。</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w:t>
      </w:r>
      <w:r w:rsidRPr="00980BC4">
        <w:rPr>
          <w:rFonts w:ascii="仿宋" w:eastAsia="仿宋" w:hAnsi="仿宋" w:cs="Times New Roman"/>
          <w:sz w:val="28"/>
          <w:szCs w:val="28"/>
        </w:rPr>
        <w:t>4</w:t>
      </w:r>
      <w:r w:rsidRPr="00980BC4">
        <w:rPr>
          <w:rFonts w:ascii="仿宋" w:eastAsia="仿宋" w:hAnsi="仿宋" w:cs="Times New Roman" w:hint="eastAsia"/>
          <w:sz w:val="28"/>
          <w:szCs w:val="28"/>
        </w:rPr>
        <w:t>）高新技术企业第四季度购买固定资产享受所得税优惠</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根据财政部、税务总局、科技部联合颁布的《关于加大支持科技创新税前扣除力度的公告》（</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年第</w:t>
      </w:r>
      <w:r w:rsidRPr="00980BC4">
        <w:rPr>
          <w:rFonts w:ascii="仿宋" w:eastAsia="仿宋" w:hAnsi="仿宋" w:cs="Times New Roman"/>
          <w:sz w:val="28"/>
          <w:szCs w:val="28"/>
        </w:rPr>
        <w:t>28</w:t>
      </w:r>
      <w:r w:rsidRPr="00980BC4">
        <w:rPr>
          <w:rFonts w:ascii="仿宋" w:eastAsia="仿宋" w:hAnsi="仿宋" w:cs="Times New Roman" w:hint="eastAsia"/>
          <w:sz w:val="28"/>
          <w:szCs w:val="28"/>
        </w:rPr>
        <w:t>号），高新技术企业在</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10</w:t>
      </w:r>
      <w:r w:rsidRPr="00980BC4">
        <w:rPr>
          <w:rFonts w:ascii="仿宋" w:eastAsia="仿宋" w:hAnsi="仿宋" w:cs="Times New Roman" w:hint="eastAsia"/>
          <w:sz w:val="28"/>
          <w:szCs w:val="28"/>
        </w:rPr>
        <w:t>月</w:t>
      </w:r>
      <w:r w:rsidRPr="00980BC4">
        <w:rPr>
          <w:rFonts w:ascii="仿宋" w:eastAsia="仿宋" w:hAnsi="仿宋" w:cs="Times New Roman"/>
          <w:sz w:val="28"/>
          <w:szCs w:val="28"/>
        </w:rPr>
        <w:t>1</w:t>
      </w:r>
      <w:r w:rsidRPr="00980BC4">
        <w:rPr>
          <w:rFonts w:ascii="仿宋" w:eastAsia="仿宋" w:hAnsi="仿宋" w:cs="Times New Roman" w:hint="eastAsia"/>
          <w:sz w:val="28"/>
          <w:szCs w:val="28"/>
        </w:rPr>
        <w:t>日至</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31</w:t>
      </w:r>
      <w:r w:rsidRPr="00980BC4">
        <w:rPr>
          <w:rFonts w:ascii="仿宋" w:eastAsia="仿宋" w:hAnsi="仿宋" w:cs="Times New Roman" w:hint="eastAsia"/>
          <w:sz w:val="28"/>
          <w:szCs w:val="28"/>
        </w:rPr>
        <w:t>日期间新购置的设备、器具，允许当年一次性全额在计算应纳税所得额时扣除，并允许在税前实行</w:t>
      </w:r>
      <w:r w:rsidRPr="00980BC4">
        <w:rPr>
          <w:rFonts w:ascii="仿宋" w:eastAsia="仿宋" w:hAnsi="仿宋" w:cs="Times New Roman"/>
          <w:sz w:val="28"/>
          <w:szCs w:val="28"/>
        </w:rPr>
        <w:t>100%</w:t>
      </w:r>
      <w:r w:rsidRPr="00980BC4">
        <w:rPr>
          <w:rFonts w:ascii="仿宋" w:eastAsia="仿宋" w:hAnsi="仿宋" w:cs="Times New Roman" w:hint="eastAsia"/>
          <w:sz w:val="28"/>
          <w:szCs w:val="28"/>
        </w:rPr>
        <w:t>加计扣除。本期子公司升华电源、沈阳含能可享受该税收优惠政策。</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w:t>
      </w:r>
      <w:r w:rsidRPr="00980BC4">
        <w:rPr>
          <w:rFonts w:ascii="仿宋" w:eastAsia="仿宋" w:hAnsi="仿宋" w:cs="Times New Roman"/>
          <w:sz w:val="28"/>
          <w:szCs w:val="28"/>
        </w:rPr>
        <w:t>5</w:t>
      </w:r>
      <w:r w:rsidRPr="00980BC4">
        <w:rPr>
          <w:rFonts w:ascii="仿宋" w:eastAsia="仿宋" w:hAnsi="仿宋" w:cs="Times New Roman" w:hint="eastAsia"/>
          <w:sz w:val="28"/>
          <w:szCs w:val="28"/>
        </w:rPr>
        <w:t>）军品销售增值税优惠</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公司下属子公司升华电源销售军品，按照军品增值税政策，军品增值税施行免税合同清单制，公司向相关部门申报免税合同后，形成清单报送财政部和国税总局，其联合批复下发文件至各级税务机关，随后通知企业办理已交增值税退税，免税清单下发后企业可直接开具增值税免税普通发票。</w:t>
      </w:r>
    </w:p>
    <w:p w:rsidR="00A8241F" w:rsidRDefault="00F67D6F"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公司下属子公司沈阳含能销售军品，按照军品增值税政策，军品增值税施行免税合同清单制，公司向相关部门申报免税合同后，形成清单报送辽宁省国防科技工业管理部门，相关部门批复后经财政部、国家税务总局联合下发红头文件至各级税务机关，企业根据文件要求进行税务处理，并直接开具增值税</w:t>
      </w:r>
      <w:r w:rsidRPr="00980BC4">
        <w:rPr>
          <w:rFonts w:ascii="仿宋" w:eastAsia="仿宋" w:hAnsi="仿宋" w:cs="Times New Roman"/>
          <w:sz w:val="28"/>
          <w:szCs w:val="28"/>
        </w:rPr>
        <w:t>0</w:t>
      </w:r>
      <w:r w:rsidRPr="00980BC4">
        <w:rPr>
          <w:rFonts w:ascii="仿宋" w:eastAsia="仿宋" w:hAnsi="仿宋" w:cs="Times New Roman" w:hint="eastAsia"/>
          <w:sz w:val="28"/>
          <w:szCs w:val="28"/>
        </w:rPr>
        <w:t>税率普通发票。</w:t>
      </w:r>
    </w:p>
    <w:p w:rsidR="00F67D6F" w:rsidRPr="00980BC4" w:rsidRDefault="00261C11" w:rsidP="00A8241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4469EC">
        <w:rPr>
          <w:rFonts w:ascii="仿宋" w:eastAsia="仿宋" w:hAnsi="仿宋" w:cs="Times New Roman" w:hint="eastAsia"/>
          <w:sz w:val="28"/>
          <w:szCs w:val="28"/>
        </w:rPr>
        <w:t>2022年，根据军方通知，销售合同签订时间在2022年1月1日及以后的军品销售不再享受免交增值税的税收优惠。</w:t>
      </w:r>
      <w:r w:rsidR="00F67D6F" w:rsidRPr="00980BC4">
        <w:rPr>
          <w:rFonts w:ascii="仿宋" w:eastAsia="仿宋" w:hAnsi="仿宋" w:cs="Times New Roman" w:hint="eastAsia"/>
          <w:sz w:val="28"/>
          <w:szCs w:val="28"/>
        </w:rPr>
        <w:t>子公司升华电源、沈阳含能本期执行的销售合同中仅属于</w:t>
      </w:r>
      <w:r w:rsidR="00F67D6F" w:rsidRPr="00980BC4">
        <w:rPr>
          <w:rFonts w:ascii="仿宋" w:eastAsia="仿宋" w:hAnsi="仿宋" w:cs="Times New Roman"/>
          <w:sz w:val="28"/>
          <w:szCs w:val="28"/>
        </w:rPr>
        <w:t>2022</w:t>
      </w:r>
      <w:r w:rsidR="00F67D6F" w:rsidRPr="00980BC4">
        <w:rPr>
          <w:rFonts w:ascii="仿宋" w:eastAsia="仿宋" w:hAnsi="仿宋" w:cs="Times New Roman" w:hint="eastAsia"/>
          <w:sz w:val="28"/>
          <w:szCs w:val="28"/>
        </w:rPr>
        <w:t>年</w:t>
      </w:r>
      <w:r w:rsidR="00F67D6F" w:rsidRPr="00980BC4">
        <w:rPr>
          <w:rFonts w:ascii="仿宋" w:eastAsia="仿宋" w:hAnsi="仿宋" w:cs="Times New Roman"/>
          <w:sz w:val="28"/>
          <w:szCs w:val="28"/>
        </w:rPr>
        <w:t>1</w:t>
      </w:r>
      <w:r w:rsidR="00F67D6F" w:rsidRPr="00980BC4">
        <w:rPr>
          <w:rFonts w:ascii="仿宋" w:eastAsia="仿宋" w:hAnsi="仿宋" w:cs="Times New Roman" w:hint="eastAsia"/>
          <w:sz w:val="28"/>
          <w:szCs w:val="28"/>
        </w:rPr>
        <w:t>月</w:t>
      </w:r>
      <w:r w:rsidR="00F67D6F" w:rsidRPr="00980BC4">
        <w:rPr>
          <w:rFonts w:ascii="仿宋" w:eastAsia="仿宋" w:hAnsi="仿宋" w:cs="Times New Roman"/>
          <w:sz w:val="28"/>
          <w:szCs w:val="28"/>
        </w:rPr>
        <w:t>1</w:t>
      </w:r>
      <w:r w:rsidR="00F67D6F" w:rsidRPr="00980BC4">
        <w:rPr>
          <w:rFonts w:ascii="仿宋" w:eastAsia="仿宋" w:hAnsi="仿宋" w:cs="Times New Roman" w:hint="eastAsia"/>
          <w:sz w:val="28"/>
          <w:szCs w:val="28"/>
        </w:rPr>
        <w:t>日之前签订的享受军品免征增值税优惠。</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23" w:name="_Toc989111"/>
      <w:r w:rsidRPr="00980BC4">
        <w:rPr>
          <w:rFonts w:ascii="仿宋" w:eastAsia="仿宋" w:hAnsi="仿宋" w:cs="Times New Roman"/>
          <w:b/>
          <w:sz w:val="28"/>
          <w:szCs w:val="28"/>
        </w:rPr>
        <w:t>3、其他</w:t>
      </w:r>
      <w:bookmarkEnd w:id="223"/>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无。</w:t>
      </w:r>
    </w:p>
    <w:p w:rsidR="00F67D6F" w:rsidRPr="00980BC4" w:rsidRDefault="00F67D6F" w:rsidP="00B7436F">
      <w:pPr>
        <w:pStyle w:val="2"/>
        <w:spacing w:before="0" w:after="0" w:line="540" w:lineRule="exact"/>
        <w:ind w:firstLineChars="200" w:firstLine="562"/>
        <w:divId w:val="969553885"/>
        <w:rPr>
          <w:rFonts w:ascii="宋体" w:eastAsia="宋体" w:hAnsi="宋体" w:cs="宋体"/>
          <w:b/>
          <w:bCs/>
          <w:sz w:val="28"/>
          <w:szCs w:val="28"/>
        </w:rPr>
      </w:pPr>
      <w:bookmarkStart w:id="224" w:name="_Toc989112"/>
      <w:r w:rsidRPr="00980BC4">
        <w:rPr>
          <w:rFonts w:ascii="宋体" w:eastAsia="宋体" w:hAnsi="宋体" w:cs="宋体"/>
          <w:b/>
          <w:bCs/>
          <w:sz w:val="28"/>
          <w:szCs w:val="28"/>
        </w:rPr>
        <w:lastRenderedPageBreak/>
        <w:t>七、合并财务报表项目注释</w:t>
      </w:r>
      <w:bookmarkEnd w:id="224"/>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25" w:name="_Toc989113"/>
      <w:r w:rsidRPr="00980BC4">
        <w:rPr>
          <w:rFonts w:ascii="仿宋" w:eastAsia="仿宋" w:hAnsi="仿宋" w:cs="Times New Roman"/>
          <w:b/>
          <w:sz w:val="28"/>
          <w:szCs w:val="28"/>
        </w:rPr>
        <w:t>1、货币资金</w:t>
      </w:r>
      <w:bookmarkEnd w:id="225"/>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155,756.04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60,041.29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134,162,641.68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99,418,097.49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7,321,347.15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23,371,523.68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141,639,744.87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122,849,662.46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3,609.30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3,822.86</w:t>
            </w:r>
          </w:p>
        </w:tc>
      </w:tr>
    </w:tbl>
    <w:p w:rsidR="00B7436F" w:rsidRDefault="00F67D6F" w:rsidP="00B7436F">
      <w:pPr>
        <w:pStyle w:val="a3"/>
        <w:widowControl w:val="0"/>
        <w:spacing w:before="0" w:beforeAutospacing="0" w:after="0" w:afterAutospacing="0" w:line="560" w:lineRule="exact"/>
        <w:ind w:firstLine="561"/>
        <w:jc w:val="both"/>
        <w:divId w:val="969553885"/>
        <w:rPr>
          <w:rFonts w:ascii="仿宋" w:eastAsia="仿宋" w:hAnsi="仿宋" w:cs="Times New Roman"/>
          <w:b/>
          <w:sz w:val="28"/>
          <w:szCs w:val="28"/>
        </w:rPr>
      </w:pPr>
      <w:r w:rsidRPr="00980BC4">
        <w:rPr>
          <w:rFonts w:ascii="仿宋" w:eastAsia="仿宋" w:hAnsi="仿宋" w:cs="Times New Roman"/>
          <w:b/>
          <w:sz w:val="28"/>
          <w:szCs w:val="28"/>
        </w:rPr>
        <w:t>其他说明：</w:t>
      </w:r>
    </w:p>
    <w:p w:rsidR="00F67D6F" w:rsidRPr="00980BC4" w:rsidRDefault="00F67D6F" w:rsidP="00B7436F">
      <w:pPr>
        <w:pStyle w:val="a3"/>
        <w:widowControl w:val="0"/>
        <w:spacing w:before="0" w:beforeAutospacing="0" w:after="0" w:afterAutospacing="0" w:line="56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期末其他货币资金包括票据保证金</w:t>
      </w:r>
      <w:r w:rsidRPr="00980BC4">
        <w:rPr>
          <w:rFonts w:ascii="仿宋" w:eastAsia="仿宋" w:hAnsi="仿宋" w:cs="Times New Roman"/>
          <w:sz w:val="28"/>
          <w:szCs w:val="28"/>
        </w:rPr>
        <w:t>7,294,365.16</w:t>
      </w:r>
      <w:r w:rsidRPr="00980BC4">
        <w:rPr>
          <w:rFonts w:ascii="仿宋" w:eastAsia="仿宋" w:hAnsi="仿宋" w:cs="Times New Roman" w:hint="eastAsia"/>
          <w:sz w:val="28"/>
          <w:szCs w:val="28"/>
        </w:rPr>
        <w:t>元、存出投资款</w:t>
      </w:r>
      <w:r w:rsidRPr="00980BC4">
        <w:rPr>
          <w:rFonts w:ascii="仿宋" w:eastAsia="仿宋" w:hAnsi="仿宋" w:cs="Times New Roman"/>
          <w:sz w:val="28"/>
          <w:szCs w:val="28"/>
        </w:rPr>
        <w:t>26,981.99</w:t>
      </w:r>
      <w:r w:rsidRPr="00980BC4">
        <w:rPr>
          <w:rFonts w:ascii="仿宋" w:eastAsia="仿宋" w:hAnsi="仿宋" w:cs="Times New Roman" w:hint="eastAsia"/>
          <w:sz w:val="28"/>
          <w:szCs w:val="28"/>
        </w:rPr>
        <w:t>元。除票据保证金之外，期末货币资金中无其他因抵押、质押或冻结等对使用有限制、有潜在回收风险的款项。</w:t>
      </w:r>
    </w:p>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26" w:name="_Toc989114"/>
      <w:r w:rsidRPr="00980BC4">
        <w:rPr>
          <w:rFonts w:ascii="仿宋" w:eastAsia="仿宋" w:hAnsi="仿宋" w:cs="Times New Roman"/>
          <w:b/>
          <w:sz w:val="28"/>
          <w:szCs w:val="28"/>
        </w:rPr>
        <w:t>2、交易性金融资产</w:t>
      </w:r>
      <w:bookmarkEnd w:id="22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434.00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27,197,782.00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rPr>
                <w:rFonts w:ascii="宋体" w:eastAsia="宋体" w:hAnsi="宋体" w:cs="宋体"/>
                <w:sz w:val="18"/>
                <w:szCs w:val="18"/>
              </w:rPr>
            </w:pPr>
            <w:r w:rsidRPr="00980BC4">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434.00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26,403,782.00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794,000.00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指定以公允价值计量且其变动计入当期损益的金融资产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292,231,057.07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265,283,533.59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rPr>
                <w:rFonts w:ascii="宋体" w:eastAsia="宋体" w:hAnsi="宋体" w:cs="宋体"/>
                <w:sz w:val="18"/>
                <w:szCs w:val="18"/>
              </w:rPr>
            </w:pPr>
            <w:r w:rsidRPr="00980BC4">
              <w:rPr>
                <w:rFonts w:ascii="宋体" w:eastAsia="宋体" w:hAnsi="宋体" w:cs="宋体"/>
                <w:sz w:val="18"/>
                <w:szCs w:val="18"/>
              </w:rPr>
              <w:t>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292,231,057.07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265,283,533.59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292,231,491.07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292,481,315.59</w:t>
            </w:r>
          </w:p>
        </w:tc>
      </w:tr>
    </w:tbl>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27" w:name="_Toc989115"/>
      <w:r w:rsidRPr="00980BC4">
        <w:rPr>
          <w:rFonts w:ascii="仿宋" w:eastAsia="仿宋" w:hAnsi="仿宋" w:cs="Times New Roman"/>
          <w:b/>
          <w:sz w:val="28"/>
          <w:szCs w:val="28"/>
        </w:rPr>
        <w:t>3、应收票据</w:t>
      </w:r>
      <w:bookmarkEnd w:id="227"/>
    </w:p>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28" w:name="_Toc989116"/>
      <w:r w:rsidRPr="00980BC4">
        <w:rPr>
          <w:rFonts w:ascii="仿宋" w:eastAsia="仿宋" w:hAnsi="仿宋" w:cs="Times New Roman"/>
          <w:b/>
          <w:sz w:val="28"/>
          <w:szCs w:val="28"/>
        </w:rPr>
        <w:t>（1） 应收票据分类列示</w:t>
      </w:r>
      <w:bookmarkEnd w:id="228"/>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3,958,182.88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24,979,989.87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152,198,105.97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52,950,650.82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156,156,288.85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77,930,640.69</w:t>
            </w:r>
          </w:p>
        </w:tc>
      </w:tr>
    </w:tbl>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875"/>
        <w:gridCol w:w="876"/>
        <w:gridCol w:w="877"/>
        <w:gridCol w:w="876"/>
        <w:gridCol w:w="877"/>
        <w:gridCol w:w="876"/>
        <w:gridCol w:w="876"/>
        <w:gridCol w:w="877"/>
        <w:gridCol w:w="876"/>
        <w:gridCol w:w="877"/>
        <w:gridCol w:w="876"/>
      </w:tblGrid>
      <w:tr w:rsidR="00F67D6F" w:rsidRPr="00980BC4" w:rsidTr="00F67D6F">
        <w:trPr>
          <w:divId w:val="969553885"/>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r>
      <w:tr w:rsidR="00F67D6F" w:rsidRPr="00980BC4" w:rsidTr="00F67D6F">
        <w:trPr>
          <w:divId w:val="969553885"/>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按组合计提坏账准备的应收票据</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164,606,184.35</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8,449,895.50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5.13%</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156,156,288.85</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81,085,655.01</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3,155,014.32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3.89%</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77,930,640.69</w:t>
            </w: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rPr>
                <w:rFonts w:ascii="宋体" w:eastAsia="宋体" w:hAnsi="宋体" w:cs="宋体"/>
                <w:sz w:val="18"/>
                <w:szCs w:val="18"/>
              </w:rPr>
            </w:pPr>
            <w:r w:rsidRPr="00980BC4">
              <w:rPr>
                <w:rFonts w:ascii="宋体" w:eastAsia="宋体" w:hAnsi="宋体" w:cs="宋体"/>
                <w:sz w:val="18"/>
                <w:szCs w:val="18"/>
              </w:rPr>
              <w:t>1. 银行承兑汇票</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3,958,182.88</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2.40%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3,958,182.88</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24,979,989.87</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30.81%</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24,979,989.87</w:t>
            </w: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rPr>
                <w:rFonts w:ascii="宋体" w:eastAsia="宋体" w:hAnsi="宋体" w:cs="宋体"/>
                <w:sz w:val="18"/>
                <w:szCs w:val="18"/>
              </w:rPr>
            </w:pPr>
            <w:r w:rsidRPr="00980BC4">
              <w:rPr>
                <w:rFonts w:ascii="宋体" w:eastAsia="宋体" w:hAnsi="宋体" w:cs="宋体"/>
                <w:sz w:val="18"/>
                <w:szCs w:val="18"/>
              </w:rPr>
              <w:t>2. 商业承兑汇票</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160,648,001.47</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97.60%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8,449,895.50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5.26%</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152,198,105.97</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56,105,665.14</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69.19%</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3,155,014.32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5.62%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52,950,650.82</w:t>
            </w: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164,606,184.35</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8,449,895.50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5.13%</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156,156,288.85</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81,085,655.01</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3,155,014.32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3.89%</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77,930,640.69</w:t>
            </w:r>
          </w:p>
        </w:tc>
      </w:tr>
    </w:tbl>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b/>
          <w:sz w:val="28"/>
          <w:szCs w:val="28"/>
        </w:rPr>
        <w:t>按组合计提坏账准备：</w:t>
      </w:r>
      <w:r w:rsidRPr="00980BC4">
        <w:rPr>
          <w:rFonts w:ascii="仿宋" w:eastAsia="仿宋" w:hAnsi="仿宋" w:cs="Times New Roman"/>
          <w:sz w:val="28"/>
          <w:szCs w:val="28"/>
        </w:rPr>
        <w:t>银行承兑汇票</w:t>
      </w: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67D6F">
        <w:trPr>
          <w:divId w:val="969553885"/>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rPr>
                <w:rFonts w:ascii="宋体" w:eastAsia="宋体" w:hAnsi="宋体" w:cs="宋体"/>
                <w:sz w:val="18"/>
                <w:szCs w:val="18"/>
              </w:rPr>
            </w:pPr>
            <w:r w:rsidRPr="00980BC4">
              <w:rPr>
                <w:rFonts w:ascii="宋体" w:eastAsia="宋体" w:hAnsi="宋体" w:cs="宋体"/>
                <w:sz w:val="18"/>
                <w:szCs w:val="18"/>
              </w:rPr>
              <w:t>银行承兑汇票</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3,958,182.88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3,958,182.88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r>
    </w:tbl>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确定该组合依据的说明：</w:t>
      </w:r>
    </w:p>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按组合计提坏账准备的确认标准及说明见附注五、10。</w:t>
      </w:r>
    </w:p>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b/>
          <w:sz w:val="28"/>
          <w:szCs w:val="28"/>
        </w:rPr>
        <w:t>按组合计提坏账准备：</w:t>
      </w:r>
      <w:r w:rsidRPr="00980BC4">
        <w:rPr>
          <w:rFonts w:ascii="仿宋" w:eastAsia="仿宋" w:hAnsi="仿宋" w:cs="Times New Roman"/>
          <w:sz w:val="28"/>
          <w:szCs w:val="28"/>
        </w:rPr>
        <w:t>商业承兑汇票</w:t>
      </w: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67D6F">
        <w:trPr>
          <w:divId w:val="969553885"/>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rPr>
                <w:rFonts w:ascii="宋体" w:eastAsia="宋体" w:hAnsi="宋体" w:cs="宋体"/>
                <w:sz w:val="18"/>
                <w:szCs w:val="18"/>
              </w:rPr>
            </w:pPr>
            <w:r w:rsidRPr="00980BC4">
              <w:rPr>
                <w:rFonts w:ascii="宋体" w:eastAsia="宋体" w:hAnsi="宋体" w:cs="宋体"/>
                <w:sz w:val="18"/>
                <w:szCs w:val="18"/>
              </w:rPr>
              <w:t>军工总装客户</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15,381,081.00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rPr>
                <w:rFonts w:ascii="宋体" w:eastAsia="宋体" w:hAnsi="宋体" w:cs="宋体"/>
                <w:sz w:val="18"/>
                <w:szCs w:val="18"/>
              </w:rPr>
            </w:pPr>
            <w:r w:rsidRPr="00980BC4">
              <w:rPr>
                <w:rFonts w:ascii="宋体" w:eastAsia="宋体" w:hAnsi="宋体" w:cs="宋体"/>
                <w:sz w:val="18"/>
                <w:szCs w:val="18"/>
              </w:rPr>
              <w:t>其他客户</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145,266,920.47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8,449,895.50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5.82%</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160,648,001.47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6685">
            <w:pPr>
              <w:spacing w:line="280" w:lineRule="exact"/>
              <w:jc w:val="right"/>
              <w:rPr>
                <w:rFonts w:ascii="宋体" w:eastAsia="宋体" w:hAnsi="宋体" w:cs="宋体"/>
                <w:sz w:val="18"/>
                <w:szCs w:val="18"/>
              </w:rPr>
            </w:pPr>
            <w:r w:rsidRPr="00980BC4">
              <w:rPr>
                <w:rFonts w:ascii="宋体" w:eastAsia="宋体" w:hAnsi="宋体" w:cs="宋体"/>
                <w:sz w:val="18"/>
                <w:szCs w:val="18"/>
              </w:rPr>
              <w:t>8,449,895.50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6685">
            <w:pPr>
              <w:spacing w:line="280" w:lineRule="exact"/>
            </w:pPr>
          </w:p>
        </w:tc>
      </w:tr>
    </w:tbl>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确定该组合依据的说明：</w:t>
      </w:r>
    </w:p>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按组合计提坏账准备的确认标准及说明见附注五、10。</w:t>
      </w:r>
    </w:p>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如是按照预期信用损失一般模型计提应收票据坏账准备，请参照其他应收款的披露方式披露坏账准备的相关信息：</w:t>
      </w:r>
    </w:p>
    <w:p w:rsidR="00F67D6F" w:rsidRPr="00980BC4" w:rsidRDefault="00F67D6F" w:rsidP="00356685">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lastRenderedPageBreak/>
        <w:t>□适用</w:t>
      </w:r>
      <w:r w:rsidR="00356685"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29" w:name="_Toc989117"/>
      <w:r w:rsidRPr="00980BC4">
        <w:rPr>
          <w:rFonts w:ascii="仿宋" w:eastAsia="仿宋" w:hAnsi="仿宋" w:cs="Times New Roman"/>
          <w:b/>
          <w:sz w:val="28"/>
          <w:szCs w:val="28"/>
        </w:rPr>
        <w:t>（2） 本期计提、收回或转回的坏账准备情况</w:t>
      </w:r>
      <w:bookmarkEnd w:id="229"/>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本期计提坏账准备情况：</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377"/>
        <w:gridCol w:w="1377"/>
        <w:gridCol w:w="1377"/>
        <w:gridCol w:w="1377"/>
        <w:gridCol w:w="1377"/>
      </w:tblGrid>
      <w:tr w:rsidR="00F67D6F" w:rsidRPr="00980BC4" w:rsidTr="00F67D6F">
        <w:trPr>
          <w:divId w:val="969553885"/>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商业承兑汇票</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3,155,014.32</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5,294,881.18</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8,449,895.50</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3,155,014.32</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5,294,881.18</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8,449,895.50</w:t>
            </w:r>
          </w:p>
        </w:tc>
      </w:tr>
    </w:tbl>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其中本期坏账准备收回或转回金额重要的：</w:t>
      </w:r>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6423CD"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30" w:name="_Toc989118"/>
      <w:r w:rsidRPr="00980BC4">
        <w:rPr>
          <w:rFonts w:ascii="仿宋" w:eastAsia="仿宋" w:hAnsi="仿宋" w:cs="Times New Roman"/>
          <w:b/>
          <w:sz w:val="28"/>
          <w:szCs w:val="28"/>
        </w:rPr>
        <w:t>4、应收账款</w:t>
      </w:r>
      <w:bookmarkEnd w:id="230"/>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31" w:name="_Toc989119"/>
      <w:r w:rsidRPr="00980BC4">
        <w:rPr>
          <w:rFonts w:ascii="仿宋" w:eastAsia="仿宋" w:hAnsi="仿宋" w:cs="Times New Roman"/>
          <w:b/>
          <w:sz w:val="28"/>
          <w:szCs w:val="28"/>
        </w:rPr>
        <w:t>（1） 应收账款分类披露</w:t>
      </w:r>
      <w:bookmarkEnd w:id="23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875"/>
        <w:gridCol w:w="876"/>
        <w:gridCol w:w="877"/>
        <w:gridCol w:w="876"/>
        <w:gridCol w:w="877"/>
        <w:gridCol w:w="876"/>
        <w:gridCol w:w="876"/>
        <w:gridCol w:w="877"/>
        <w:gridCol w:w="876"/>
        <w:gridCol w:w="877"/>
        <w:gridCol w:w="876"/>
      </w:tblGrid>
      <w:tr w:rsidR="00F67D6F" w:rsidRPr="00980BC4" w:rsidTr="00F67D6F">
        <w:trPr>
          <w:divId w:val="969553885"/>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r>
      <w:tr w:rsidR="00F67D6F" w:rsidRPr="00980BC4" w:rsidTr="00F67D6F">
        <w:trPr>
          <w:divId w:val="969553885"/>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157,573,634.74</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6,102,083.11</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3.87%</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151,471,551.63</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96,290,417.95</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2,632,790.98</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2.73%</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93,657,626.97</w:t>
            </w: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1. 军工总装客户</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46,943,624.46</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29.79%</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46,943,624.46</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52,749,014.76</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54.78%</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52,749,014.76</w:t>
            </w: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2. 其他客户</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110,630,010.28</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70.21%</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6,102,083.11</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5.52%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104,527,927.17</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43,541,403.19</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45.22%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2,632,790.98</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6.05%</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40,908,612.21</w:t>
            </w: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157,573,634.74</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6,102,083.11</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3.87%</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151,471,551.63</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96,290,417.95</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2,632,790.98</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2.73%</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93,657,626.97</w:t>
            </w:r>
          </w:p>
        </w:tc>
      </w:tr>
    </w:tbl>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b/>
          <w:sz w:val="28"/>
          <w:szCs w:val="28"/>
        </w:rPr>
        <w:t>按组合计提坏账准备：</w:t>
      </w:r>
      <w:r w:rsidRPr="00980BC4">
        <w:rPr>
          <w:rFonts w:ascii="仿宋" w:eastAsia="仿宋" w:hAnsi="仿宋" w:cs="Times New Roman"/>
          <w:sz w:val="28"/>
          <w:szCs w:val="28"/>
        </w:rPr>
        <w:t>军工总装客户</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67D6F">
        <w:trPr>
          <w:divId w:val="969553885"/>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军工总装客户</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46,943,624.46</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合计</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46,943,624.46</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r>
    </w:tbl>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确定该组合依据的说明：</w:t>
      </w:r>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按组合计提坏账准备的确认标准及说明见附注五、10。</w:t>
      </w:r>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b/>
          <w:sz w:val="28"/>
          <w:szCs w:val="28"/>
        </w:rPr>
        <w:t>按组合计提坏账准备：</w:t>
      </w:r>
      <w:r w:rsidRPr="00980BC4">
        <w:rPr>
          <w:rFonts w:ascii="仿宋" w:eastAsia="仿宋" w:hAnsi="仿宋" w:cs="Times New Roman"/>
          <w:sz w:val="28"/>
          <w:szCs w:val="28"/>
        </w:rPr>
        <w:t>其他客户</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67D6F">
        <w:trPr>
          <w:divId w:val="969553885"/>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其他客户</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110,630,010.28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6,102,083.11</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5.52%</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110,630,010.28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6,102,083.11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r>
    </w:tbl>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确定该组合依据的说明：</w:t>
      </w:r>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按组合计提坏账准备的确认标准及说明见附注五、10。</w:t>
      </w:r>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如是按照预期信用损失一般模型计提应收账款坏账准备，请参照其他应收款的披露方式披露坏账准备的相关信息：</w:t>
      </w:r>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□适用</w:t>
      </w:r>
      <w:r w:rsidR="006423CD"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按账龄披露</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141,250,801.73</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15,893,366.99</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279,082.00</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157,573,634.74</w:t>
            </w:r>
          </w:p>
        </w:tc>
      </w:tr>
    </w:tbl>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32" w:name="_Toc989120"/>
      <w:r w:rsidRPr="00980BC4">
        <w:rPr>
          <w:rFonts w:ascii="仿宋" w:eastAsia="仿宋" w:hAnsi="仿宋" w:cs="Times New Roman"/>
          <w:b/>
          <w:sz w:val="28"/>
          <w:szCs w:val="28"/>
        </w:rPr>
        <w:t>（2） 本期计提、收回或转回的坏账准备情况</w:t>
      </w:r>
      <w:bookmarkEnd w:id="232"/>
    </w:p>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本期计提坏账准备情况：</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377"/>
        <w:gridCol w:w="1377"/>
        <w:gridCol w:w="1377"/>
        <w:gridCol w:w="1377"/>
        <w:gridCol w:w="1377"/>
      </w:tblGrid>
      <w:tr w:rsidR="00F67D6F" w:rsidRPr="00980BC4" w:rsidTr="00F67D6F">
        <w:trPr>
          <w:divId w:val="969553885"/>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2,632,790.98</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3,481,347.13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17,454.00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5,399.00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6,102,083.11</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2,632,790.98</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3,481,347.13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17,454.00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5,399.00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6,102,083.11</w:t>
            </w:r>
          </w:p>
        </w:tc>
      </w:tr>
    </w:tbl>
    <w:p w:rsidR="00F67D6F" w:rsidRPr="00980BC4" w:rsidRDefault="00F67D6F" w:rsidP="006423CD">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33" w:name="_Toc989121"/>
      <w:r w:rsidRPr="00980BC4">
        <w:rPr>
          <w:rFonts w:ascii="仿宋" w:eastAsia="仿宋" w:hAnsi="仿宋" w:cs="Times New Roman"/>
          <w:b/>
          <w:sz w:val="28"/>
          <w:szCs w:val="28"/>
        </w:rPr>
        <w:t>（3） 按欠款方归集的期末余额前五名的应收账款情况</w:t>
      </w:r>
      <w:bookmarkEnd w:id="233"/>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坏账准备期末余额</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第一名</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45,352,229.17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28.78%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2,267,611.46</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第二名</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42,829,064.46</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27.18%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第三名</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15,302,983.00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9.71%</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765,149.15</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第四名</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8,734,200.00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5.54%</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206,225.30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rPr>
                <w:rFonts w:ascii="宋体" w:eastAsia="宋体" w:hAnsi="宋体" w:cs="宋体"/>
                <w:sz w:val="18"/>
                <w:szCs w:val="18"/>
              </w:rPr>
            </w:pPr>
            <w:r w:rsidRPr="00980BC4">
              <w:rPr>
                <w:rFonts w:ascii="宋体" w:eastAsia="宋体" w:hAnsi="宋体" w:cs="宋体"/>
                <w:sz w:val="18"/>
                <w:szCs w:val="18"/>
              </w:rPr>
              <w:t>第五名</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4,357,583.50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2.77%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217,879.18</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116,576,060.13</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423CD">
            <w:pPr>
              <w:spacing w:line="280" w:lineRule="exact"/>
              <w:jc w:val="right"/>
              <w:rPr>
                <w:rFonts w:ascii="宋体" w:eastAsia="宋体" w:hAnsi="宋体" w:cs="宋体"/>
                <w:sz w:val="18"/>
                <w:szCs w:val="18"/>
              </w:rPr>
            </w:pPr>
            <w:r w:rsidRPr="00980BC4">
              <w:rPr>
                <w:rFonts w:ascii="宋体" w:eastAsia="宋体" w:hAnsi="宋体" w:cs="宋体"/>
                <w:sz w:val="18"/>
                <w:szCs w:val="18"/>
              </w:rPr>
              <w:t>73.98%</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6423CD">
            <w:pPr>
              <w:spacing w:line="280" w:lineRule="exact"/>
            </w:pPr>
          </w:p>
        </w:tc>
      </w:tr>
    </w:tbl>
    <w:p w:rsidR="00526A10"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34" w:name="_Toc989122"/>
      <w:r w:rsidRPr="00980BC4">
        <w:rPr>
          <w:rFonts w:ascii="仿宋" w:eastAsia="仿宋" w:hAnsi="仿宋" w:cs="Times New Roman"/>
          <w:b/>
          <w:sz w:val="28"/>
          <w:szCs w:val="28"/>
        </w:rPr>
        <w:t>5、应收款项融资</w:t>
      </w:r>
      <w:bookmarkEnd w:id="234"/>
    </w:p>
    <w:p w:rsidR="00F67D6F"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应收款项融资本期增减变动及公允价值变动情况</w:t>
      </w:r>
    </w:p>
    <w:p w:rsidR="00F67D6F"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□适用</w:t>
      </w:r>
      <w:r w:rsidR="00526A10"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如是按照预期信用损失一般模型计提应收款项融资减值准备，请参照其他应收款的披露方式披露减值准备的相关信息：</w:t>
      </w:r>
    </w:p>
    <w:p w:rsidR="00F67D6F"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526A10"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35" w:name="_Toc989123"/>
      <w:r w:rsidRPr="00980BC4">
        <w:rPr>
          <w:rFonts w:ascii="仿宋" w:eastAsia="仿宋" w:hAnsi="仿宋" w:cs="Times New Roman"/>
          <w:b/>
          <w:sz w:val="28"/>
          <w:szCs w:val="28"/>
        </w:rPr>
        <w:t>6、预付款项</w:t>
      </w:r>
      <w:bookmarkEnd w:id="235"/>
    </w:p>
    <w:p w:rsidR="00F67D6F"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36" w:name="_Toc989124"/>
      <w:r w:rsidRPr="00980BC4">
        <w:rPr>
          <w:rFonts w:ascii="仿宋" w:eastAsia="仿宋" w:hAnsi="仿宋" w:cs="Times New Roman"/>
          <w:b/>
          <w:sz w:val="28"/>
          <w:szCs w:val="28"/>
        </w:rPr>
        <w:t>（1） 预付款项按账龄列示</w:t>
      </w:r>
      <w:bookmarkEnd w:id="23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F67D6F">
        <w:trPr>
          <w:divId w:val="969553885"/>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比例</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rPr>
                <w:rFonts w:ascii="宋体" w:eastAsia="宋体" w:hAnsi="宋体" w:cs="宋体"/>
                <w:sz w:val="18"/>
                <w:szCs w:val="18"/>
              </w:rPr>
            </w:pPr>
            <w:r w:rsidRPr="00980BC4">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2,161,691.13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83.91%</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12,137,585.63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96.44%</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rPr>
                <w:rFonts w:ascii="宋体" w:eastAsia="宋体" w:hAnsi="宋体" w:cs="宋体"/>
                <w:sz w:val="18"/>
                <w:szCs w:val="18"/>
              </w:rPr>
            </w:pPr>
            <w:r w:rsidRPr="00980BC4">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135,428.29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5.26%</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391,427.79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3.11%</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rPr>
                <w:rFonts w:ascii="宋体" w:eastAsia="宋体" w:hAnsi="宋体" w:cs="宋体"/>
                <w:sz w:val="18"/>
                <w:szCs w:val="18"/>
              </w:rPr>
            </w:pPr>
            <w:r w:rsidRPr="00980BC4">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222,750.00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8.65%</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56,301.70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2.18%</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56,301.70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0.45%</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2,576,171.12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line="280" w:lineRule="exact"/>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12,585,315.12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line="280" w:lineRule="exact"/>
            </w:pPr>
          </w:p>
        </w:tc>
      </w:tr>
    </w:tbl>
    <w:p w:rsidR="00F67D6F"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37" w:name="_Toc989125"/>
      <w:r w:rsidRPr="00980BC4">
        <w:rPr>
          <w:rFonts w:ascii="仿宋" w:eastAsia="仿宋" w:hAnsi="仿宋" w:cs="Times New Roman"/>
          <w:b/>
          <w:sz w:val="28"/>
          <w:szCs w:val="28"/>
        </w:rPr>
        <w:t>（2） 按预付对象归集的期末余额前五名的预付款情况</w:t>
      </w:r>
      <w:bookmarkEnd w:id="237"/>
    </w:p>
    <w:tbl>
      <w:tblPr>
        <w:tblW w:w="8844" w:type="dxa"/>
        <w:tblCellMar>
          <w:top w:w="15" w:type="dxa"/>
          <w:left w:w="15" w:type="dxa"/>
          <w:bottom w:w="15" w:type="dxa"/>
          <w:right w:w="15" w:type="dxa"/>
        </w:tblCellMar>
        <w:tblLook w:val="04A0"/>
      </w:tblPr>
      <w:tblGrid>
        <w:gridCol w:w="3262"/>
        <w:gridCol w:w="2791"/>
        <w:gridCol w:w="2791"/>
      </w:tblGrid>
      <w:tr w:rsidR="00F67D6F" w:rsidRPr="00980BC4" w:rsidTr="00F67D6F">
        <w:trPr>
          <w:divId w:val="969553885"/>
          <w:trHeight w:val="369"/>
        </w:trPr>
        <w:tc>
          <w:tcPr>
            <w:tcW w:w="1844" w:type="pct"/>
            <w:tcBorders>
              <w:top w:val="single" w:sz="8" w:space="0" w:color="auto"/>
              <w:left w:val="single" w:sz="8" w:space="0" w:color="auto"/>
              <w:bottom w:val="single" w:sz="8" w:space="0" w:color="auto"/>
              <w:right w:val="single" w:sz="8" w:space="0" w:color="auto"/>
            </w:tcBorders>
            <w:tcMar>
              <w:top w:w="0" w:type="dxa"/>
              <w:left w:w="0" w:type="dxa"/>
              <w:bottom w:w="0" w:type="dxa"/>
              <w:right w:w="108" w:type="dxa"/>
            </w:tcMar>
            <w:vAlign w:val="center"/>
            <w:hideMark/>
          </w:tcPr>
          <w:p w:rsidR="00F67D6F" w:rsidRPr="00980BC4" w:rsidRDefault="00F67D6F" w:rsidP="00526A10">
            <w:pPr>
              <w:pStyle w:val="a3"/>
              <w:spacing w:line="360" w:lineRule="atLeast"/>
              <w:jc w:val="center"/>
              <w:rPr>
                <w:rFonts w:ascii="Times New Roman" w:hAnsi="Times New Roman" w:cs="Times New Roman"/>
                <w:sz w:val="21"/>
                <w:szCs w:val="21"/>
              </w:rPr>
            </w:pPr>
            <w:r w:rsidRPr="00980BC4">
              <w:rPr>
                <w:rFonts w:cs="Times New Roman" w:hint="eastAsia"/>
                <w:sz w:val="21"/>
                <w:szCs w:val="21"/>
              </w:rPr>
              <w:t>单位名称</w:t>
            </w:r>
          </w:p>
        </w:tc>
        <w:tc>
          <w:tcPr>
            <w:tcW w:w="1578" w:type="pct"/>
            <w:tcBorders>
              <w:top w:val="single" w:sz="8" w:space="0" w:color="auto"/>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526A10">
            <w:pPr>
              <w:pStyle w:val="a3"/>
              <w:spacing w:line="360" w:lineRule="atLeast"/>
              <w:jc w:val="center"/>
              <w:rPr>
                <w:rFonts w:ascii="Times New Roman" w:hAnsi="Times New Roman" w:cs="Times New Roman"/>
                <w:sz w:val="21"/>
                <w:szCs w:val="21"/>
              </w:rPr>
            </w:pPr>
            <w:r w:rsidRPr="00980BC4">
              <w:rPr>
                <w:rFonts w:ascii="Times New Roman" w:hAnsi="Times New Roman" w:cs="Times New Roman"/>
                <w:sz w:val="21"/>
                <w:szCs w:val="21"/>
              </w:rPr>
              <w:t>2022</w:t>
            </w:r>
            <w:r w:rsidRPr="00980BC4">
              <w:rPr>
                <w:rFonts w:cs="Times New Roman" w:hint="eastAsia"/>
                <w:sz w:val="21"/>
                <w:szCs w:val="21"/>
              </w:rPr>
              <w:t>年</w:t>
            </w:r>
            <w:r w:rsidRPr="00980BC4">
              <w:rPr>
                <w:rFonts w:ascii="Times New Roman" w:hAnsi="Times New Roman" w:cs="Times New Roman"/>
                <w:sz w:val="21"/>
                <w:szCs w:val="21"/>
              </w:rPr>
              <w:t>12</w:t>
            </w:r>
            <w:r w:rsidRPr="00980BC4">
              <w:rPr>
                <w:rFonts w:cs="Times New Roman" w:hint="eastAsia"/>
                <w:sz w:val="21"/>
                <w:szCs w:val="21"/>
              </w:rPr>
              <w:t>月</w:t>
            </w:r>
            <w:r w:rsidRPr="00980BC4">
              <w:rPr>
                <w:rFonts w:ascii="Times New Roman" w:hAnsi="Times New Roman" w:cs="Times New Roman"/>
                <w:sz w:val="21"/>
                <w:szCs w:val="21"/>
              </w:rPr>
              <w:t>31</w:t>
            </w:r>
            <w:r w:rsidRPr="00980BC4">
              <w:rPr>
                <w:rFonts w:cs="Times New Roman" w:hint="eastAsia"/>
                <w:sz w:val="21"/>
                <w:szCs w:val="21"/>
              </w:rPr>
              <w:t>日余额</w:t>
            </w:r>
          </w:p>
        </w:tc>
        <w:tc>
          <w:tcPr>
            <w:tcW w:w="1578" w:type="pct"/>
            <w:tcBorders>
              <w:top w:val="single" w:sz="8" w:space="0" w:color="auto"/>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526A10">
            <w:pPr>
              <w:pStyle w:val="a3"/>
              <w:spacing w:line="360" w:lineRule="atLeast"/>
              <w:jc w:val="center"/>
              <w:rPr>
                <w:rFonts w:ascii="Times New Roman" w:hAnsi="Times New Roman" w:cs="Times New Roman"/>
                <w:sz w:val="21"/>
                <w:szCs w:val="21"/>
              </w:rPr>
            </w:pPr>
            <w:r w:rsidRPr="00980BC4">
              <w:rPr>
                <w:rFonts w:cs="Times New Roman" w:hint="eastAsia"/>
                <w:sz w:val="21"/>
                <w:szCs w:val="21"/>
              </w:rPr>
              <w:t>占预付款项期末余额合计数的比例</w:t>
            </w:r>
            <w:r w:rsidRPr="00980BC4">
              <w:rPr>
                <w:rFonts w:ascii="Times New Roman" w:hAnsi="Times New Roman" w:cs="Times New Roman"/>
                <w:sz w:val="21"/>
                <w:szCs w:val="21"/>
              </w:rPr>
              <w:t>(%)</w:t>
            </w:r>
          </w:p>
        </w:tc>
      </w:tr>
      <w:tr w:rsidR="00F67D6F" w:rsidRPr="00980BC4" w:rsidTr="00F67D6F">
        <w:trPr>
          <w:divId w:val="969553885"/>
          <w:trHeight w:val="369"/>
        </w:trPr>
        <w:tc>
          <w:tcPr>
            <w:tcW w:w="1844" w:type="pct"/>
            <w:tcBorders>
              <w:top w:val="nil"/>
              <w:left w:val="single" w:sz="8" w:space="0" w:color="auto"/>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526A10">
            <w:pPr>
              <w:pStyle w:val="a3"/>
              <w:spacing w:line="360" w:lineRule="atLeast"/>
              <w:jc w:val="center"/>
              <w:rPr>
                <w:rFonts w:ascii="Times New Roman" w:hAnsi="Times New Roman" w:cs="Times New Roman"/>
                <w:sz w:val="21"/>
                <w:szCs w:val="21"/>
              </w:rPr>
            </w:pPr>
            <w:r w:rsidRPr="00980BC4">
              <w:rPr>
                <w:rFonts w:cs="Times New Roman" w:hint="eastAsia"/>
                <w:sz w:val="21"/>
                <w:szCs w:val="21"/>
              </w:rPr>
              <w:t>第一名</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530,930.00</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20.61</w:t>
            </w:r>
          </w:p>
        </w:tc>
      </w:tr>
      <w:tr w:rsidR="00F67D6F" w:rsidRPr="00980BC4" w:rsidTr="00F67D6F">
        <w:trPr>
          <w:divId w:val="969553885"/>
          <w:trHeight w:val="369"/>
        </w:trPr>
        <w:tc>
          <w:tcPr>
            <w:tcW w:w="1844" w:type="pct"/>
            <w:tcBorders>
              <w:top w:val="nil"/>
              <w:left w:val="single" w:sz="8" w:space="0" w:color="auto"/>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526A10">
            <w:pPr>
              <w:pStyle w:val="a3"/>
              <w:spacing w:line="360" w:lineRule="atLeast"/>
              <w:jc w:val="center"/>
              <w:rPr>
                <w:rFonts w:ascii="Times New Roman" w:hAnsi="Times New Roman" w:cs="Times New Roman"/>
                <w:sz w:val="21"/>
                <w:szCs w:val="21"/>
              </w:rPr>
            </w:pPr>
            <w:r w:rsidRPr="00980BC4">
              <w:rPr>
                <w:rFonts w:cs="Times New Roman" w:hint="eastAsia"/>
                <w:sz w:val="21"/>
                <w:szCs w:val="21"/>
              </w:rPr>
              <w:t>第二名</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368,000.00</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14.28</w:t>
            </w:r>
          </w:p>
        </w:tc>
      </w:tr>
      <w:tr w:rsidR="00F67D6F" w:rsidRPr="00980BC4" w:rsidTr="00F67D6F">
        <w:trPr>
          <w:divId w:val="969553885"/>
          <w:trHeight w:val="369"/>
        </w:trPr>
        <w:tc>
          <w:tcPr>
            <w:tcW w:w="1844" w:type="pct"/>
            <w:tcBorders>
              <w:top w:val="nil"/>
              <w:left w:val="single" w:sz="8" w:space="0" w:color="auto"/>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526A10">
            <w:pPr>
              <w:pStyle w:val="a3"/>
              <w:spacing w:line="360" w:lineRule="atLeast"/>
              <w:jc w:val="center"/>
              <w:rPr>
                <w:rFonts w:ascii="Times New Roman" w:hAnsi="Times New Roman" w:cs="Times New Roman"/>
                <w:sz w:val="21"/>
                <w:szCs w:val="21"/>
              </w:rPr>
            </w:pPr>
            <w:r w:rsidRPr="00980BC4">
              <w:rPr>
                <w:rFonts w:cs="Times New Roman" w:hint="eastAsia"/>
                <w:sz w:val="21"/>
                <w:szCs w:val="21"/>
              </w:rPr>
              <w:t>第三名</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326,738.23</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12.68</w:t>
            </w:r>
          </w:p>
        </w:tc>
      </w:tr>
      <w:tr w:rsidR="00F67D6F" w:rsidRPr="00980BC4" w:rsidTr="00F67D6F">
        <w:trPr>
          <w:divId w:val="969553885"/>
          <w:trHeight w:val="369"/>
        </w:trPr>
        <w:tc>
          <w:tcPr>
            <w:tcW w:w="1844" w:type="pct"/>
            <w:tcBorders>
              <w:top w:val="nil"/>
              <w:left w:val="single" w:sz="8" w:space="0" w:color="auto"/>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526A10">
            <w:pPr>
              <w:pStyle w:val="a3"/>
              <w:spacing w:line="360" w:lineRule="atLeast"/>
              <w:jc w:val="center"/>
              <w:rPr>
                <w:rFonts w:ascii="Times New Roman" w:hAnsi="Times New Roman" w:cs="Times New Roman"/>
                <w:sz w:val="21"/>
                <w:szCs w:val="21"/>
              </w:rPr>
            </w:pPr>
            <w:r w:rsidRPr="00980BC4">
              <w:rPr>
                <w:rFonts w:cs="Times New Roman" w:hint="eastAsia"/>
                <w:sz w:val="21"/>
                <w:szCs w:val="21"/>
              </w:rPr>
              <w:t>第四名</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224,400.00</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8.71</w:t>
            </w:r>
          </w:p>
        </w:tc>
      </w:tr>
      <w:tr w:rsidR="00F67D6F" w:rsidRPr="00980BC4" w:rsidTr="00F67D6F">
        <w:trPr>
          <w:divId w:val="969553885"/>
          <w:trHeight w:val="369"/>
        </w:trPr>
        <w:tc>
          <w:tcPr>
            <w:tcW w:w="1844" w:type="pct"/>
            <w:tcBorders>
              <w:top w:val="nil"/>
              <w:left w:val="single" w:sz="8" w:space="0" w:color="auto"/>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526A10">
            <w:pPr>
              <w:pStyle w:val="a3"/>
              <w:spacing w:line="360" w:lineRule="atLeast"/>
              <w:jc w:val="center"/>
              <w:rPr>
                <w:rFonts w:ascii="Times New Roman" w:hAnsi="Times New Roman" w:cs="Times New Roman"/>
                <w:sz w:val="21"/>
                <w:szCs w:val="21"/>
              </w:rPr>
            </w:pPr>
            <w:r w:rsidRPr="00980BC4">
              <w:rPr>
                <w:rFonts w:cs="Times New Roman" w:hint="eastAsia"/>
                <w:sz w:val="21"/>
                <w:szCs w:val="21"/>
              </w:rPr>
              <w:t>第五名</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155,212.36</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6.02</w:t>
            </w:r>
          </w:p>
        </w:tc>
      </w:tr>
      <w:tr w:rsidR="00F67D6F" w:rsidRPr="00980BC4" w:rsidTr="00F67D6F">
        <w:trPr>
          <w:divId w:val="969553885"/>
          <w:trHeight w:val="369"/>
        </w:trPr>
        <w:tc>
          <w:tcPr>
            <w:tcW w:w="1844" w:type="pct"/>
            <w:tcBorders>
              <w:top w:val="nil"/>
              <w:left w:val="single" w:sz="8" w:space="0" w:color="auto"/>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526A10">
            <w:pPr>
              <w:pStyle w:val="a3"/>
              <w:spacing w:line="360" w:lineRule="atLeast"/>
              <w:jc w:val="center"/>
              <w:rPr>
                <w:rFonts w:ascii="Times New Roman" w:hAnsi="Times New Roman" w:cs="Times New Roman"/>
                <w:sz w:val="21"/>
                <w:szCs w:val="21"/>
              </w:rPr>
            </w:pPr>
            <w:r w:rsidRPr="00980BC4">
              <w:rPr>
                <w:rFonts w:cs="Times New Roman" w:hint="eastAsia"/>
                <w:sz w:val="21"/>
                <w:szCs w:val="21"/>
              </w:rPr>
              <w:t>合计</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1,605,280.59</w:t>
            </w:r>
          </w:p>
        </w:tc>
        <w:tc>
          <w:tcPr>
            <w:tcW w:w="1578" w:type="pct"/>
            <w:tcBorders>
              <w:top w:val="nil"/>
              <w:left w:val="nil"/>
              <w:bottom w:val="single" w:sz="8" w:space="0" w:color="auto"/>
              <w:right w:val="single" w:sz="8" w:space="0" w:color="auto"/>
            </w:tcBorders>
            <w:tcMar>
              <w:top w:w="0" w:type="dxa"/>
              <w:left w:w="15" w:type="dxa"/>
              <w:bottom w:w="0" w:type="dxa"/>
              <w:right w:w="108" w:type="dxa"/>
            </w:tcMar>
            <w:vAlign w:val="center"/>
            <w:hideMark/>
          </w:tcPr>
          <w:p w:rsidR="00F67D6F" w:rsidRPr="00980BC4" w:rsidRDefault="00F67D6F" w:rsidP="008D6E99">
            <w:pPr>
              <w:pStyle w:val="a3"/>
              <w:spacing w:line="360" w:lineRule="atLeast"/>
              <w:jc w:val="right"/>
              <w:rPr>
                <w:rFonts w:ascii="Times New Roman" w:hAnsi="Times New Roman" w:cs="Times New Roman"/>
                <w:sz w:val="21"/>
                <w:szCs w:val="21"/>
              </w:rPr>
            </w:pPr>
            <w:r w:rsidRPr="00980BC4">
              <w:rPr>
                <w:rFonts w:ascii="Times New Roman" w:hAnsi="Times New Roman" w:cs="Times New Roman"/>
                <w:sz w:val="21"/>
                <w:szCs w:val="21"/>
              </w:rPr>
              <w:t>62.30</w:t>
            </w:r>
          </w:p>
        </w:tc>
      </w:tr>
    </w:tbl>
    <w:p w:rsidR="00F67D6F"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38" w:name="_Toc989126"/>
      <w:r w:rsidRPr="00980BC4">
        <w:rPr>
          <w:rFonts w:ascii="仿宋" w:eastAsia="仿宋" w:hAnsi="仿宋" w:cs="Times New Roman"/>
          <w:b/>
          <w:sz w:val="28"/>
          <w:szCs w:val="28"/>
        </w:rPr>
        <w:lastRenderedPageBreak/>
        <w:t>7、其他应收款</w:t>
      </w:r>
      <w:bookmarkEnd w:id="238"/>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rPr>
                <w:rFonts w:ascii="宋体" w:eastAsia="宋体" w:hAnsi="宋体" w:cs="宋体"/>
                <w:sz w:val="18"/>
                <w:szCs w:val="18"/>
              </w:rPr>
            </w:pPr>
            <w:r w:rsidRPr="00980BC4">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3,567,612.39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2,862,346.53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3,567,612.39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2,862,346.53</w:t>
            </w:r>
          </w:p>
        </w:tc>
      </w:tr>
    </w:tbl>
    <w:p w:rsidR="00F67D6F"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39" w:name="_Toc989127"/>
      <w:r w:rsidRPr="00980BC4">
        <w:rPr>
          <w:rFonts w:ascii="仿宋" w:eastAsia="仿宋" w:hAnsi="仿宋" w:cs="Times New Roman"/>
          <w:b/>
          <w:sz w:val="28"/>
          <w:szCs w:val="28"/>
        </w:rPr>
        <w:t>（1） 其他应收款</w:t>
      </w:r>
      <w:bookmarkEnd w:id="239"/>
    </w:p>
    <w:p w:rsidR="00F67D6F" w:rsidRPr="00980BC4" w:rsidRDefault="00F67D6F" w:rsidP="00526A1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40" w:name="_Toc989128"/>
      <w:r w:rsidRPr="00980BC4">
        <w:rPr>
          <w:rFonts w:ascii="仿宋" w:eastAsia="仿宋" w:hAnsi="仿宋" w:cs="Times New Roman"/>
          <w:b/>
          <w:sz w:val="28"/>
          <w:szCs w:val="28"/>
        </w:rPr>
        <w:t>其他应收款按款项性质分类情况</w:t>
      </w:r>
      <w:bookmarkEnd w:id="24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期初账面余额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rPr>
                <w:rFonts w:ascii="宋体" w:eastAsia="宋体" w:hAnsi="宋体" w:cs="宋体"/>
                <w:sz w:val="18"/>
                <w:szCs w:val="18"/>
              </w:rPr>
            </w:pPr>
            <w:r w:rsidRPr="00980BC4">
              <w:rPr>
                <w:rFonts w:ascii="宋体" w:eastAsia="宋体" w:hAnsi="宋体" w:cs="宋体"/>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1,739,638.48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904,805.48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rPr>
                <w:rFonts w:ascii="宋体" w:eastAsia="宋体" w:hAnsi="宋体" w:cs="宋体"/>
                <w:sz w:val="18"/>
                <w:szCs w:val="18"/>
              </w:rPr>
            </w:pPr>
            <w:r w:rsidRPr="00980BC4">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1,594,872.00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1,995,386.96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rPr>
                <w:rFonts w:ascii="宋体" w:eastAsia="宋体" w:hAnsi="宋体" w:cs="宋体"/>
                <w:sz w:val="18"/>
                <w:szCs w:val="18"/>
              </w:rPr>
            </w:pPr>
            <w:r w:rsidRPr="00980BC4">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28,382,180.86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27,372,363.66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rPr>
                <w:rFonts w:ascii="宋体" w:eastAsia="宋体" w:hAnsi="宋体" w:cs="宋体"/>
                <w:sz w:val="18"/>
                <w:szCs w:val="18"/>
              </w:rPr>
            </w:pPr>
            <w:r w:rsidRPr="00980BC4">
              <w:rPr>
                <w:rFonts w:ascii="宋体" w:eastAsia="宋体" w:hAnsi="宋体" w:cs="宋体"/>
                <w:sz w:val="18"/>
                <w:szCs w:val="18"/>
              </w:rPr>
              <w:t>历史遗留款项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2,398,898.81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3,495,352.26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26A1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34,115,590.15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26A10">
            <w:pPr>
              <w:spacing w:line="280" w:lineRule="exact"/>
              <w:jc w:val="right"/>
              <w:rPr>
                <w:rFonts w:ascii="宋体" w:eastAsia="宋体" w:hAnsi="宋体" w:cs="宋体"/>
                <w:sz w:val="18"/>
                <w:szCs w:val="18"/>
              </w:rPr>
            </w:pPr>
            <w:r w:rsidRPr="00980BC4">
              <w:rPr>
                <w:rFonts w:ascii="宋体" w:eastAsia="宋体" w:hAnsi="宋体" w:cs="宋体"/>
                <w:sz w:val="18"/>
                <w:szCs w:val="18"/>
              </w:rPr>
              <w:t>33,767,908.36</w:t>
            </w:r>
          </w:p>
        </w:tc>
      </w:tr>
    </w:tbl>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41" w:name="_Toc989129"/>
      <w:r w:rsidRPr="00980BC4">
        <w:rPr>
          <w:rFonts w:ascii="仿宋" w:eastAsia="仿宋" w:hAnsi="仿宋" w:cs="Times New Roman"/>
          <w:b/>
          <w:sz w:val="28"/>
          <w:szCs w:val="28"/>
        </w:rPr>
        <w:t>2） 坏账准备计提情况</w:t>
      </w:r>
      <w:bookmarkEnd w:id="24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518"/>
        <w:gridCol w:w="1418"/>
        <w:gridCol w:w="2126"/>
        <w:gridCol w:w="2126"/>
        <w:gridCol w:w="1451"/>
      </w:tblGrid>
      <w:tr w:rsidR="00F67D6F" w:rsidRPr="00980BC4" w:rsidTr="00C05D02">
        <w:trPr>
          <w:divId w:val="969553885"/>
          <w:trHeight w:val="240"/>
        </w:trPr>
        <w:tc>
          <w:tcPr>
            <w:tcW w:w="25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第一阶段</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第二阶段</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第三阶段</w:t>
            </w:r>
          </w:p>
        </w:tc>
        <w:tc>
          <w:tcPr>
            <w:tcW w:w="14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r>
      <w:tr w:rsidR="00F67D6F" w:rsidRPr="00980BC4" w:rsidTr="00C05D02">
        <w:trPr>
          <w:divId w:val="969553885"/>
          <w:trHeight w:val="240"/>
        </w:trPr>
        <w:tc>
          <w:tcPr>
            <w:tcW w:w="25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未来12个月预期信用损失</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整个存续期预期信用损失(未发生信用减值)</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整个存续期预期信用损失(已发生信用减值)</w:t>
            </w:r>
          </w:p>
        </w:tc>
        <w:tc>
          <w:tcPr>
            <w:tcW w:w="14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r>
      <w:tr w:rsidR="00F67D6F" w:rsidRPr="00980BC4" w:rsidTr="00C05D02">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2022年1月1日余额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8,342,885.14</w:t>
            </w: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22,562,676.69</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30,905,561.83</w:t>
            </w:r>
          </w:p>
        </w:tc>
      </w:tr>
      <w:tr w:rsidR="00F67D6F" w:rsidRPr="00980BC4" w:rsidTr="00C05D02">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2022年1月1日余额在本期</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c>
          <w:tcPr>
            <w:tcW w:w="145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r>
      <w:tr w:rsidR="00F67D6F" w:rsidRPr="00980BC4" w:rsidTr="00C05D02">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本期计提</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42,297.24</w:t>
            </w: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42,297.24</w:t>
            </w:r>
          </w:p>
        </w:tc>
      </w:tr>
      <w:tr w:rsidR="00F67D6F" w:rsidRPr="00980BC4" w:rsidTr="00C05D02">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本期转回</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236,881.31</w:t>
            </w: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163,000.00</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399,881.31</w:t>
            </w:r>
          </w:p>
        </w:tc>
      </w:tr>
      <w:tr w:rsidR="00F67D6F" w:rsidRPr="00980BC4" w:rsidTr="00C05D02">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2022年12月31日余额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8,148,301.07</w:t>
            </w: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22,399,676.69</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30,547,977.76</w:t>
            </w:r>
          </w:p>
        </w:tc>
      </w:tr>
    </w:tbl>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损失准备本期变动金额重大的账面余额变动情况</w:t>
      </w:r>
    </w:p>
    <w:p w:rsidR="00F67D6F" w:rsidRPr="002255E9" w:rsidRDefault="00F67D6F" w:rsidP="00C05D02">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C05D02"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w:t>
      </w:r>
      <w:r w:rsidRPr="002255E9">
        <w:rPr>
          <w:rFonts w:ascii="仿宋" w:eastAsia="仿宋" w:hAnsi="仿宋" w:cs="Times New Roman"/>
          <w:sz w:val="28"/>
          <w:szCs w:val="28"/>
        </w:rPr>
        <w:t>用</w:t>
      </w:r>
    </w:p>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按账龄披露</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2,471,133.50</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1,281,435.37</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5,092.10</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30,357,929.18</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30,357,929.18</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34,115,590.15</w:t>
            </w:r>
          </w:p>
        </w:tc>
      </w:tr>
    </w:tbl>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42" w:name="_Toc989130"/>
      <w:r w:rsidRPr="00980BC4">
        <w:rPr>
          <w:rFonts w:ascii="仿宋" w:eastAsia="仿宋" w:hAnsi="仿宋" w:cs="Times New Roman"/>
          <w:b/>
          <w:sz w:val="28"/>
          <w:szCs w:val="28"/>
        </w:rPr>
        <w:lastRenderedPageBreak/>
        <w:t>3） 本期计提、收回或转回的坏账准备情况</w:t>
      </w:r>
      <w:bookmarkEnd w:id="242"/>
    </w:p>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本期计提坏账准备情况：</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242"/>
        <w:gridCol w:w="1512"/>
        <w:gridCol w:w="1377"/>
        <w:gridCol w:w="1377"/>
        <w:gridCol w:w="1377"/>
        <w:gridCol w:w="1161"/>
        <w:gridCol w:w="1593"/>
      </w:tblGrid>
      <w:tr w:rsidR="00F67D6F" w:rsidRPr="00980BC4" w:rsidTr="00C05D02">
        <w:trPr>
          <w:divId w:val="969553885"/>
          <w:trHeight w:val="240"/>
        </w:trPr>
        <w:tc>
          <w:tcPr>
            <w:tcW w:w="12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类别</w:t>
            </w:r>
          </w:p>
        </w:tc>
        <w:tc>
          <w:tcPr>
            <w:tcW w:w="15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529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本期变动金额</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C05D02">
        <w:trPr>
          <w:divId w:val="969553885"/>
          <w:trHeight w:val="240"/>
        </w:trPr>
        <w:tc>
          <w:tcPr>
            <w:tcW w:w="12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c>
          <w:tcPr>
            <w:tcW w:w="15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核销</w:t>
            </w:r>
          </w:p>
        </w:tc>
        <w:tc>
          <w:tcPr>
            <w:tcW w:w="116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r>
      <w:tr w:rsidR="00F67D6F" w:rsidRPr="00980BC4" w:rsidTr="00C05D02">
        <w:trPr>
          <w:divId w:val="969553885"/>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坏账准备</w:t>
            </w:r>
          </w:p>
        </w:tc>
        <w:tc>
          <w:tcPr>
            <w:tcW w:w="151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30,905,561.83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42,297.24</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399,881.31</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30,547,977.76</w:t>
            </w:r>
          </w:p>
        </w:tc>
      </w:tr>
      <w:tr w:rsidR="00F67D6F" w:rsidRPr="00980BC4" w:rsidTr="00C05D02">
        <w:trPr>
          <w:divId w:val="969553885"/>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51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30,905,561.83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42,297.24</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399,881.31</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30,547,977.76</w:t>
            </w:r>
          </w:p>
        </w:tc>
      </w:tr>
    </w:tbl>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按组合计提坏账准备的确认标准及说明见附注五、10。</w:t>
      </w:r>
    </w:p>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43" w:name="_Toc989131"/>
      <w:r w:rsidRPr="00980BC4">
        <w:rPr>
          <w:rFonts w:ascii="仿宋" w:eastAsia="仿宋" w:hAnsi="仿宋" w:cs="Times New Roman"/>
          <w:b/>
          <w:sz w:val="28"/>
          <w:szCs w:val="28"/>
        </w:rPr>
        <w:t>4） 按欠款方归集的期末余额前五名的其他应收款情况</w:t>
      </w:r>
      <w:bookmarkEnd w:id="243"/>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6"/>
        <w:gridCol w:w="1606"/>
        <w:gridCol w:w="1606"/>
        <w:gridCol w:w="1607"/>
        <w:gridCol w:w="1607"/>
        <w:gridCol w:w="1607"/>
      </w:tblGrid>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坏账准备期末余额</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18,904,324.43</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55.41%</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18,904,324.43</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7,062,300.00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20.70%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7,062,300.00</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押金保证金</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1-2年</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3.69%</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126,000.00</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历史遗留款</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1,096,453.45</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3.21%</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1,096,453.45</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历史遗留款</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626,267.42</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1.84%</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626,267.42</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28,949,345.30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84.85%</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27,815,345.30</w:t>
            </w:r>
          </w:p>
        </w:tc>
      </w:tr>
    </w:tbl>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44" w:name="_Toc989132"/>
      <w:r w:rsidRPr="00980BC4">
        <w:rPr>
          <w:rFonts w:ascii="仿宋" w:eastAsia="仿宋" w:hAnsi="仿宋" w:cs="Times New Roman"/>
          <w:b/>
          <w:sz w:val="28"/>
          <w:szCs w:val="28"/>
        </w:rPr>
        <w:t>8、存货</w:t>
      </w:r>
      <w:bookmarkEnd w:id="244"/>
    </w:p>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公司是否需要遵守房地产行业的披露要求</w:t>
      </w:r>
    </w:p>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否</w:t>
      </w:r>
    </w:p>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45" w:name="_Toc989133"/>
      <w:r w:rsidRPr="00980BC4">
        <w:rPr>
          <w:rFonts w:ascii="仿宋" w:eastAsia="仿宋" w:hAnsi="仿宋" w:cs="Times New Roman"/>
          <w:b/>
          <w:sz w:val="28"/>
          <w:szCs w:val="28"/>
        </w:rPr>
        <w:t>（1） 存货分类</w:t>
      </w:r>
      <w:bookmarkEnd w:id="245"/>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923"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135"/>
        <w:gridCol w:w="1559"/>
        <w:gridCol w:w="1418"/>
        <w:gridCol w:w="1559"/>
        <w:gridCol w:w="1559"/>
        <w:gridCol w:w="1134"/>
        <w:gridCol w:w="1559"/>
      </w:tblGrid>
      <w:tr w:rsidR="00F67D6F" w:rsidRPr="00980BC4" w:rsidTr="00C05D02">
        <w:trPr>
          <w:divId w:val="969553885"/>
          <w:trHeight w:val="240"/>
        </w:trPr>
        <w:tc>
          <w:tcPr>
            <w:tcW w:w="11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453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425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C05D02" w:rsidRPr="00980BC4" w:rsidTr="00C05D02">
        <w:trPr>
          <w:divId w:val="969553885"/>
          <w:trHeight w:val="240"/>
        </w:trPr>
        <w:tc>
          <w:tcPr>
            <w:tcW w:w="113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line="280" w:lineRule="exact"/>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存货跌价准备或合同履约成本减值准备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存货跌价准备或合同履约成本减值准备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r>
      <w:tr w:rsidR="00C05D02" w:rsidRPr="00980BC4" w:rsidTr="00C05D02">
        <w:trPr>
          <w:divId w:val="969553885"/>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原材料</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79,033,805.09</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2,820,105.38</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76,213,699.71</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41,707,218.92</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41,707,218.92</w:t>
            </w:r>
          </w:p>
        </w:tc>
      </w:tr>
      <w:tr w:rsidR="00C05D02" w:rsidRPr="00980BC4" w:rsidTr="00C05D02">
        <w:trPr>
          <w:divId w:val="969553885"/>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在产品</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25,811,434.71</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25,811,434.71</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36,956,115.76</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36,956,115.76</w:t>
            </w:r>
          </w:p>
        </w:tc>
      </w:tr>
      <w:tr w:rsidR="00C05D02" w:rsidRPr="00980BC4" w:rsidTr="00C05D02">
        <w:trPr>
          <w:divId w:val="969553885"/>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库存商品</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39,924,627.02</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1,342,370.12</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38,582,256.90</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15,087,197.09</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15,087,197.09</w:t>
            </w:r>
          </w:p>
        </w:tc>
      </w:tr>
      <w:tr w:rsidR="00C05D02" w:rsidRPr="00980BC4" w:rsidTr="00C05D02">
        <w:trPr>
          <w:divId w:val="969553885"/>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发出商品</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14,494,765.88</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14,494,765.88</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15,072,146.80</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15,072,146.80</w:t>
            </w:r>
          </w:p>
        </w:tc>
      </w:tr>
      <w:tr w:rsidR="00C05D02" w:rsidRPr="00980BC4" w:rsidTr="00C05D02">
        <w:trPr>
          <w:divId w:val="969553885"/>
          <w:trHeight w:val="240"/>
        </w:trPr>
        <w:tc>
          <w:tcPr>
            <w:tcW w:w="11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半成品</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1,508,905.21</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25,161.97</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1,483,743.24</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787,751.53</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787,751.53</w:t>
            </w:r>
          </w:p>
        </w:tc>
      </w:tr>
      <w:tr w:rsidR="00C05D02" w:rsidRPr="00980BC4" w:rsidTr="00C05D02">
        <w:trPr>
          <w:divId w:val="969553885"/>
          <w:trHeight w:val="240"/>
        </w:trPr>
        <w:tc>
          <w:tcPr>
            <w:tcW w:w="11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在途物资</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1,650,823.18</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1,650,823.18</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r>
      <w:tr w:rsidR="00C05D02" w:rsidRPr="00980BC4" w:rsidTr="00C05D02">
        <w:trPr>
          <w:divId w:val="969553885"/>
          <w:trHeight w:val="240"/>
        </w:trPr>
        <w:tc>
          <w:tcPr>
            <w:tcW w:w="11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t>委托加工物资</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892,046.91</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892,046.91</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4,456,229.02</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4,456,229.02</w:t>
            </w:r>
          </w:p>
        </w:tc>
      </w:tr>
      <w:tr w:rsidR="00C05D02" w:rsidRPr="00980BC4" w:rsidTr="00C05D02">
        <w:trPr>
          <w:divId w:val="969553885"/>
          <w:trHeight w:val="240"/>
        </w:trPr>
        <w:tc>
          <w:tcPr>
            <w:tcW w:w="11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rPr>
                <w:rFonts w:ascii="宋体" w:eastAsia="宋体" w:hAnsi="宋体" w:cs="宋体"/>
                <w:sz w:val="18"/>
                <w:szCs w:val="18"/>
              </w:rPr>
            </w:pPr>
            <w:r w:rsidRPr="00980BC4">
              <w:rPr>
                <w:rFonts w:ascii="宋体" w:eastAsia="宋体" w:hAnsi="宋体" w:cs="宋体"/>
                <w:sz w:val="18"/>
                <w:szCs w:val="18"/>
              </w:rPr>
              <w:lastRenderedPageBreak/>
              <w:t>低值易耗品</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15,310.18</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80.70</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15,229.48</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1,513.25</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1,513.25</w:t>
            </w:r>
          </w:p>
        </w:tc>
      </w:tr>
      <w:tr w:rsidR="00C05D02" w:rsidRPr="00980BC4" w:rsidTr="00C05D02">
        <w:trPr>
          <w:divId w:val="969553885"/>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05D02">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163,331,718.18</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4,187,718.17</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159,144,000.01</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114,068,172.37</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05D02">
            <w:pPr>
              <w:spacing w:line="280" w:lineRule="exact"/>
              <w:jc w:val="right"/>
              <w:rPr>
                <w:rFonts w:ascii="宋体" w:eastAsia="宋体" w:hAnsi="宋体" w:cs="宋体"/>
                <w:sz w:val="18"/>
                <w:szCs w:val="18"/>
              </w:rPr>
            </w:pPr>
            <w:r w:rsidRPr="00980BC4">
              <w:rPr>
                <w:rFonts w:ascii="宋体" w:eastAsia="宋体" w:hAnsi="宋体" w:cs="宋体"/>
                <w:sz w:val="18"/>
                <w:szCs w:val="18"/>
              </w:rPr>
              <w:t>114,068,172.37</w:t>
            </w:r>
          </w:p>
        </w:tc>
      </w:tr>
    </w:tbl>
    <w:p w:rsidR="00F67D6F" w:rsidRPr="00980BC4" w:rsidRDefault="00F67D6F" w:rsidP="00C05D02">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46" w:name="_Toc989134"/>
      <w:r w:rsidRPr="00980BC4">
        <w:rPr>
          <w:rFonts w:ascii="仿宋" w:eastAsia="仿宋" w:hAnsi="仿宋" w:cs="Times New Roman"/>
          <w:b/>
          <w:sz w:val="28"/>
          <w:szCs w:val="28"/>
        </w:rPr>
        <w:t>（2） 存货跌价准备和合同履约成本减值准备</w:t>
      </w:r>
      <w:bookmarkEnd w:id="24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377"/>
        <w:gridCol w:w="1377"/>
        <w:gridCol w:w="1377"/>
        <w:gridCol w:w="1377"/>
        <w:gridCol w:w="1377"/>
      </w:tblGrid>
      <w:tr w:rsidR="00F67D6F" w:rsidRPr="00980BC4" w:rsidTr="00F67D6F">
        <w:trPr>
          <w:divId w:val="969553885"/>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line="28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line="28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line="280" w:lineRule="exact"/>
            </w:pP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2,820,105.38</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2,820,105.38</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1,342,370.12</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1,342,370.12</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半成品</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25,161.97</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25,161.97</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低值易耗品</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80.70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80.70</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4,187,718.17</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4,187,718.17</w:t>
            </w:r>
          </w:p>
        </w:tc>
      </w:tr>
    </w:tbl>
    <w:p w:rsidR="00F67D6F" w:rsidRPr="00980BC4" w:rsidRDefault="00F67D6F" w:rsidP="00F67D6F">
      <w:pPr>
        <w:divId w:val="969553885"/>
        <w:rPr>
          <w:sz w:val="18"/>
          <w:szCs w:val="18"/>
        </w:rPr>
      </w:pPr>
    </w:p>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47" w:name="_Toc989135"/>
      <w:r w:rsidRPr="00980BC4">
        <w:rPr>
          <w:rFonts w:ascii="仿宋" w:eastAsia="仿宋" w:hAnsi="仿宋" w:cs="Times New Roman"/>
          <w:b/>
          <w:sz w:val="28"/>
          <w:szCs w:val="28"/>
        </w:rPr>
        <w:t>9、一年内到期的非流动资产</w:t>
      </w:r>
      <w:bookmarkEnd w:id="247"/>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一年内到期的长期应收款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555,645.54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555,645.54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bl>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48" w:name="_Toc989136"/>
      <w:r w:rsidRPr="00980BC4">
        <w:rPr>
          <w:rFonts w:ascii="仿宋" w:eastAsia="仿宋" w:hAnsi="仿宋" w:cs="Times New Roman"/>
          <w:b/>
          <w:sz w:val="28"/>
          <w:szCs w:val="28"/>
        </w:rPr>
        <w:t>10、其他流动资产</w:t>
      </w:r>
      <w:bookmarkEnd w:id="248"/>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已认证留底/待认证进项税额</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659,965.25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2,039,861.93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住房基金户余款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2,133,436.87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2,125,882.89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预缴所得税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1,466,366.73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6,781,519.02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结构性存款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140,352,812.76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4,259,768.85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151,300,076.60</w:t>
            </w:r>
          </w:p>
        </w:tc>
      </w:tr>
    </w:tbl>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49" w:name="_Toc989137"/>
      <w:r w:rsidRPr="00980BC4">
        <w:rPr>
          <w:rFonts w:ascii="仿宋" w:eastAsia="仿宋" w:hAnsi="仿宋" w:cs="Times New Roman"/>
          <w:b/>
          <w:sz w:val="28"/>
          <w:szCs w:val="28"/>
        </w:rPr>
        <w:t>11、长期应收款</w:t>
      </w:r>
      <w:bookmarkEnd w:id="249"/>
    </w:p>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50" w:name="_Toc989138"/>
      <w:r w:rsidRPr="00980BC4">
        <w:rPr>
          <w:rFonts w:ascii="仿宋" w:eastAsia="仿宋" w:hAnsi="仿宋" w:cs="Times New Roman"/>
          <w:b/>
          <w:sz w:val="28"/>
          <w:szCs w:val="28"/>
        </w:rPr>
        <w:t>（1） 长期应收款情况</w:t>
      </w:r>
      <w:bookmarkEnd w:id="25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204"/>
        <w:gridCol w:w="1456"/>
        <w:gridCol w:w="954"/>
        <w:gridCol w:w="1314"/>
        <w:gridCol w:w="1417"/>
        <w:gridCol w:w="993"/>
        <w:gridCol w:w="1417"/>
        <w:gridCol w:w="884"/>
      </w:tblGrid>
      <w:tr w:rsidR="00F67D6F" w:rsidRPr="00980BC4" w:rsidTr="00CB2090">
        <w:trPr>
          <w:divId w:val="969553885"/>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7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82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8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折现率区间</w:t>
            </w:r>
          </w:p>
        </w:tc>
      </w:tr>
      <w:tr w:rsidR="00F67D6F" w:rsidRPr="00980BC4" w:rsidTr="00CB2090">
        <w:trPr>
          <w:divId w:val="969553885"/>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line="280" w:lineRule="exact"/>
            </w:pPr>
          </w:p>
        </w:tc>
        <w:tc>
          <w:tcPr>
            <w:tcW w:w="145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95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131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c>
          <w:tcPr>
            <w:tcW w:w="8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line="280" w:lineRule="exact"/>
            </w:pPr>
          </w:p>
        </w:tc>
      </w:tr>
      <w:tr w:rsidR="00F67D6F" w:rsidRPr="00980BC4" w:rsidTr="00CB2090">
        <w:trPr>
          <w:divId w:val="969553885"/>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融资租赁款</w:t>
            </w:r>
          </w:p>
        </w:tc>
        <w:tc>
          <w:tcPr>
            <w:tcW w:w="145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5,260,610.02</w:t>
            </w:r>
          </w:p>
        </w:tc>
        <w:tc>
          <w:tcPr>
            <w:tcW w:w="95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1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5,260,610.02</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6,345,441.79</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6,345,441.79</w:t>
            </w:r>
          </w:p>
        </w:tc>
        <w:tc>
          <w:tcPr>
            <w:tcW w:w="88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p>
        </w:tc>
      </w:tr>
      <w:tr w:rsidR="00F67D6F" w:rsidRPr="00980BC4" w:rsidTr="00CB2090">
        <w:trPr>
          <w:divId w:val="969553885"/>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其中：未实现融资收益</w:t>
            </w:r>
          </w:p>
        </w:tc>
        <w:tc>
          <w:tcPr>
            <w:tcW w:w="145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372,722.98</w:t>
            </w:r>
          </w:p>
        </w:tc>
        <w:tc>
          <w:tcPr>
            <w:tcW w:w="95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1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372,722.98</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987,891.21</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987,891.21</w:t>
            </w:r>
          </w:p>
        </w:tc>
        <w:tc>
          <w:tcPr>
            <w:tcW w:w="88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p>
        </w:tc>
      </w:tr>
      <w:tr w:rsidR="00F67D6F" w:rsidRPr="00980BC4" w:rsidTr="00CB2090">
        <w:trPr>
          <w:divId w:val="969553885"/>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45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5,260,610.02</w:t>
            </w:r>
          </w:p>
        </w:tc>
        <w:tc>
          <w:tcPr>
            <w:tcW w:w="95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1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5,260,610.02</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6,345,441.79</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6,345,441.79</w:t>
            </w:r>
          </w:p>
        </w:tc>
        <w:tc>
          <w:tcPr>
            <w:tcW w:w="88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line="280" w:lineRule="exact"/>
            </w:pPr>
          </w:p>
        </w:tc>
      </w:tr>
    </w:tbl>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损失准备本期变动金额重大的账面余额变动情况</w:t>
      </w:r>
    </w:p>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CB2090"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51" w:name="_Toc989139"/>
      <w:r w:rsidRPr="00980BC4">
        <w:rPr>
          <w:rFonts w:ascii="仿宋" w:eastAsia="仿宋" w:hAnsi="仿宋" w:cs="Times New Roman"/>
          <w:b/>
          <w:sz w:val="28"/>
          <w:szCs w:val="28"/>
        </w:rPr>
        <w:lastRenderedPageBreak/>
        <w:t>12、长期股权投资</w:t>
      </w:r>
      <w:bookmarkEnd w:id="25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815"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135"/>
        <w:gridCol w:w="850"/>
        <w:gridCol w:w="709"/>
        <w:gridCol w:w="694"/>
        <w:gridCol w:w="803"/>
        <w:gridCol w:w="803"/>
        <w:gridCol w:w="803"/>
        <w:gridCol w:w="803"/>
        <w:gridCol w:w="803"/>
        <w:gridCol w:w="805"/>
        <w:gridCol w:w="803"/>
        <w:gridCol w:w="804"/>
      </w:tblGrid>
      <w:tr w:rsidR="00F67D6F" w:rsidRPr="00980BC4" w:rsidTr="00CB2090">
        <w:trPr>
          <w:divId w:val="969553885"/>
          <w:trHeight w:val="240"/>
        </w:trPr>
        <w:tc>
          <w:tcPr>
            <w:tcW w:w="11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被投资单位</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期初余额（账面价值）</w:t>
            </w:r>
          </w:p>
        </w:tc>
        <w:tc>
          <w:tcPr>
            <w:tcW w:w="6223"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期末余额（账面价值）</w:t>
            </w:r>
          </w:p>
        </w:tc>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减值准备期末余额</w:t>
            </w:r>
          </w:p>
        </w:tc>
      </w:tr>
      <w:tr w:rsidR="00F67D6F" w:rsidRPr="00980BC4" w:rsidTr="00CB2090">
        <w:trPr>
          <w:divId w:val="969553885"/>
          <w:trHeight w:val="240"/>
        </w:trPr>
        <w:tc>
          <w:tcPr>
            <w:tcW w:w="113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line="300" w:lineRule="exact"/>
            </w:pP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line="300" w:lineRule="exact"/>
            </w:pP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追加投资</w:t>
            </w:r>
          </w:p>
        </w:tc>
        <w:tc>
          <w:tcPr>
            <w:tcW w:w="69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计提减值准备</w:t>
            </w:r>
          </w:p>
        </w:tc>
        <w:tc>
          <w:tcPr>
            <w:tcW w:w="80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line="300" w:lineRule="exact"/>
            </w:pPr>
          </w:p>
        </w:tc>
        <w:tc>
          <w:tcPr>
            <w:tcW w:w="8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line="300" w:lineRule="exact"/>
            </w:pPr>
          </w:p>
        </w:tc>
      </w:tr>
      <w:tr w:rsidR="00F67D6F" w:rsidRPr="00980BC4" w:rsidTr="00CB2090">
        <w:trPr>
          <w:divId w:val="969553885"/>
          <w:trHeight w:val="240"/>
        </w:trPr>
        <w:tc>
          <w:tcPr>
            <w:tcW w:w="9815"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rPr>
                <w:rFonts w:ascii="宋体" w:eastAsia="宋体" w:hAnsi="宋体" w:cs="宋体"/>
                <w:sz w:val="18"/>
                <w:szCs w:val="18"/>
              </w:rPr>
            </w:pPr>
            <w:r w:rsidRPr="00980BC4">
              <w:rPr>
                <w:rFonts w:ascii="宋体" w:eastAsia="宋体" w:hAnsi="宋体" w:cs="宋体"/>
                <w:sz w:val="18"/>
                <w:szCs w:val="18"/>
              </w:rPr>
              <w:t>一、合营企业</w:t>
            </w:r>
          </w:p>
        </w:tc>
      </w:tr>
      <w:tr w:rsidR="00CB2090" w:rsidRPr="00980BC4" w:rsidTr="00CB2090">
        <w:trPr>
          <w:divId w:val="969553885"/>
          <w:trHeight w:val="240"/>
        </w:trPr>
        <w:tc>
          <w:tcPr>
            <w:tcW w:w="9815" w:type="dxa"/>
            <w:gridSpan w:val="1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CB2090" w:rsidRPr="00980BC4" w:rsidRDefault="00CB2090" w:rsidP="00CB2090">
            <w:pPr>
              <w:spacing w:before="40" w:after="40" w:line="300" w:lineRule="exact"/>
              <w:rPr>
                <w:rFonts w:ascii="宋体" w:eastAsia="宋体" w:hAnsi="宋体" w:cs="宋体"/>
                <w:sz w:val="18"/>
                <w:szCs w:val="18"/>
              </w:rPr>
            </w:pPr>
            <w:r w:rsidRPr="00980BC4">
              <w:rPr>
                <w:rFonts w:ascii="宋体" w:eastAsia="宋体" w:hAnsi="宋体" w:cs="宋体" w:hint="eastAsia"/>
                <w:sz w:val="18"/>
                <w:szCs w:val="18"/>
              </w:rPr>
              <w:t>无</w:t>
            </w:r>
          </w:p>
        </w:tc>
      </w:tr>
      <w:tr w:rsidR="00F67D6F" w:rsidRPr="00980BC4" w:rsidTr="00CB2090">
        <w:trPr>
          <w:divId w:val="969553885"/>
          <w:trHeight w:val="240"/>
        </w:trPr>
        <w:tc>
          <w:tcPr>
            <w:tcW w:w="9815"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300" w:lineRule="exact"/>
              <w:rPr>
                <w:rFonts w:ascii="宋体" w:eastAsia="宋体" w:hAnsi="宋体" w:cs="宋体"/>
                <w:sz w:val="18"/>
                <w:szCs w:val="18"/>
              </w:rPr>
            </w:pPr>
            <w:r w:rsidRPr="00980BC4">
              <w:rPr>
                <w:rFonts w:ascii="宋体" w:eastAsia="宋体" w:hAnsi="宋体" w:cs="宋体"/>
                <w:sz w:val="18"/>
                <w:szCs w:val="18"/>
              </w:rPr>
              <w:t>二、联营企业</w:t>
            </w:r>
          </w:p>
        </w:tc>
      </w:tr>
      <w:tr w:rsidR="00F67D6F" w:rsidRPr="00980BC4" w:rsidTr="00CB2090">
        <w:trPr>
          <w:divId w:val="969553885"/>
          <w:trHeight w:val="240"/>
        </w:trPr>
        <w:tc>
          <w:tcPr>
            <w:tcW w:w="11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rPr>
                <w:rFonts w:ascii="宋体" w:eastAsia="宋体" w:hAnsi="宋体" w:cs="宋体"/>
                <w:sz w:val="18"/>
                <w:szCs w:val="18"/>
              </w:rPr>
            </w:pPr>
            <w:r w:rsidRPr="00980BC4">
              <w:rPr>
                <w:rFonts w:ascii="宋体" w:eastAsia="宋体" w:hAnsi="宋体" w:cs="宋体"/>
                <w:sz w:val="18"/>
                <w:szCs w:val="18"/>
              </w:rPr>
              <w:t>江门亿建建材有限公司</w:t>
            </w:r>
          </w:p>
        </w:tc>
        <w:tc>
          <w:tcPr>
            <w:tcW w:w="85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6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-338,435.59</w:t>
            </w:r>
          </w:p>
        </w:tc>
        <w:tc>
          <w:tcPr>
            <w:tcW w:w="8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-338,435.59</w:t>
            </w: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r>
      <w:tr w:rsidR="000019C9" w:rsidRPr="00980BC4" w:rsidTr="00CB2090">
        <w:trPr>
          <w:divId w:val="969553885"/>
          <w:trHeight w:val="240"/>
        </w:trPr>
        <w:tc>
          <w:tcPr>
            <w:tcW w:w="1135"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CB2090">
            <w:pPr>
              <w:spacing w:line="300" w:lineRule="exact"/>
              <w:rPr>
                <w:rFonts w:ascii="宋体" w:eastAsia="宋体" w:hAnsi="宋体" w:cs="宋体"/>
                <w:sz w:val="18"/>
                <w:szCs w:val="18"/>
              </w:rPr>
            </w:pPr>
            <w:r w:rsidRPr="00980BC4">
              <w:rPr>
                <w:rFonts w:ascii="宋体" w:eastAsia="宋体" w:hAnsi="宋体" w:cs="宋体"/>
                <w:sz w:val="18"/>
                <w:szCs w:val="18"/>
              </w:rPr>
              <w:t>苏州锴威特半导体股份有限公司</w:t>
            </w:r>
          </w:p>
        </w:tc>
        <w:tc>
          <w:tcPr>
            <w:tcW w:w="850"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136,089,676.19</w:t>
            </w:r>
          </w:p>
        </w:tc>
        <w:tc>
          <w:tcPr>
            <w:tcW w:w="709"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p>
        </w:tc>
        <w:tc>
          <w:tcPr>
            <w:tcW w:w="694"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11,324,502.61</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0C6A10">
              <w:rPr>
                <w:rFonts w:ascii="宋体" w:eastAsia="宋体" w:hAnsi="宋体" w:cs="宋体"/>
                <w:sz w:val="18"/>
                <w:szCs w:val="18"/>
              </w:rPr>
              <w:t>-2,920,159.90</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0C6A10">
              <w:rPr>
                <w:rFonts w:ascii="宋体" w:eastAsia="宋体" w:hAnsi="宋体" w:cs="宋体"/>
                <w:sz w:val="18"/>
                <w:szCs w:val="18"/>
              </w:rPr>
              <w:t>144,494,018.90</w:t>
            </w:r>
          </w:p>
        </w:tc>
        <w:tc>
          <w:tcPr>
            <w:tcW w:w="804"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p>
        </w:tc>
      </w:tr>
      <w:tr w:rsidR="00F67D6F" w:rsidRPr="00980BC4" w:rsidTr="00CB2090">
        <w:trPr>
          <w:divId w:val="969553885"/>
          <w:trHeight w:val="240"/>
        </w:trPr>
        <w:tc>
          <w:tcPr>
            <w:tcW w:w="11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rPr>
                <w:rFonts w:ascii="宋体" w:eastAsia="宋体" w:hAnsi="宋体" w:cs="宋体"/>
                <w:sz w:val="18"/>
                <w:szCs w:val="18"/>
              </w:rPr>
            </w:pPr>
            <w:r w:rsidRPr="00980BC4">
              <w:rPr>
                <w:rFonts w:ascii="宋体" w:eastAsia="宋体" w:hAnsi="宋体" w:cs="宋体"/>
                <w:sz w:val="18"/>
                <w:szCs w:val="18"/>
              </w:rPr>
              <w:t>北京惠风联合防务科技有限公司</w:t>
            </w:r>
          </w:p>
        </w:tc>
        <w:tc>
          <w:tcPr>
            <w:tcW w:w="85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21,768,832.33</w:t>
            </w:r>
          </w:p>
        </w:tc>
        <w:tc>
          <w:tcPr>
            <w:tcW w:w="7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6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-1,823,674.03</w:t>
            </w: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19,945,158.30</w:t>
            </w:r>
          </w:p>
        </w:tc>
        <w:tc>
          <w:tcPr>
            <w:tcW w:w="80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r>
      <w:tr w:rsidR="00F67D6F" w:rsidRPr="00980BC4" w:rsidTr="00CB2090">
        <w:trPr>
          <w:divId w:val="969553885"/>
          <w:trHeight w:val="240"/>
        </w:trPr>
        <w:tc>
          <w:tcPr>
            <w:tcW w:w="11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rPr>
                <w:rFonts w:ascii="宋体" w:eastAsia="宋体" w:hAnsi="宋体" w:cs="宋体"/>
                <w:sz w:val="18"/>
                <w:szCs w:val="18"/>
              </w:rPr>
            </w:pPr>
            <w:r w:rsidRPr="00980BC4">
              <w:rPr>
                <w:rFonts w:ascii="宋体" w:eastAsia="宋体" w:hAnsi="宋体" w:cs="宋体"/>
                <w:sz w:val="18"/>
                <w:szCs w:val="18"/>
              </w:rPr>
              <w:t>江门市甘源环保包装制品有限公司</w:t>
            </w:r>
          </w:p>
        </w:tc>
        <w:tc>
          <w:tcPr>
            <w:tcW w:w="85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6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-900,000.00</w:t>
            </w:r>
          </w:p>
        </w:tc>
        <w:tc>
          <w:tcPr>
            <w:tcW w:w="8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-900,000.00</w:t>
            </w: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CB2090">
        <w:trPr>
          <w:divId w:val="969553885"/>
          <w:trHeight w:val="240"/>
        </w:trPr>
        <w:tc>
          <w:tcPr>
            <w:tcW w:w="11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rPr>
                <w:rFonts w:ascii="宋体" w:eastAsia="宋体" w:hAnsi="宋体" w:cs="宋体"/>
                <w:sz w:val="18"/>
                <w:szCs w:val="18"/>
              </w:rPr>
            </w:pPr>
            <w:r w:rsidRPr="00980BC4">
              <w:rPr>
                <w:rFonts w:ascii="宋体" w:eastAsia="宋体" w:hAnsi="宋体" w:cs="宋体"/>
                <w:sz w:val="18"/>
                <w:szCs w:val="18"/>
              </w:rPr>
              <w:t>江门机械厂</w:t>
            </w:r>
          </w:p>
        </w:tc>
        <w:tc>
          <w:tcPr>
            <w:tcW w:w="85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6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80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300" w:lineRule="exact"/>
              <w:jc w:val="right"/>
              <w:rPr>
                <w:rFonts w:ascii="宋体" w:eastAsia="宋体" w:hAnsi="宋体" w:cs="宋体"/>
                <w:sz w:val="18"/>
                <w:szCs w:val="18"/>
              </w:rPr>
            </w:pPr>
            <w:r w:rsidRPr="00980BC4">
              <w:rPr>
                <w:rFonts w:ascii="宋体" w:eastAsia="宋体" w:hAnsi="宋体" w:cs="宋体"/>
                <w:sz w:val="18"/>
                <w:szCs w:val="18"/>
              </w:rPr>
              <w:t>37,808,737.59</w:t>
            </w:r>
          </w:p>
        </w:tc>
      </w:tr>
      <w:tr w:rsidR="000019C9" w:rsidRPr="00980BC4" w:rsidTr="00CB2090">
        <w:trPr>
          <w:divId w:val="969553885"/>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CB2090">
            <w:pPr>
              <w:spacing w:before="40" w:after="40" w:line="300" w:lineRule="exact"/>
              <w:rPr>
                <w:rFonts w:ascii="宋体" w:eastAsia="宋体" w:hAnsi="宋体" w:cs="宋体"/>
                <w:sz w:val="18"/>
                <w:szCs w:val="18"/>
              </w:rPr>
            </w:pPr>
            <w:r w:rsidRPr="00980BC4">
              <w:rPr>
                <w:rFonts w:ascii="宋体" w:eastAsia="宋体" w:hAnsi="宋体" w:cs="宋体"/>
                <w:sz w:val="18"/>
                <w:szCs w:val="18"/>
              </w:rPr>
              <w:t>小计</w:t>
            </w:r>
          </w:p>
        </w:tc>
        <w:tc>
          <w:tcPr>
            <w:tcW w:w="850"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157,858,508.52</w:t>
            </w:r>
          </w:p>
        </w:tc>
        <w:tc>
          <w:tcPr>
            <w:tcW w:w="709"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694"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9,500,828.58</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0C6A10">
              <w:rPr>
                <w:rFonts w:ascii="宋体" w:eastAsia="宋体" w:hAnsi="宋体" w:cs="宋体"/>
                <w:sz w:val="18"/>
                <w:szCs w:val="18"/>
              </w:rPr>
              <w:t>-2,920,159.90</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-1,238,435.59</w:t>
            </w:r>
          </w:p>
        </w:tc>
        <w:tc>
          <w:tcPr>
            <w:tcW w:w="805"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-1,238,435.59</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0C6A10">
              <w:rPr>
                <w:rFonts w:ascii="宋体" w:eastAsia="宋体" w:hAnsi="宋体" w:cs="宋体"/>
                <w:sz w:val="18"/>
                <w:szCs w:val="18"/>
              </w:rPr>
              <w:t>164,439,177.20</w:t>
            </w:r>
          </w:p>
        </w:tc>
        <w:tc>
          <w:tcPr>
            <w:tcW w:w="804"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37,808,737.59</w:t>
            </w:r>
          </w:p>
        </w:tc>
      </w:tr>
      <w:tr w:rsidR="000019C9" w:rsidRPr="00980BC4" w:rsidTr="00CB2090">
        <w:trPr>
          <w:divId w:val="969553885"/>
          <w:trHeight w:val="240"/>
        </w:trPr>
        <w:tc>
          <w:tcPr>
            <w:tcW w:w="1135"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CB2090">
            <w:pPr>
              <w:spacing w:before="40" w:after="40" w:line="300" w:lineRule="exact"/>
              <w:rPr>
                <w:rFonts w:ascii="宋体" w:eastAsia="宋体" w:hAnsi="宋体" w:cs="宋体"/>
                <w:sz w:val="18"/>
                <w:szCs w:val="18"/>
              </w:rPr>
            </w:pPr>
            <w:r w:rsidRPr="00980BC4">
              <w:rPr>
                <w:rFonts w:ascii="宋体" w:eastAsia="宋体" w:hAnsi="宋体" w:cs="宋体"/>
                <w:sz w:val="18"/>
                <w:szCs w:val="18"/>
              </w:rPr>
              <w:t>合计</w:t>
            </w:r>
          </w:p>
        </w:tc>
        <w:tc>
          <w:tcPr>
            <w:tcW w:w="850"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157,858,508.52</w:t>
            </w:r>
          </w:p>
        </w:tc>
        <w:tc>
          <w:tcPr>
            <w:tcW w:w="709"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694"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9,500,828.58</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0C6A10">
              <w:rPr>
                <w:rFonts w:ascii="宋体" w:eastAsia="宋体" w:hAnsi="宋体" w:cs="宋体"/>
                <w:sz w:val="18"/>
                <w:szCs w:val="18"/>
              </w:rPr>
              <w:t>-2,920,159.90</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-1,238,435.59</w:t>
            </w:r>
          </w:p>
        </w:tc>
        <w:tc>
          <w:tcPr>
            <w:tcW w:w="805"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-1,238,435.59</w:t>
            </w:r>
          </w:p>
        </w:tc>
        <w:tc>
          <w:tcPr>
            <w:tcW w:w="80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0C6A10">
              <w:rPr>
                <w:rFonts w:ascii="宋体" w:eastAsia="宋体" w:hAnsi="宋体" w:cs="宋体"/>
                <w:sz w:val="18"/>
                <w:szCs w:val="18"/>
              </w:rPr>
              <w:t>164,439,177.20</w:t>
            </w:r>
          </w:p>
        </w:tc>
        <w:tc>
          <w:tcPr>
            <w:tcW w:w="804"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37,808,737.59</w:t>
            </w:r>
          </w:p>
        </w:tc>
      </w:tr>
    </w:tbl>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52" w:name="_Toc989140"/>
      <w:r w:rsidRPr="00980BC4">
        <w:rPr>
          <w:rFonts w:ascii="仿宋" w:eastAsia="仿宋" w:hAnsi="仿宋" w:cs="Times New Roman"/>
          <w:b/>
          <w:sz w:val="28"/>
          <w:szCs w:val="28"/>
        </w:rPr>
        <w:t>13、其他权益工具投资</w:t>
      </w:r>
      <w:bookmarkEnd w:id="25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上市权益工具投资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非上市权益工具投资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其中：深圳陆巡科技有限公司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20,000,000.00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全联众创科技发展有限公司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2,000,000.00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22,000,000.00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20,000,000.00</w:t>
            </w:r>
          </w:p>
        </w:tc>
      </w:tr>
    </w:tbl>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分项披露本期非交易性权益工具投资</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377"/>
        <w:gridCol w:w="1377"/>
        <w:gridCol w:w="1377"/>
        <w:gridCol w:w="1377"/>
        <w:gridCol w:w="1377"/>
      </w:tblGrid>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lastRenderedPageBreak/>
              <w:t>项目名称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确认的股利收入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累计利得</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累计损失</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其他综合收益转入留存收益的金额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指定为以公允价值计量且其变动计入其他综合收益的原因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其他综合收益转入留存收益的原因</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深圳陆巡科技有限公司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不以出售为目的</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无此事项</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全联众创科技发展有限公司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不以出售为目的</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无此事项</w:t>
            </w:r>
          </w:p>
        </w:tc>
      </w:tr>
    </w:tbl>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53" w:name="_Toc989141"/>
      <w:r w:rsidRPr="00980BC4">
        <w:rPr>
          <w:rFonts w:ascii="仿宋" w:eastAsia="仿宋" w:hAnsi="仿宋" w:cs="Times New Roman"/>
          <w:b/>
          <w:sz w:val="28"/>
          <w:szCs w:val="28"/>
        </w:rPr>
        <w:t>14、投资性房地产</w:t>
      </w:r>
      <w:bookmarkEnd w:id="253"/>
    </w:p>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54" w:name="_Toc989142"/>
      <w:r w:rsidRPr="00980BC4">
        <w:rPr>
          <w:rFonts w:ascii="仿宋" w:eastAsia="仿宋" w:hAnsi="仿宋" w:cs="Times New Roman"/>
          <w:b/>
          <w:sz w:val="28"/>
          <w:szCs w:val="28"/>
        </w:rPr>
        <w:t>（1） 采用成本计量模式的投资性房地产</w:t>
      </w:r>
      <w:bookmarkEnd w:id="254"/>
    </w:p>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适用</w:t>
      </w:r>
      <w:r w:rsidR="00CB2090"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□不适用</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235"/>
        <w:gridCol w:w="1842"/>
        <w:gridCol w:w="1843"/>
        <w:gridCol w:w="1791"/>
        <w:gridCol w:w="1928"/>
      </w:tblGrid>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房屋、建筑物</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土地使用权</w:t>
            </w:r>
          </w:p>
        </w:tc>
        <w:tc>
          <w:tcPr>
            <w:tcW w:w="179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在建工程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一、账面原值</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1.期初余额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36,249,902.09</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1,466,526.99</w:t>
            </w: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37,716,429.08</w:t>
            </w: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2.本期增加金额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（1）外购</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（2）存货\固定资产\在建工程转入</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（3）企业合并增加</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3.本期减少金额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（1）处置</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（2）其他转出</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4.期末余额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36,249,902.09</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1,466,526.99</w:t>
            </w: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37,716,429.08</w:t>
            </w: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二、累计折旧和累计摊销</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1.期初余额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13,682,617.88</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736,685.39</w:t>
            </w: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14,419,303.27</w:t>
            </w: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2.本期增加金额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691,700.15</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27,864.01</w:t>
            </w: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719,564.16</w:t>
            </w: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（1）计提或摊销</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691,700.15</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27,864.01</w:t>
            </w: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719,564.16</w:t>
            </w: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3.本期减少金额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（1）处置</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（2）其他转出</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4.期末余额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14,374,318.03</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764,549.40</w:t>
            </w: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15,138,867.43</w:t>
            </w: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三、减值准备</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1.期初余额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2.本期增加金额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（1）计提</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3.本期减少金额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（1）处置</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（2）其他转出</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4.期末余额</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四、账面价值</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1.期末账面价值</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21,875,584.06</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701,977.59</w:t>
            </w: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22,577,561.65</w:t>
            </w:r>
          </w:p>
        </w:tc>
      </w:tr>
      <w:tr w:rsidR="00F67D6F" w:rsidRPr="00980BC4" w:rsidTr="00CB2090">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2.期初账面价值</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22,567,284.21</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729,841.60</w:t>
            </w:r>
          </w:p>
        </w:tc>
        <w:tc>
          <w:tcPr>
            <w:tcW w:w="179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23,297,125.81</w:t>
            </w:r>
          </w:p>
        </w:tc>
      </w:tr>
    </w:tbl>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55" w:name="_Toc989143"/>
      <w:r w:rsidRPr="00980BC4">
        <w:rPr>
          <w:rFonts w:ascii="仿宋" w:eastAsia="仿宋" w:hAnsi="仿宋" w:cs="Times New Roman"/>
          <w:b/>
          <w:sz w:val="28"/>
          <w:szCs w:val="28"/>
        </w:rPr>
        <w:t>（2） 采用公允价值计量模式的投资性房地产</w:t>
      </w:r>
      <w:bookmarkEnd w:id="255"/>
    </w:p>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□适用</w:t>
      </w:r>
      <w:r w:rsidR="00CB2090"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56" w:name="_Toc989144"/>
      <w:r w:rsidRPr="00980BC4">
        <w:rPr>
          <w:rFonts w:ascii="仿宋" w:eastAsia="仿宋" w:hAnsi="仿宋" w:cs="Times New Roman"/>
          <w:b/>
          <w:sz w:val="28"/>
          <w:szCs w:val="28"/>
        </w:rPr>
        <w:t>15、固定资产</w:t>
      </w:r>
      <w:bookmarkEnd w:id="25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55,737,683.49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37,241,715.77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2,033,138.90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57,770,822.39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right"/>
              <w:rPr>
                <w:rFonts w:ascii="宋体" w:eastAsia="宋体" w:hAnsi="宋体" w:cs="宋体"/>
                <w:sz w:val="18"/>
                <w:szCs w:val="18"/>
              </w:rPr>
            </w:pPr>
            <w:r w:rsidRPr="00980BC4">
              <w:rPr>
                <w:rFonts w:ascii="宋体" w:eastAsia="宋体" w:hAnsi="宋体" w:cs="宋体"/>
                <w:sz w:val="18"/>
                <w:szCs w:val="18"/>
              </w:rPr>
              <w:t>39,274,854.67</w:t>
            </w:r>
          </w:p>
        </w:tc>
      </w:tr>
    </w:tbl>
    <w:p w:rsidR="00F67D6F" w:rsidRPr="00980BC4" w:rsidRDefault="00F67D6F" w:rsidP="00CB2090">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57" w:name="_Toc989145"/>
      <w:r w:rsidRPr="00980BC4">
        <w:rPr>
          <w:rFonts w:ascii="仿宋" w:eastAsia="仿宋" w:hAnsi="仿宋" w:cs="Times New Roman"/>
          <w:b/>
          <w:sz w:val="28"/>
          <w:szCs w:val="28"/>
        </w:rPr>
        <w:t>（1） 固定资产情况</w:t>
      </w:r>
      <w:bookmarkEnd w:id="257"/>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10065"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553"/>
        <w:gridCol w:w="1425"/>
        <w:gridCol w:w="1417"/>
        <w:gridCol w:w="1418"/>
        <w:gridCol w:w="1417"/>
        <w:gridCol w:w="1418"/>
        <w:gridCol w:w="1417"/>
      </w:tblGrid>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center"/>
              <w:rPr>
                <w:rFonts w:ascii="宋体" w:eastAsia="宋体" w:hAnsi="宋体" w:cs="宋体"/>
                <w:sz w:val="18"/>
                <w:szCs w:val="18"/>
              </w:rPr>
            </w:pPr>
            <w:r w:rsidRPr="00980BC4">
              <w:rPr>
                <w:rFonts w:ascii="宋体" w:eastAsia="宋体" w:hAnsi="宋体" w:cs="宋体"/>
                <w:sz w:val="18"/>
                <w:szCs w:val="18"/>
              </w:rPr>
              <w:t>房屋及建筑物</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center"/>
              <w:rPr>
                <w:rFonts w:ascii="宋体" w:eastAsia="宋体" w:hAnsi="宋体" w:cs="宋体"/>
                <w:sz w:val="18"/>
                <w:szCs w:val="18"/>
              </w:rPr>
            </w:pPr>
            <w:r w:rsidRPr="00980BC4">
              <w:rPr>
                <w:rFonts w:ascii="宋体" w:eastAsia="宋体" w:hAnsi="宋体" w:cs="宋体"/>
                <w:sz w:val="18"/>
                <w:szCs w:val="18"/>
              </w:rPr>
              <w:t>机器设备</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center"/>
              <w:rPr>
                <w:rFonts w:ascii="宋体" w:eastAsia="宋体" w:hAnsi="宋体" w:cs="宋体"/>
                <w:sz w:val="18"/>
                <w:szCs w:val="18"/>
              </w:rPr>
            </w:pPr>
            <w:r w:rsidRPr="00980BC4">
              <w:rPr>
                <w:rFonts w:ascii="宋体" w:eastAsia="宋体" w:hAnsi="宋体" w:cs="宋体"/>
                <w:sz w:val="18"/>
                <w:szCs w:val="18"/>
              </w:rPr>
              <w:t>运输工具</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center"/>
              <w:rPr>
                <w:rFonts w:ascii="宋体" w:eastAsia="宋体" w:hAnsi="宋体" w:cs="宋体"/>
                <w:sz w:val="18"/>
                <w:szCs w:val="18"/>
              </w:rPr>
            </w:pPr>
            <w:r w:rsidRPr="00980BC4">
              <w:rPr>
                <w:rFonts w:ascii="宋体" w:eastAsia="宋体" w:hAnsi="宋体" w:cs="宋体"/>
                <w:sz w:val="18"/>
                <w:szCs w:val="18"/>
              </w:rPr>
              <w:t>电子设备</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jc w:val="center"/>
              <w:rPr>
                <w:rFonts w:ascii="宋体" w:eastAsia="宋体" w:hAnsi="宋体" w:cs="宋体"/>
                <w:sz w:val="18"/>
                <w:szCs w:val="18"/>
              </w:rPr>
            </w:pPr>
            <w:r w:rsidRPr="00980BC4">
              <w:rPr>
                <w:rFonts w:ascii="宋体" w:eastAsia="宋体" w:hAnsi="宋体" w:cs="宋体"/>
                <w:sz w:val="18"/>
                <w:szCs w:val="18"/>
              </w:rPr>
              <w:t>其他设备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一、账面原值：</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1.期初余额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23,382,939.12</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30,420,271.11</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2,275,318.10</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4,069,036.84</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3,209,728.59</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63,357,293.76</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2.本期增加金额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21,060,068.35</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626,460.17</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3,169,831.25</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752,708.98</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25,609,068.75</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（1）购置</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18,544,981.61</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3,169,831.25</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547,985.81</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22,262,798.67</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（2）在建工程转入</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（3）企业合并增加</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2,515,086.74</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626,460.17</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204,723.17</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3,346,270.08</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3.本期减少金额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11,501.84</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187,175.70</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2,622.00</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201,299.54</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（1）处置或报废</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11,501.84</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187,175.70</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2,622.00</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201,299.54</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4.期末余额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23,382,939.12</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51,468,837.62</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2,901,778.27</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7,051,692.39</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3,959,815.57</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88,765,062.97</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二、累计折旧</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1.期初余额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8,796,513.20</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13,260,761.05</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1,076,125.11</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1,923,998.13</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1,058,180.50</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26,115,577.99</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2.本期增加金额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450,933.36</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4,971,349.78</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305,918.57</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756,859.60</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617,057.63</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7,102,118.94</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（1）计提</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450,933.36</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4,435,301.32</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230,221.93</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756,859.60</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438,049.84</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6,311,366.05</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CB2090">
            <w:pPr>
              <w:spacing w:line="280" w:lineRule="exact"/>
              <w:rPr>
                <w:rFonts w:ascii="宋体" w:eastAsia="宋体" w:hAnsi="宋体" w:cs="宋体"/>
                <w:sz w:val="18"/>
                <w:szCs w:val="18"/>
              </w:rPr>
            </w:pPr>
            <w:r w:rsidRPr="00980BC4">
              <w:rPr>
                <w:rFonts w:ascii="宋体" w:eastAsia="宋体" w:hAnsi="宋体" w:cs="宋体"/>
                <w:sz w:val="18"/>
                <w:szCs w:val="18"/>
              </w:rPr>
              <w:t>（2）企业合并增加计提</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536,048.46</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75,696.64</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179,007.79</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790,752.89</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3.本期减少金额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10,710.42</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177,116.13</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2,490.90</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190,317.45</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（1）处置或报</w:t>
            </w:r>
            <w:r w:rsidRPr="00980BC4">
              <w:rPr>
                <w:rFonts w:ascii="宋体" w:eastAsia="宋体" w:hAnsi="宋体" w:cs="宋体"/>
                <w:sz w:val="18"/>
                <w:szCs w:val="18"/>
              </w:rPr>
              <w:lastRenderedPageBreak/>
              <w:t>废</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10,710.42</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177,116.13</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2,490.90</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190,317.45</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4.期末余额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9,247,446.56</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18,221,400.41</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1,382,043.68</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2,503,741.60</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1,672,747.23</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33,027,379.48</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三、减值准备</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1.期初余额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2.本期增加金额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（1）计提</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3.本期减少金额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（1）处置或报废</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4.期末余额</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四、账面价值</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1.期末账面价值</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14,135,492.56</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33,247,437.21</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1,519,734.59</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4,547,950.79</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2,287,068.34</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55,737,683.49</w:t>
            </w:r>
          </w:p>
        </w:tc>
      </w:tr>
      <w:tr w:rsidR="00F67D6F" w:rsidRPr="00980BC4" w:rsidTr="006A7324">
        <w:trPr>
          <w:divId w:val="969553885"/>
          <w:trHeight w:val="240"/>
        </w:trPr>
        <w:tc>
          <w:tcPr>
            <w:tcW w:w="155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CB2090">
            <w:pPr>
              <w:spacing w:before="40" w:after="40" w:line="280" w:lineRule="exact"/>
              <w:rPr>
                <w:rFonts w:ascii="宋体" w:eastAsia="宋体" w:hAnsi="宋体" w:cs="宋体"/>
                <w:sz w:val="18"/>
                <w:szCs w:val="18"/>
              </w:rPr>
            </w:pPr>
            <w:r w:rsidRPr="00980BC4">
              <w:rPr>
                <w:rFonts w:ascii="宋体" w:eastAsia="宋体" w:hAnsi="宋体" w:cs="宋体"/>
                <w:sz w:val="18"/>
                <w:szCs w:val="18"/>
              </w:rPr>
              <w:t>2.期初账面价值</w:t>
            </w:r>
          </w:p>
        </w:tc>
        <w:tc>
          <w:tcPr>
            <w:tcW w:w="142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14,586,425.92</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17,159,510.06</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1,199,192.99</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2,145,038.71</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2,151,548.09</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6A7324">
            <w:pPr>
              <w:spacing w:line="280" w:lineRule="exact"/>
              <w:jc w:val="right"/>
              <w:rPr>
                <w:rFonts w:ascii="宋体" w:eastAsia="宋体" w:hAnsi="宋体" w:cs="宋体"/>
                <w:sz w:val="18"/>
                <w:szCs w:val="18"/>
              </w:rPr>
            </w:pPr>
            <w:r w:rsidRPr="00980BC4">
              <w:rPr>
                <w:rFonts w:ascii="宋体" w:eastAsia="宋体" w:hAnsi="宋体" w:cs="宋体"/>
                <w:sz w:val="18"/>
                <w:szCs w:val="18"/>
              </w:rPr>
              <w:t>37,241,715.77</w:t>
            </w:r>
          </w:p>
        </w:tc>
      </w:tr>
    </w:tbl>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58" w:name="_Toc989146"/>
      <w:r w:rsidRPr="00980BC4">
        <w:rPr>
          <w:rFonts w:ascii="仿宋" w:eastAsia="仿宋" w:hAnsi="仿宋" w:cs="Times New Roman"/>
          <w:b/>
          <w:sz w:val="28"/>
          <w:szCs w:val="28"/>
        </w:rPr>
        <w:t>（2） 固定资产清理</w:t>
      </w:r>
      <w:bookmarkEnd w:id="258"/>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rPr>
                <w:rFonts w:ascii="宋体" w:eastAsia="宋体" w:hAnsi="宋体" w:cs="宋体"/>
                <w:sz w:val="18"/>
                <w:szCs w:val="18"/>
              </w:rPr>
            </w:pPr>
            <w:r w:rsidRPr="00980BC4">
              <w:rPr>
                <w:rFonts w:ascii="宋体" w:eastAsia="宋体" w:hAnsi="宋体" w:cs="宋体"/>
                <w:sz w:val="18"/>
                <w:szCs w:val="18"/>
              </w:rPr>
              <w:t>三旧改造固定资产清理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2,033,138.90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2,033,138.90</w:t>
            </w:r>
          </w:p>
        </w:tc>
      </w:tr>
    </w:tbl>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59" w:name="_Toc989147"/>
      <w:r w:rsidRPr="00980BC4">
        <w:rPr>
          <w:rFonts w:ascii="仿宋" w:eastAsia="仿宋" w:hAnsi="仿宋" w:cs="Times New Roman"/>
          <w:b/>
          <w:sz w:val="28"/>
          <w:szCs w:val="28"/>
        </w:rPr>
        <w:t>16、在建工程</w:t>
      </w:r>
      <w:bookmarkEnd w:id="259"/>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273,451.33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375,558.55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273,451.33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375,558.55</w:t>
            </w:r>
          </w:p>
        </w:tc>
      </w:tr>
    </w:tbl>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60" w:name="_Toc989148"/>
      <w:r w:rsidRPr="00980BC4">
        <w:rPr>
          <w:rFonts w:ascii="仿宋" w:eastAsia="仿宋" w:hAnsi="仿宋" w:cs="Times New Roman"/>
          <w:b/>
          <w:sz w:val="28"/>
          <w:szCs w:val="28"/>
        </w:rPr>
        <w:t>（1） 在建工程情况</w:t>
      </w:r>
      <w:bookmarkEnd w:id="26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377"/>
        <w:gridCol w:w="1377"/>
        <w:gridCol w:w="1377"/>
        <w:gridCol w:w="1377"/>
        <w:gridCol w:w="1377"/>
      </w:tblGrid>
      <w:tr w:rsidR="00F67D6F" w:rsidRPr="00980BC4" w:rsidTr="00F67D6F">
        <w:trPr>
          <w:divId w:val="969553885"/>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line="28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rPr>
                <w:rFonts w:ascii="宋体" w:eastAsia="宋体" w:hAnsi="宋体" w:cs="宋体"/>
                <w:sz w:val="18"/>
                <w:szCs w:val="18"/>
              </w:rPr>
            </w:pPr>
            <w:r w:rsidRPr="00980BC4">
              <w:rPr>
                <w:rFonts w:ascii="宋体" w:eastAsia="宋体" w:hAnsi="宋体" w:cs="宋体"/>
                <w:sz w:val="18"/>
                <w:szCs w:val="18"/>
              </w:rPr>
              <w:t>设备安装</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273,451.33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273,451.33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375,558.55</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375,558.55</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273,451.33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273,451.33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375,558.55</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375,558.55</w:t>
            </w:r>
          </w:p>
        </w:tc>
      </w:tr>
    </w:tbl>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61" w:name="_Toc989149"/>
      <w:r w:rsidRPr="00980BC4">
        <w:rPr>
          <w:rFonts w:ascii="仿宋" w:eastAsia="仿宋" w:hAnsi="仿宋" w:cs="Times New Roman"/>
          <w:b/>
          <w:sz w:val="28"/>
          <w:szCs w:val="28"/>
        </w:rPr>
        <w:t>17、生产性生物资产</w:t>
      </w:r>
      <w:bookmarkEnd w:id="261"/>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62" w:name="_Toc989150"/>
      <w:r w:rsidRPr="00980BC4">
        <w:rPr>
          <w:rFonts w:ascii="仿宋" w:eastAsia="仿宋" w:hAnsi="仿宋" w:cs="Times New Roman"/>
          <w:b/>
          <w:sz w:val="28"/>
          <w:szCs w:val="28"/>
        </w:rPr>
        <w:t>（1） 采用成本计量模式的生产性生物资产</w:t>
      </w:r>
      <w:bookmarkEnd w:id="262"/>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790CCF"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63" w:name="_Toc989151"/>
      <w:r w:rsidRPr="00980BC4">
        <w:rPr>
          <w:rFonts w:ascii="仿宋" w:eastAsia="仿宋" w:hAnsi="仿宋" w:cs="Times New Roman"/>
          <w:b/>
          <w:sz w:val="28"/>
          <w:szCs w:val="28"/>
        </w:rPr>
        <w:t>（2） 采用公允价值计量模式的生产性生物资产</w:t>
      </w:r>
      <w:bookmarkEnd w:id="263"/>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790CCF"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64" w:name="_Toc989152"/>
      <w:r w:rsidRPr="00980BC4">
        <w:rPr>
          <w:rFonts w:ascii="仿宋" w:eastAsia="仿宋" w:hAnsi="仿宋" w:cs="Times New Roman"/>
          <w:b/>
          <w:sz w:val="28"/>
          <w:szCs w:val="28"/>
        </w:rPr>
        <w:lastRenderedPageBreak/>
        <w:t>18、油气资产</w:t>
      </w:r>
      <w:bookmarkEnd w:id="264"/>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790CCF"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65" w:name="_Toc989153"/>
      <w:r w:rsidRPr="00980BC4">
        <w:rPr>
          <w:rFonts w:ascii="仿宋" w:eastAsia="仿宋" w:hAnsi="仿宋" w:cs="Times New Roman"/>
          <w:b/>
          <w:sz w:val="28"/>
          <w:szCs w:val="28"/>
        </w:rPr>
        <w:t>19、使用权资产</w:t>
      </w:r>
      <w:bookmarkEnd w:id="265"/>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center"/>
              <w:rPr>
                <w:rFonts w:ascii="宋体" w:eastAsia="宋体" w:hAnsi="宋体" w:cs="宋体"/>
                <w:sz w:val="18"/>
                <w:szCs w:val="18"/>
              </w:rPr>
            </w:pPr>
            <w:r w:rsidRPr="00980BC4">
              <w:rPr>
                <w:rFonts w:ascii="宋体" w:eastAsia="宋体" w:hAnsi="宋体" w:cs="宋体"/>
                <w:sz w:val="18"/>
                <w:szCs w:val="18"/>
              </w:rPr>
              <w:t>房屋及建筑物</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center"/>
              <w:rPr>
                <w:rFonts w:ascii="宋体" w:eastAsia="宋体" w:hAnsi="宋体" w:cs="宋体"/>
                <w:sz w:val="18"/>
                <w:szCs w:val="18"/>
              </w:rPr>
            </w:pPr>
            <w:r w:rsidRPr="00980BC4">
              <w:rPr>
                <w:rFonts w:ascii="宋体" w:eastAsia="宋体" w:hAnsi="宋体" w:cs="宋体"/>
                <w:sz w:val="18"/>
                <w:szCs w:val="18"/>
              </w:rPr>
              <w:t>运输工具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一、账面原值</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61,781,231.97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172,978.22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61,954,210.19</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2,614,005.30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2,614,005.30</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rPr>
                <w:rFonts w:ascii="宋体" w:eastAsia="宋体" w:hAnsi="宋体" w:cs="宋体"/>
                <w:sz w:val="18"/>
                <w:szCs w:val="18"/>
              </w:rPr>
            </w:pPr>
            <w:r w:rsidRPr="00980BC4">
              <w:rPr>
                <w:rFonts w:ascii="宋体" w:eastAsia="宋体" w:hAnsi="宋体" w:cs="宋体"/>
                <w:sz w:val="18"/>
                <w:szCs w:val="18"/>
              </w:rPr>
              <w:t>（1）购置</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2,122,796.64</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2,122,796.64</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rPr>
                <w:rFonts w:ascii="宋体" w:eastAsia="宋体" w:hAnsi="宋体" w:cs="宋体"/>
                <w:sz w:val="18"/>
                <w:szCs w:val="18"/>
              </w:rPr>
            </w:pPr>
            <w:r w:rsidRPr="00980BC4">
              <w:rPr>
                <w:rFonts w:ascii="宋体" w:eastAsia="宋体" w:hAnsi="宋体" w:cs="宋体"/>
                <w:sz w:val="18"/>
                <w:szCs w:val="18"/>
              </w:rPr>
              <w:t>（2）其他</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491,208.66</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491,208.66</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468,291.12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468,291.12</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63,926,946.15</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172,978.22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64,099,924.37</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二、累计折旧</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2,504,453.38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36,037.12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2,540,490.50</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4,091,982.15</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86,489.13</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4,178,471.28</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400" w:firstLine="720"/>
              <w:rPr>
                <w:rFonts w:ascii="宋体" w:eastAsia="宋体" w:hAnsi="宋体" w:cs="宋体"/>
                <w:sz w:val="18"/>
                <w:szCs w:val="18"/>
              </w:rPr>
            </w:pPr>
            <w:r w:rsidRPr="00980BC4">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4,075,914.58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86,489.13</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4,162,403.71</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rPr>
                <w:rFonts w:ascii="宋体" w:eastAsia="宋体" w:hAnsi="宋体" w:cs="宋体"/>
                <w:sz w:val="18"/>
                <w:szCs w:val="18"/>
              </w:rPr>
            </w:pPr>
            <w:r w:rsidRPr="00980BC4">
              <w:rPr>
                <w:rFonts w:ascii="宋体" w:eastAsia="宋体" w:hAnsi="宋体" w:cs="宋体"/>
                <w:sz w:val="18"/>
                <w:szCs w:val="18"/>
              </w:rPr>
              <w:t>（2）其他计提</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16,067.57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16,067.57</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279,557.56</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279,557.56</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400" w:firstLine="720"/>
              <w:rPr>
                <w:rFonts w:ascii="宋体" w:eastAsia="宋体" w:hAnsi="宋体" w:cs="宋体"/>
                <w:sz w:val="18"/>
                <w:szCs w:val="18"/>
              </w:rPr>
            </w:pPr>
            <w:r w:rsidRPr="00980BC4">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279,557.56</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279,557.56</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6,316,877.97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122,526.25</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6,439,404.22</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三、减值准备</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400" w:firstLine="720"/>
              <w:rPr>
                <w:rFonts w:ascii="宋体" w:eastAsia="宋体" w:hAnsi="宋体" w:cs="宋体"/>
                <w:sz w:val="18"/>
                <w:szCs w:val="18"/>
              </w:rPr>
            </w:pPr>
            <w:r w:rsidRPr="00980BC4">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400" w:firstLine="720"/>
              <w:rPr>
                <w:rFonts w:ascii="宋体" w:eastAsia="宋体" w:hAnsi="宋体" w:cs="宋体"/>
                <w:sz w:val="18"/>
                <w:szCs w:val="18"/>
              </w:rPr>
            </w:pPr>
            <w:r w:rsidRPr="00980BC4">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四、账面价值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1.期末账面价值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57,610,068.18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50,451.97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57,660,520.15</w:t>
            </w:r>
          </w:p>
        </w:tc>
      </w:tr>
      <w:tr w:rsidR="00F67D6F" w:rsidRPr="00980BC4" w:rsidTr="00790CCF">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2.期初账面价值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59,276,778.59</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136,941.10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59,413,719.69</w:t>
            </w:r>
          </w:p>
        </w:tc>
      </w:tr>
    </w:tbl>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66" w:name="_Toc989154"/>
      <w:r w:rsidRPr="00980BC4">
        <w:rPr>
          <w:rFonts w:ascii="仿宋" w:eastAsia="仿宋" w:hAnsi="仿宋" w:cs="Times New Roman"/>
          <w:b/>
          <w:sz w:val="28"/>
          <w:szCs w:val="28"/>
        </w:rPr>
        <w:t>20、无形资产</w:t>
      </w:r>
      <w:bookmarkEnd w:id="266"/>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67" w:name="_Toc989155"/>
      <w:r w:rsidRPr="00980BC4">
        <w:rPr>
          <w:rFonts w:ascii="仿宋" w:eastAsia="仿宋" w:hAnsi="仿宋" w:cs="Times New Roman"/>
          <w:b/>
          <w:sz w:val="28"/>
          <w:szCs w:val="28"/>
        </w:rPr>
        <w:t>无形资产情况</w:t>
      </w:r>
      <w:bookmarkEnd w:id="267"/>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518"/>
        <w:gridCol w:w="1418"/>
        <w:gridCol w:w="1417"/>
        <w:gridCol w:w="1276"/>
        <w:gridCol w:w="1403"/>
        <w:gridCol w:w="1607"/>
      </w:tblGrid>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土地使用权</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专利权</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非专利技术</w:t>
            </w: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center"/>
              <w:rPr>
                <w:rFonts w:ascii="宋体" w:eastAsia="宋体" w:hAnsi="宋体" w:cs="宋体"/>
                <w:sz w:val="18"/>
                <w:szCs w:val="18"/>
              </w:rPr>
            </w:pPr>
            <w:r w:rsidRPr="00980BC4">
              <w:rPr>
                <w:rFonts w:ascii="宋体" w:eastAsia="宋体" w:hAnsi="宋体" w:cs="宋体"/>
                <w:sz w:val="18"/>
                <w:szCs w:val="18"/>
              </w:rPr>
              <w:t>软件</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一、账面原值</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1.期初余额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2,500,980.42</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22,924,830.73</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1,779,321.96</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27,205,133.11</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lastRenderedPageBreak/>
              <w:t>2.本期增加金额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12,078,200.00</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311,702.05</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12,389,902.05</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（1）购置</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272,484.93</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272,484.93</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（2）内部研发</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（3）企业合并增加</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12,078,200.00</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39,217.12</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12,117,417.12</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3.本期减少金额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（1）处置</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4.期末余额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2,500,980.42</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35,003,030.73</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2,091,024.01</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39,595,035.16</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二、累计摊销</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1.期初余额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1,281,786.36</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17,054,469.20</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642,832.43</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18,979,087.99</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2.本期增加金额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50,019.60</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9,416,246.17</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197,732.72</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9,663,998.49</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（1）计提</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50,019.60</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5,088,224.50</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180,537.77</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5,318,781.87</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ind w:firstLineChars="100" w:firstLine="180"/>
              <w:rPr>
                <w:rFonts w:ascii="宋体" w:eastAsia="宋体" w:hAnsi="宋体" w:cs="宋体"/>
                <w:sz w:val="18"/>
                <w:szCs w:val="18"/>
              </w:rPr>
            </w:pPr>
            <w:r w:rsidRPr="00980BC4">
              <w:rPr>
                <w:rFonts w:ascii="宋体" w:eastAsia="宋体" w:hAnsi="宋体" w:cs="宋体"/>
                <w:sz w:val="18"/>
                <w:szCs w:val="18"/>
              </w:rPr>
              <w:t>（2）企业合并增加计提</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4,328,021.67</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17,194.95</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4,345,216.62</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3.本期减少金额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（1）处置</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4.期末余额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1,331,805.96</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26,470,715.37</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840,565.15</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28,643,086.48</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三、减值准备</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1.期初余额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2.本期增加金额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（1）计提</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3.本期减少金额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100" w:firstLine="180"/>
              <w:rPr>
                <w:rFonts w:ascii="宋体" w:eastAsia="宋体" w:hAnsi="宋体" w:cs="宋体"/>
                <w:sz w:val="18"/>
                <w:szCs w:val="18"/>
              </w:rPr>
            </w:pPr>
            <w:r w:rsidRPr="00980BC4">
              <w:rPr>
                <w:rFonts w:ascii="宋体" w:eastAsia="宋体" w:hAnsi="宋体" w:cs="宋体"/>
                <w:sz w:val="18"/>
                <w:szCs w:val="18"/>
              </w:rPr>
              <w:t>（1）处置</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4.期末余额</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四、账面价值</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1.期末账面价值</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1,169,174.46</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8,532,315.36</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1,250,458.86</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10,951,948.68</w:t>
            </w:r>
          </w:p>
        </w:tc>
      </w:tr>
      <w:tr w:rsidR="00F67D6F" w:rsidRPr="00980BC4" w:rsidTr="00790CCF">
        <w:trPr>
          <w:divId w:val="969553885"/>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2.期初账面价值</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1,219,194.06</w:t>
            </w: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5,870,361.53</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4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1,136,489.53</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8,226,045.12</w:t>
            </w:r>
          </w:p>
        </w:tc>
      </w:tr>
    </w:tbl>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68" w:name="_Toc989156"/>
      <w:r w:rsidRPr="00980BC4">
        <w:rPr>
          <w:rFonts w:ascii="仿宋" w:eastAsia="仿宋" w:hAnsi="仿宋" w:cs="Times New Roman"/>
          <w:b/>
          <w:sz w:val="28"/>
          <w:szCs w:val="28"/>
        </w:rPr>
        <w:t>21、商誉</w:t>
      </w:r>
      <w:bookmarkEnd w:id="268"/>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69" w:name="_Toc989157"/>
      <w:r w:rsidRPr="00980BC4">
        <w:rPr>
          <w:rFonts w:ascii="仿宋" w:eastAsia="仿宋" w:hAnsi="仿宋" w:cs="Times New Roman"/>
          <w:b/>
          <w:sz w:val="28"/>
          <w:szCs w:val="28"/>
        </w:rPr>
        <w:t>（1） 商誉账面原值</w:t>
      </w:r>
      <w:bookmarkEnd w:id="269"/>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566"/>
        <w:gridCol w:w="1560"/>
        <w:gridCol w:w="1005"/>
        <w:gridCol w:w="1377"/>
        <w:gridCol w:w="1161"/>
        <w:gridCol w:w="1593"/>
      </w:tblGrid>
      <w:tr w:rsidR="00F67D6F" w:rsidRPr="00980BC4" w:rsidTr="00790CCF">
        <w:trPr>
          <w:divId w:val="969553885"/>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被投资单位名称或形成商誉的事项</w:t>
            </w:r>
          </w:p>
        </w:tc>
        <w:tc>
          <w:tcPr>
            <w:tcW w:w="156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256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w:t>
            </w:r>
          </w:p>
        </w:tc>
        <w:tc>
          <w:tcPr>
            <w:tcW w:w="253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本期减少</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790CCF">
        <w:trPr>
          <w:divId w:val="969553885"/>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line="280" w:lineRule="exact"/>
            </w:pPr>
          </w:p>
        </w:tc>
        <w:tc>
          <w:tcPr>
            <w:tcW w:w="156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line="280" w:lineRule="exact"/>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企业合并形成的</w:t>
            </w:r>
          </w:p>
        </w:tc>
        <w:tc>
          <w:tcPr>
            <w:tcW w:w="10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处置</w:t>
            </w: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line="280" w:lineRule="exact"/>
            </w:pPr>
          </w:p>
        </w:tc>
      </w:tr>
      <w:tr w:rsidR="00F67D6F" w:rsidRPr="00980BC4" w:rsidTr="00790CC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rPr>
                <w:rFonts w:ascii="宋体" w:eastAsia="宋体" w:hAnsi="宋体" w:cs="宋体"/>
                <w:sz w:val="18"/>
                <w:szCs w:val="18"/>
              </w:rPr>
            </w:pPr>
            <w:r w:rsidRPr="00980BC4">
              <w:rPr>
                <w:rFonts w:ascii="宋体" w:eastAsia="宋体" w:hAnsi="宋体" w:cs="宋体"/>
                <w:sz w:val="18"/>
                <w:szCs w:val="18"/>
              </w:rPr>
              <w:t>升华电源</w:t>
            </w:r>
          </w:p>
        </w:tc>
        <w:tc>
          <w:tcPr>
            <w:tcW w:w="15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545,192,684.72</w:t>
            </w:r>
          </w:p>
        </w:tc>
        <w:tc>
          <w:tcPr>
            <w:tcW w:w="15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545,192,684.72</w:t>
            </w:r>
          </w:p>
        </w:tc>
      </w:tr>
      <w:tr w:rsidR="00F67D6F" w:rsidRPr="00980BC4" w:rsidTr="00790CC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rPr>
                <w:rFonts w:ascii="宋体" w:eastAsia="宋体" w:hAnsi="宋体" w:cs="宋体"/>
                <w:sz w:val="18"/>
                <w:szCs w:val="18"/>
              </w:rPr>
            </w:pPr>
            <w:r w:rsidRPr="00980BC4">
              <w:rPr>
                <w:rFonts w:ascii="宋体" w:eastAsia="宋体" w:hAnsi="宋体" w:cs="宋体"/>
                <w:sz w:val="18"/>
                <w:szCs w:val="18"/>
              </w:rPr>
              <w:t>沈阳含能</w:t>
            </w:r>
          </w:p>
        </w:tc>
        <w:tc>
          <w:tcPr>
            <w:tcW w:w="15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162,739,328.07</w:t>
            </w:r>
          </w:p>
        </w:tc>
        <w:tc>
          <w:tcPr>
            <w:tcW w:w="15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162,739,328.07</w:t>
            </w:r>
          </w:p>
        </w:tc>
      </w:tr>
      <w:tr w:rsidR="00F67D6F" w:rsidRPr="00980BC4" w:rsidTr="00790CC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rPr>
                <w:rFonts w:ascii="宋体" w:eastAsia="宋体" w:hAnsi="宋体" w:cs="宋体"/>
                <w:sz w:val="18"/>
                <w:szCs w:val="18"/>
              </w:rPr>
            </w:pPr>
            <w:r w:rsidRPr="00980BC4">
              <w:rPr>
                <w:rFonts w:ascii="宋体" w:eastAsia="宋体" w:hAnsi="宋体" w:cs="宋体"/>
                <w:sz w:val="18"/>
                <w:szCs w:val="18"/>
              </w:rPr>
              <w:t>沈阳非晶</w:t>
            </w:r>
          </w:p>
        </w:tc>
        <w:tc>
          <w:tcPr>
            <w:tcW w:w="15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68,361,708.64</w:t>
            </w:r>
          </w:p>
        </w:tc>
        <w:tc>
          <w:tcPr>
            <w:tcW w:w="10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68,361,708.64</w:t>
            </w:r>
          </w:p>
        </w:tc>
      </w:tr>
      <w:tr w:rsidR="00F67D6F" w:rsidRPr="00980BC4" w:rsidTr="00790CC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5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707,932,012.79</w:t>
            </w:r>
          </w:p>
        </w:tc>
        <w:tc>
          <w:tcPr>
            <w:tcW w:w="15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68,361,708.64</w:t>
            </w:r>
          </w:p>
        </w:tc>
        <w:tc>
          <w:tcPr>
            <w:tcW w:w="10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776,293,721.43</w:t>
            </w:r>
          </w:p>
        </w:tc>
      </w:tr>
    </w:tbl>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70" w:name="_Toc989158"/>
      <w:r w:rsidRPr="00980BC4">
        <w:rPr>
          <w:rFonts w:ascii="仿宋" w:eastAsia="仿宋" w:hAnsi="仿宋" w:cs="Times New Roman"/>
          <w:b/>
          <w:sz w:val="28"/>
          <w:szCs w:val="28"/>
        </w:rPr>
        <w:t>（2） 商誉减值准备</w:t>
      </w:r>
      <w:bookmarkEnd w:id="27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566"/>
        <w:gridCol w:w="1560"/>
        <w:gridCol w:w="1005"/>
        <w:gridCol w:w="1377"/>
        <w:gridCol w:w="1161"/>
        <w:gridCol w:w="1593"/>
      </w:tblGrid>
      <w:tr w:rsidR="00F67D6F" w:rsidRPr="00980BC4" w:rsidTr="00790CCF">
        <w:trPr>
          <w:divId w:val="969553885"/>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被投资单位名</w:t>
            </w:r>
            <w:r w:rsidRPr="00980BC4">
              <w:rPr>
                <w:rFonts w:ascii="宋体" w:eastAsia="宋体" w:hAnsi="宋体" w:cs="宋体"/>
                <w:sz w:val="18"/>
                <w:szCs w:val="18"/>
              </w:rPr>
              <w:lastRenderedPageBreak/>
              <w:t>称或形成商誉的事项</w:t>
            </w:r>
          </w:p>
        </w:tc>
        <w:tc>
          <w:tcPr>
            <w:tcW w:w="156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lastRenderedPageBreak/>
              <w:t>期初余额</w:t>
            </w:r>
          </w:p>
        </w:tc>
        <w:tc>
          <w:tcPr>
            <w:tcW w:w="256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w:t>
            </w:r>
          </w:p>
        </w:tc>
        <w:tc>
          <w:tcPr>
            <w:tcW w:w="253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本期减少</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790CCF">
        <w:trPr>
          <w:divId w:val="969553885"/>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line="280" w:lineRule="exact"/>
            </w:pPr>
          </w:p>
        </w:tc>
        <w:tc>
          <w:tcPr>
            <w:tcW w:w="156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line="280" w:lineRule="exact"/>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w:t>
            </w:r>
          </w:p>
        </w:tc>
        <w:tc>
          <w:tcPr>
            <w:tcW w:w="10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处置</w:t>
            </w: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line="280" w:lineRule="exact"/>
            </w:pPr>
          </w:p>
        </w:tc>
      </w:tr>
      <w:tr w:rsidR="00F67D6F" w:rsidRPr="00980BC4" w:rsidTr="00790CC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rPr>
                <w:rFonts w:ascii="宋体" w:eastAsia="宋体" w:hAnsi="宋体" w:cs="宋体"/>
                <w:sz w:val="18"/>
                <w:szCs w:val="18"/>
              </w:rPr>
            </w:pPr>
            <w:r w:rsidRPr="00980BC4">
              <w:rPr>
                <w:rFonts w:ascii="宋体" w:eastAsia="宋体" w:hAnsi="宋体" w:cs="宋体"/>
                <w:sz w:val="18"/>
                <w:szCs w:val="18"/>
              </w:rPr>
              <w:lastRenderedPageBreak/>
              <w:t>沈阳含能</w:t>
            </w:r>
          </w:p>
        </w:tc>
        <w:tc>
          <w:tcPr>
            <w:tcW w:w="15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57,668,942.23</w:t>
            </w:r>
          </w:p>
        </w:tc>
        <w:tc>
          <w:tcPr>
            <w:tcW w:w="15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57,668,942.23</w:t>
            </w:r>
          </w:p>
        </w:tc>
      </w:tr>
      <w:tr w:rsidR="00F67D6F" w:rsidRPr="00980BC4" w:rsidTr="00790CC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90CCF">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5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57,668,942.23</w:t>
            </w:r>
          </w:p>
        </w:tc>
        <w:tc>
          <w:tcPr>
            <w:tcW w:w="15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0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90CCF">
            <w:pPr>
              <w:spacing w:line="280" w:lineRule="exact"/>
              <w:jc w:val="right"/>
              <w:rPr>
                <w:rFonts w:ascii="宋体" w:eastAsia="宋体" w:hAnsi="宋体" w:cs="宋体"/>
                <w:sz w:val="18"/>
                <w:szCs w:val="18"/>
              </w:rPr>
            </w:pPr>
            <w:r w:rsidRPr="00980BC4">
              <w:rPr>
                <w:rFonts w:ascii="宋体" w:eastAsia="宋体" w:hAnsi="宋体" w:cs="宋体"/>
                <w:sz w:val="18"/>
                <w:szCs w:val="18"/>
              </w:rPr>
              <w:t>57,668,942.23</w:t>
            </w:r>
          </w:p>
        </w:tc>
      </w:tr>
    </w:tbl>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商誉所在资产组或资产组组合的相关信息</w:t>
      </w:r>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上述公司商誉减值测试的资产组或资产组组合的构成情况如下：</w:t>
      </w:r>
    </w:p>
    <w:tbl>
      <w:tblPr>
        <w:tblW w:w="9003" w:type="dxa"/>
        <w:tblCellMar>
          <w:top w:w="15" w:type="dxa"/>
          <w:left w:w="15" w:type="dxa"/>
          <w:bottom w:w="15" w:type="dxa"/>
          <w:right w:w="15" w:type="dxa"/>
        </w:tblCellMar>
        <w:tblLook w:val="04A0"/>
      </w:tblPr>
      <w:tblGrid>
        <w:gridCol w:w="1143"/>
        <w:gridCol w:w="7860"/>
      </w:tblGrid>
      <w:tr w:rsidR="00F67D6F" w:rsidRPr="00980BC4" w:rsidTr="00F67D6F">
        <w:trPr>
          <w:divId w:val="969553885"/>
          <w:trHeight w:val="369"/>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790CCF">
            <w:pPr>
              <w:pStyle w:val="a3"/>
              <w:spacing w:line="360" w:lineRule="atLeast"/>
              <w:jc w:val="center"/>
              <w:rPr>
                <w:rFonts w:asciiTheme="minorEastAsia" w:eastAsiaTheme="minorEastAsia" w:hAnsiTheme="minorEastAsia" w:cs="Times New Roman"/>
                <w:b/>
                <w:sz w:val="21"/>
                <w:szCs w:val="21"/>
              </w:rPr>
            </w:pPr>
            <w:r w:rsidRPr="00980BC4">
              <w:rPr>
                <w:rFonts w:asciiTheme="minorEastAsia" w:eastAsiaTheme="minorEastAsia" w:hAnsiTheme="minorEastAsia" w:cs="Times New Roman" w:hint="eastAsia"/>
                <w:b/>
                <w:sz w:val="21"/>
                <w:szCs w:val="21"/>
              </w:rPr>
              <w:t>项目</w:t>
            </w:r>
          </w:p>
        </w:tc>
        <w:tc>
          <w:tcPr>
            <w:tcW w:w="77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790CCF">
            <w:pPr>
              <w:pStyle w:val="a3"/>
              <w:spacing w:line="360" w:lineRule="atLeast"/>
              <w:jc w:val="center"/>
              <w:rPr>
                <w:rFonts w:asciiTheme="minorEastAsia" w:eastAsiaTheme="minorEastAsia" w:hAnsiTheme="minorEastAsia" w:cs="Times New Roman"/>
                <w:b/>
                <w:sz w:val="21"/>
                <w:szCs w:val="21"/>
              </w:rPr>
            </w:pPr>
            <w:r w:rsidRPr="00980BC4">
              <w:rPr>
                <w:rFonts w:asciiTheme="minorEastAsia" w:eastAsiaTheme="minorEastAsia" w:hAnsiTheme="minorEastAsia" w:cs="Times New Roman" w:hint="eastAsia"/>
                <w:b/>
                <w:sz w:val="21"/>
                <w:szCs w:val="21"/>
              </w:rPr>
              <w:t>构成</w:t>
            </w:r>
          </w:p>
        </w:tc>
      </w:tr>
      <w:tr w:rsidR="00F67D6F" w:rsidRPr="00980BC4" w:rsidTr="00F67D6F">
        <w:trPr>
          <w:divId w:val="969553885"/>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line="360" w:lineRule="atLeast"/>
              <w:jc w:val="both"/>
              <w:rPr>
                <w:rFonts w:ascii="Times New Roman" w:hAnsi="Times New Roman" w:cs="Times New Roman"/>
                <w:sz w:val="21"/>
                <w:szCs w:val="21"/>
              </w:rPr>
            </w:pPr>
            <w:r w:rsidRPr="00980BC4">
              <w:rPr>
                <w:rFonts w:cs="Times New Roman" w:hint="eastAsia"/>
                <w:sz w:val="21"/>
                <w:szCs w:val="21"/>
              </w:rPr>
              <w:t>升华电源</w:t>
            </w:r>
          </w:p>
        </w:tc>
        <w:tc>
          <w:tcPr>
            <w:tcW w:w="7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line="360" w:lineRule="atLeast"/>
              <w:jc w:val="both"/>
              <w:rPr>
                <w:rFonts w:ascii="Times New Roman" w:hAnsi="Times New Roman" w:cs="Times New Roman"/>
                <w:sz w:val="21"/>
                <w:szCs w:val="21"/>
              </w:rPr>
            </w:pPr>
            <w:r w:rsidRPr="00980BC4">
              <w:rPr>
                <w:rFonts w:cs="Times New Roman" w:hint="eastAsia"/>
                <w:sz w:val="21"/>
                <w:szCs w:val="21"/>
              </w:rPr>
              <w:t>升华电源形成商誉的资产组涉及的资产，该资产组与购买日所确定的资产组一致。</w:t>
            </w:r>
          </w:p>
        </w:tc>
      </w:tr>
      <w:tr w:rsidR="00F67D6F" w:rsidRPr="00980BC4" w:rsidTr="00F67D6F">
        <w:trPr>
          <w:divId w:val="969553885"/>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line="360" w:lineRule="atLeast"/>
              <w:jc w:val="both"/>
              <w:rPr>
                <w:rFonts w:ascii="Times New Roman" w:hAnsi="Times New Roman" w:cs="Times New Roman"/>
                <w:sz w:val="21"/>
                <w:szCs w:val="21"/>
              </w:rPr>
            </w:pPr>
            <w:r w:rsidRPr="00980BC4">
              <w:rPr>
                <w:rFonts w:cs="Times New Roman" w:hint="eastAsia"/>
                <w:sz w:val="21"/>
                <w:szCs w:val="21"/>
              </w:rPr>
              <w:t>沈阳含能</w:t>
            </w:r>
          </w:p>
        </w:tc>
        <w:tc>
          <w:tcPr>
            <w:tcW w:w="7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line="360" w:lineRule="atLeast"/>
              <w:jc w:val="both"/>
              <w:rPr>
                <w:rFonts w:ascii="Times New Roman" w:hAnsi="Times New Roman" w:cs="Times New Roman"/>
                <w:sz w:val="21"/>
                <w:szCs w:val="21"/>
              </w:rPr>
            </w:pPr>
            <w:r w:rsidRPr="00980BC4">
              <w:rPr>
                <w:rFonts w:cs="Times New Roman" w:hint="eastAsia"/>
                <w:sz w:val="21"/>
                <w:szCs w:val="21"/>
              </w:rPr>
              <w:t>沈阳含能形成商誉的资产组涉及的资产，该资产组与购买日所确定的资产组一致。</w:t>
            </w:r>
          </w:p>
        </w:tc>
      </w:tr>
      <w:tr w:rsidR="00F67D6F" w:rsidRPr="00980BC4" w:rsidTr="00F67D6F">
        <w:trPr>
          <w:divId w:val="969553885"/>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line="360" w:lineRule="atLeast"/>
              <w:jc w:val="both"/>
              <w:rPr>
                <w:rFonts w:ascii="Times New Roman" w:hAnsi="Times New Roman" w:cs="Times New Roman"/>
                <w:sz w:val="21"/>
                <w:szCs w:val="21"/>
              </w:rPr>
            </w:pPr>
            <w:r w:rsidRPr="00980BC4">
              <w:rPr>
                <w:rFonts w:cs="Times New Roman" w:hint="eastAsia"/>
                <w:sz w:val="21"/>
                <w:szCs w:val="21"/>
              </w:rPr>
              <w:t>沈阳非晶</w:t>
            </w:r>
          </w:p>
        </w:tc>
        <w:tc>
          <w:tcPr>
            <w:tcW w:w="7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line="360" w:lineRule="atLeast"/>
              <w:jc w:val="both"/>
              <w:rPr>
                <w:rFonts w:ascii="Times New Roman" w:hAnsi="Times New Roman" w:cs="Times New Roman"/>
                <w:sz w:val="21"/>
                <w:szCs w:val="21"/>
              </w:rPr>
            </w:pPr>
            <w:r w:rsidRPr="00980BC4">
              <w:rPr>
                <w:rFonts w:cs="Times New Roman" w:hint="eastAsia"/>
                <w:sz w:val="21"/>
                <w:szCs w:val="21"/>
              </w:rPr>
              <w:t>沈阳非晶形成商誉的资产组涉及的资产，该资产组与购买日所确定的资产组一致。</w:t>
            </w:r>
          </w:p>
        </w:tc>
      </w:tr>
    </w:tbl>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说明商誉减值测试过程、关键参数（如预计未来现金流量现值时的预测期增长率、稳定期增长率、利润率、折现率、预测期等）及商誉减值损失的确认方法：</w:t>
      </w:r>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1</w:t>
      </w:r>
      <w:r w:rsidRPr="00980BC4">
        <w:rPr>
          <w:rFonts w:ascii="仿宋" w:eastAsia="仿宋" w:hAnsi="仿宋" w:cs="Times New Roman" w:hint="eastAsia"/>
          <w:b/>
          <w:sz w:val="28"/>
          <w:szCs w:val="28"/>
        </w:rPr>
        <w:t>）可收回金额的确定方法</w:t>
      </w:r>
    </w:p>
    <w:tbl>
      <w:tblPr>
        <w:tblW w:w="8931" w:type="dxa"/>
        <w:tblCellMar>
          <w:left w:w="0" w:type="dxa"/>
          <w:right w:w="0" w:type="dxa"/>
        </w:tblCellMar>
        <w:tblLook w:val="04A0"/>
      </w:tblPr>
      <w:tblGrid>
        <w:gridCol w:w="1843"/>
        <w:gridCol w:w="7088"/>
      </w:tblGrid>
      <w:tr w:rsidR="00F67D6F" w:rsidRPr="00980BC4" w:rsidTr="00F67D6F">
        <w:trPr>
          <w:divId w:val="969553885"/>
          <w:trHeight w:val="369"/>
          <w:tblHeader/>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790CCF">
            <w:pPr>
              <w:pStyle w:val="a3"/>
              <w:spacing w:before="0" w:beforeAutospacing="0" w:after="0" w:afterAutospacing="0"/>
              <w:jc w:val="center"/>
              <w:rPr>
                <w:rFonts w:ascii="Times New Roman" w:hAnsi="Times New Roman" w:cs="Times New Roman"/>
                <w:b/>
                <w:sz w:val="21"/>
                <w:szCs w:val="21"/>
              </w:rPr>
            </w:pPr>
            <w:r w:rsidRPr="00980BC4">
              <w:rPr>
                <w:rFonts w:cs="Times New Roman" w:hint="eastAsia"/>
                <w:b/>
                <w:sz w:val="21"/>
                <w:szCs w:val="21"/>
              </w:rPr>
              <w:t>项目</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790CCF">
            <w:pPr>
              <w:pStyle w:val="a3"/>
              <w:spacing w:before="0" w:beforeAutospacing="0" w:after="0" w:afterAutospacing="0"/>
              <w:jc w:val="center"/>
              <w:rPr>
                <w:rFonts w:ascii="Times New Roman" w:hAnsi="Times New Roman" w:cs="Times New Roman"/>
                <w:b/>
                <w:sz w:val="21"/>
                <w:szCs w:val="21"/>
              </w:rPr>
            </w:pPr>
            <w:r w:rsidRPr="00980BC4">
              <w:rPr>
                <w:rFonts w:cs="Times New Roman" w:hint="eastAsia"/>
                <w:b/>
                <w:sz w:val="21"/>
                <w:szCs w:val="21"/>
              </w:rPr>
              <w:t>可收回金额的确定方法</w:t>
            </w:r>
          </w:p>
        </w:tc>
      </w:tr>
      <w:tr w:rsidR="00F67D6F" w:rsidRPr="00980BC4" w:rsidTr="00F67D6F">
        <w:trPr>
          <w:divId w:val="969553885"/>
          <w:trHeight w:val="36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both"/>
              <w:rPr>
                <w:rFonts w:ascii="Times New Roman" w:hAnsi="Times New Roman" w:cs="Times New Roman"/>
                <w:sz w:val="21"/>
                <w:szCs w:val="21"/>
              </w:rPr>
            </w:pPr>
            <w:r w:rsidRPr="00980BC4">
              <w:rPr>
                <w:rFonts w:cs="Times New Roman" w:hint="eastAsia"/>
                <w:sz w:val="21"/>
                <w:szCs w:val="21"/>
              </w:rPr>
              <w:t>升华电源</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资产组预计未来现金流量的现值</w:t>
            </w:r>
          </w:p>
        </w:tc>
      </w:tr>
      <w:tr w:rsidR="00F67D6F" w:rsidRPr="00980BC4" w:rsidTr="00F67D6F">
        <w:trPr>
          <w:divId w:val="969553885"/>
          <w:trHeight w:val="36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both"/>
              <w:rPr>
                <w:rFonts w:ascii="Times New Roman" w:hAnsi="Times New Roman" w:cs="Times New Roman"/>
                <w:sz w:val="21"/>
                <w:szCs w:val="21"/>
              </w:rPr>
            </w:pPr>
            <w:r w:rsidRPr="00980BC4">
              <w:rPr>
                <w:rFonts w:cs="Times New Roman" w:hint="eastAsia"/>
                <w:sz w:val="21"/>
                <w:szCs w:val="21"/>
              </w:rPr>
              <w:t>沈阳含能</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资产组预计未来现金流量的现值</w:t>
            </w:r>
          </w:p>
        </w:tc>
      </w:tr>
      <w:tr w:rsidR="00F67D6F" w:rsidRPr="00980BC4" w:rsidTr="00F67D6F">
        <w:trPr>
          <w:divId w:val="969553885"/>
          <w:trHeight w:val="36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both"/>
              <w:rPr>
                <w:rFonts w:ascii="Times New Roman" w:hAnsi="Times New Roman" w:cs="Times New Roman"/>
                <w:sz w:val="21"/>
                <w:szCs w:val="21"/>
              </w:rPr>
            </w:pPr>
            <w:r w:rsidRPr="00980BC4">
              <w:rPr>
                <w:rFonts w:cs="Times New Roman" w:hint="eastAsia"/>
                <w:sz w:val="21"/>
                <w:szCs w:val="21"/>
              </w:rPr>
              <w:t>沈阳非晶</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资产组预计未来现金流量的现值</w:t>
            </w:r>
          </w:p>
        </w:tc>
      </w:tr>
    </w:tbl>
    <w:p w:rsidR="00790CCF" w:rsidRPr="00980BC4" w:rsidRDefault="00F67D6F" w:rsidP="00790CCF">
      <w:pPr>
        <w:pStyle w:val="a3"/>
        <w:widowControl w:val="0"/>
        <w:spacing w:before="0" w:beforeAutospacing="0" w:after="0" w:afterAutospacing="0" w:line="560" w:lineRule="exact"/>
        <w:ind w:firstLine="561"/>
        <w:jc w:val="both"/>
        <w:divId w:val="969553885"/>
        <w:rPr>
          <w:rFonts w:ascii="仿宋" w:eastAsia="仿宋" w:hAnsi="仿宋" w:cs="Times New Roman"/>
          <w:b/>
          <w:sz w:val="28"/>
          <w:szCs w:val="28"/>
        </w:rPr>
      </w:pPr>
      <w:r w:rsidRPr="00980BC4">
        <w:rPr>
          <w:rFonts w:ascii="仿宋" w:eastAsia="仿宋" w:hAnsi="仿宋" w:cs="Times New Roman"/>
          <w:b/>
          <w:sz w:val="28"/>
          <w:szCs w:val="28"/>
        </w:rPr>
        <w:t>2</w:t>
      </w:r>
      <w:r w:rsidRPr="00980BC4">
        <w:rPr>
          <w:rFonts w:ascii="仿宋" w:eastAsia="仿宋" w:hAnsi="仿宋" w:cs="Times New Roman" w:hint="eastAsia"/>
          <w:b/>
          <w:sz w:val="28"/>
          <w:szCs w:val="28"/>
        </w:rPr>
        <w:t>）重要假设及依据</w:t>
      </w:r>
    </w:p>
    <w:p w:rsidR="00F67D6F" w:rsidRPr="00980BC4" w:rsidRDefault="00F67D6F" w:rsidP="00790CCF">
      <w:pPr>
        <w:pStyle w:val="a3"/>
        <w:widowControl w:val="0"/>
        <w:spacing w:before="0" w:beforeAutospacing="0" w:after="0" w:afterAutospacing="0" w:line="56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资产组的可收回金额均采用资产组的预计未来现金流量的现值；采用未来现金流量折现方法的重要假设及依据为：根据管理层批准的</w:t>
      </w:r>
      <w:r w:rsidRPr="00980BC4">
        <w:rPr>
          <w:rFonts w:ascii="仿宋" w:eastAsia="仿宋" w:hAnsi="仿宋" w:cs="Times New Roman"/>
          <w:sz w:val="28"/>
          <w:szCs w:val="28"/>
        </w:rPr>
        <w:t>5</w:t>
      </w:r>
      <w:r w:rsidRPr="00980BC4">
        <w:rPr>
          <w:rFonts w:ascii="仿宋" w:eastAsia="仿宋" w:hAnsi="仿宋" w:cs="Times New Roman" w:hint="eastAsia"/>
          <w:sz w:val="28"/>
          <w:szCs w:val="28"/>
        </w:rPr>
        <w:t>年期的财务预算基础上的现金流量预测来确定。</w:t>
      </w:r>
    </w:p>
    <w:p w:rsidR="00F67D6F" w:rsidRPr="00980BC4" w:rsidRDefault="00F67D6F" w:rsidP="00790CCF">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3</w:t>
      </w:r>
      <w:r w:rsidRPr="00980BC4">
        <w:rPr>
          <w:rFonts w:ascii="仿宋" w:eastAsia="仿宋" w:hAnsi="仿宋" w:cs="Times New Roman" w:hint="eastAsia"/>
          <w:b/>
          <w:sz w:val="28"/>
          <w:szCs w:val="28"/>
        </w:rPr>
        <w:t>）关键参数</w:t>
      </w:r>
    </w:p>
    <w:tbl>
      <w:tblPr>
        <w:tblW w:w="8685" w:type="dxa"/>
        <w:tblCellMar>
          <w:left w:w="0" w:type="dxa"/>
          <w:right w:w="0" w:type="dxa"/>
        </w:tblCellMar>
        <w:tblLook w:val="04A0"/>
      </w:tblPr>
      <w:tblGrid>
        <w:gridCol w:w="1134"/>
        <w:gridCol w:w="1510"/>
        <w:gridCol w:w="1510"/>
        <w:gridCol w:w="1510"/>
        <w:gridCol w:w="1707"/>
        <w:gridCol w:w="1314"/>
      </w:tblGrid>
      <w:tr w:rsidR="00F67D6F" w:rsidRPr="00980BC4" w:rsidTr="00F67D6F">
        <w:trPr>
          <w:divId w:val="969553885"/>
          <w:trHeight w:val="369"/>
          <w:tblHead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both"/>
              <w:rPr>
                <w:rFonts w:ascii="Times New Roman" w:hAnsi="Times New Roman" w:cs="Times New Roman"/>
                <w:sz w:val="21"/>
                <w:szCs w:val="21"/>
              </w:rPr>
            </w:pPr>
            <w:r w:rsidRPr="00980BC4">
              <w:rPr>
                <w:rFonts w:cs="Times New Roman" w:hint="eastAsia"/>
                <w:sz w:val="21"/>
                <w:szCs w:val="21"/>
              </w:rPr>
              <w:t>项目</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napToGrid w:val="0"/>
                <w:sz w:val="21"/>
                <w:szCs w:val="21"/>
              </w:rPr>
              <w:t>预测期</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预测期增长率</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稳定期增长率</w:t>
            </w:r>
          </w:p>
        </w:tc>
        <w:tc>
          <w:tcPr>
            <w:tcW w:w="17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利润率</w:t>
            </w:r>
          </w:p>
        </w:tc>
        <w:tc>
          <w:tcPr>
            <w:tcW w:w="13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7D6F" w:rsidRPr="00980BC4" w:rsidRDefault="00F67D6F"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折现率</w:t>
            </w:r>
          </w:p>
        </w:tc>
      </w:tr>
      <w:tr w:rsidR="00352914" w:rsidRPr="00980BC4" w:rsidTr="00F67D6F">
        <w:trPr>
          <w:divId w:val="969553885"/>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both"/>
              <w:rPr>
                <w:rFonts w:ascii="Times New Roman" w:hAnsi="Times New Roman" w:cs="Times New Roman"/>
                <w:sz w:val="21"/>
                <w:szCs w:val="21"/>
              </w:rPr>
            </w:pPr>
            <w:r w:rsidRPr="00980BC4">
              <w:rPr>
                <w:rFonts w:cs="Times New Roman" w:hint="eastAsia"/>
                <w:sz w:val="21"/>
                <w:szCs w:val="21"/>
              </w:rPr>
              <w:t>升华电源</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center"/>
              <w:rPr>
                <w:rFonts w:ascii="Times New Roman" w:hAnsi="Times New Roman" w:cs="Times New Roman"/>
                <w:sz w:val="21"/>
                <w:szCs w:val="21"/>
              </w:rPr>
            </w:pPr>
            <w:r w:rsidRPr="00980BC4">
              <w:rPr>
                <w:rFonts w:ascii="Times New Roman" w:hAnsi="Times New Roman" w:cs="Times New Roman"/>
                <w:sz w:val="21"/>
                <w:szCs w:val="21"/>
              </w:rPr>
              <w:t>2023-2027</w:t>
            </w:r>
            <w:r w:rsidRPr="00980BC4">
              <w:rPr>
                <w:rFonts w:cs="Times New Roman" w:hint="eastAsia"/>
                <w:sz w:val="21"/>
                <w:szCs w:val="21"/>
              </w:rPr>
              <w:t>年</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注</w:t>
            </w:r>
            <w:r w:rsidRPr="00980BC4">
              <w:rPr>
                <w:rFonts w:ascii="Times New Roman" w:hAnsi="Times New Roman" w:cs="Times New Roman"/>
                <w:sz w:val="21"/>
                <w:szCs w:val="21"/>
              </w:rPr>
              <w:t>1</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center"/>
              <w:rPr>
                <w:rFonts w:ascii="Times New Roman" w:hAnsi="Times New Roman" w:cs="Times New Roman"/>
                <w:sz w:val="21"/>
                <w:szCs w:val="21"/>
              </w:rPr>
            </w:pPr>
            <w:r w:rsidRPr="00980BC4">
              <w:rPr>
                <w:rFonts w:ascii="Times New Roman" w:hAnsi="Times New Roman" w:cs="Times New Roman"/>
                <w:sz w:val="21"/>
                <w:szCs w:val="21"/>
              </w:rPr>
              <w:t>0%</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264B53">
            <w:pPr>
              <w:pStyle w:val="a3"/>
              <w:spacing w:before="0" w:beforeAutospacing="0" w:after="0" w:afterAutospacing="0" w:line="360" w:lineRule="atLeast"/>
              <w:jc w:val="right"/>
              <w:rPr>
                <w:rFonts w:ascii="Times New Roman" w:hAnsi="Times New Roman" w:cs="Times New Roman"/>
                <w:sz w:val="21"/>
                <w:szCs w:val="21"/>
              </w:rPr>
            </w:pPr>
            <w:r w:rsidRPr="00AD3204">
              <w:rPr>
                <w:rFonts w:ascii="Times New Roman" w:hAnsi="Times New Roman" w:cs="Times New Roman"/>
                <w:sz w:val="21"/>
                <w:szCs w:val="21"/>
              </w:rPr>
              <w:t>34.99%-36.22%</w:t>
            </w: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line="360" w:lineRule="atLeast"/>
              <w:jc w:val="right"/>
              <w:rPr>
                <w:rFonts w:ascii="Times New Roman" w:hAnsi="Times New Roman" w:cs="Times New Roman"/>
                <w:sz w:val="21"/>
                <w:szCs w:val="21"/>
              </w:rPr>
            </w:pPr>
            <w:r w:rsidRPr="00980BC4">
              <w:rPr>
                <w:rFonts w:ascii="Times New Roman" w:hAnsi="Times New Roman" w:cs="Times New Roman"/>
                <w:sz w:val="21"/>
                <w:szCs w:val="21"/>
              </w:rPr>
              <w:t>12.11%</w:t>
            </w:r>
          </w:p>
        </w:tc>
      </w:tr>
      <w:tr w:rsidR="00352914" w:rsidRPr="00980BC4" w:rsidTr="00F67D6F">
        <w:trPr>
          <w:divId w:val="969553885"/>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both"/>
              <w:rPr>
                <w:rFonts w:ascii="Times New Roman" w:hAnsi="Times New Roman" w:cs="Times New Roman"/>
                <w:sz w:val="21"/>
                <w:szCs w:val="21"/>
              </w:rPr>
            </w:pPr>
            <w:r w:rsidRPr="00980BC4">
              <w:rPr>
                <w:rFonts w:cs="Times New Roman" w:hint="eastAsia"/>
                <w:sz w:val="21"/>
                <w:szCs w:val="21"/>
              </w:rPr>
              <w:t>沈阳含能</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center"/>
              <w:rPr>
                <w:rFonts w:ascii="Times New Roman" w:hAnsi="Times New Roman" w:cs="Times New Roman"/>
                <w:sz w:val="21"/>
                <w:szCs w:val="21"/>
              </w:rPr>
            </w:pPr>
            <w:r w:rsidRPr="00980BC4">
              <w:rPr>
                <w:rFonts w:ascii="Times New Roman" w:hAnsi="Times New Roman" w:cs="Times New Roman"/>
                <w:sz w:val="21"/>
                <w:szCs w:val="21"/>
              </w:rPr>
              <w:t>2023-2027</w:t>
            </w:r>
            <w:r w:rsidRPr="00980BC4">
              <w:rPr>
                <w:rFonts w:cs="Times New Roman" w:hint="eastAsia"/>
                <w:sz w:val="21"/>
                <w:szCs w:val="21"/>
              </w:rPr>
              <w:t>年</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注</w:t>
            </w:r>
            <w:r w:rsidRPr="00980BC4">
              <w:rPr>
                <w:rFonts w:ascii="Times New Roman" w:hAnsi="Times New Roman" w:cs="Times New Roman"/>
                <w:sz w:val="21"/>
                <w:szCs w:val="21"/>
              </w:rPr>
              <w:t>2</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center"/>
              <w:rPr>
                <w:rFonts w:ascii="Times New Roman" w:hAnsi="Times New Roman" w:cs="Times New Roman"/>
                <w:sz w:val="21"/>
                <w:szCs w:val="21"/>
              </w:rPr>
            </w:pPr>
            <w:r w:rsidRPr="00980BC4">
              <w:rPr>
                <w:rFonts w:ascii="Times New Roman" w:hAnsi="Times New Roman" w:cs="Times New Roman"/>
                <w:sz w:val="21"/>
                <w:szCs w:val="21"/>
              </w:rPr>
              <w:t>0%</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C0FA0" w:rsidP="00264B53">
            <w:pPr>
              <w:pStyle w:val="a3"/>
              <w:spacing w:before="0" w:beforeAutospacing="0" w:after="0" w:afterAutospacing="0" w:line="360" w:lineRule="atLeast"/>
              <w:jc w:val="right"/>
              <w:rPr>
                <w:rFonts w:ascii="Times New Roman" w:hAnsi="Times New Roman" w:cs="Times New Roman"/>
                <w:sz w:val="21"/>
                <w:szCs w:val="21"/>
              </w:rPr>
            </w:pPr>
            <w:r w:rsidRPr="00980BC4">
              <w:rPr>
                <w:rFonts w:ascii="Times New Roman" w:hAnsi="Times New Roman" w:cs="Times New Roman"/>
                <w:sz w:val="21"/>
                <w:szCs w:val="21"/>
              </w:rPr>
              <w:t>24.</w:t>
            </w:r>
            <w:r>
              <w:rPr>
                <w:rFonts w:ascii="Times New Roman" w:hAnsi="Times New Roman" w:cs="Times New Roman"/>
                <w:sz w:val="21"/>
                <w:szCs w:val="21"/>
              </w:rPr>
              <w:t>26</w:t>
            </w:r>
            <w:r w:rsidRPr="00980BC4">
              <w:rPr>
                <w:rFonts w:ascii="Times New Roman" w:hAnsi="Times New Roman" w:cs="Times New Roman"/>
                <w:sz w:val="21"/>
                <w:szCs w:val="21"/>
              </w:rPr>
              <w:t>%-30.</w:t>
            </w:r>
            <w:r>
              <w:rPr>
                <w:rFonts w:ascii="Times New Roman" w:hAnsi="Times New Roman" w:cs="Times New Roman"/>
                <w:sz w:val="21"/>
                <w:szCs w:val="21"/>
              </w:rPr>
              <w:t>36</w:t>
            </w:r>
            <w:r w:rsidRPr="00980BC4">
              <w:rPr>
                <w:rFonts w:ascii="Times New Roman" w:hAnsi="Times New Roman" w:cs="Times New Roman"/>
                <w:sz w:val="21"/>
                <w:szCs w:val="21"/>
              </w:rPr>
              <w:t>%</w:t>
            </w: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line="360" w:lineRule="atLeast"/>
              <w:jc w:val="right"/>
              <w:rPr>
                <w:rFonts w:ascii="Times New Roman" w:hAnsi="Times New Roman" w:cs="Times New Roman"/>
                <w:sz w:val="21"/>
                <w:szCs w:val="21"/>
              </w:rPr>
            </w:pPr>
            <w:r w:rsidRPr="00980BC4">
              <w:rPr>
                <w:rFonts w:ascii="Times New Roman" w:hAnsi="Times New Roman" w:cs="Times New Roman"/>
                <w:sz w:val="21"/>
                <w:szCs w:val="21"/>
              </w:rPr>
              <w:t>12.02%</w:t>
            </w:r>
          </w:p>
        </w:tc>
      </w:tr>
      <w:tr w:rsidR="00352914" w:rsidRPr="00980BC4" w:rsidTr="00F67D6F">
        <w:trPr>
          <w:divId w:val="969553885"/>
          <w:trHeight w:val="369"/>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both"/>
              <w:rPr>
                <w:rFonts w:ascii="Times New Roman" w:hAnsi="Times New Roman" w:cs="Times New Roman"/>
                <w:sz w:val="21"/>
                <w:szCs w:val="21"/>
              </w:rPr>
            </w:pPr>
            <w:r w:rsidRPr="00980BC4">
              <w:rPr>
                <w:rFonts w:cs="Times New Roman" w:hint="eastAsia"/>
                <w:sz w:val="21"/>
                <w:szCs w:val="21"/>
              </w:rPr>
              <w:t>沈阳非晶</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center"/>
              <w:rPr>
                <w:rFonts w:ascii="Times New Roman" w:hAnsi="Times New Roman" w:cs="Times New Roman"/>
                <w:sz w:val="21"/>
                <w:szCs w:val="21"/>
              </w:rPr>
            </w:pPr>
            <w:r w:rsidRPr="00980BC4">
              <w:rPr>
                <w:rFonts w:ascii="Times New Roman" w:hAnsi="Times New Roman" w:cs="Times New Roman"/>
                <w:sz w:val="21"/>
                <w:szCs w:val="21"/>
              </w:rPr>
              <w:t>2023-2027</w:t>
            </w:r>
            <w:r w:rsidRPr="00980BC4">
              <w:rPr>
                <w:rFonts w:cs="Times New Roman" w:hint="eastAsia"/>
                <w:sz w:val="21"/>
                <w:szCs w:val="21"/>
              </w:rPr>
              <w:t>年</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center"/>
              <w:rPr>
                <w:rFonts w:ascii="Times New Roman" w:hAnsi="Times New Roman" w:cs="Times New Roman"/>
                <w:sz w:val="21"/>
                <w:szCs w:val="21"/>
              </w:rPr>
            </w:pPr>
            <w:r w:rsidRPr="00980BC4">
              <w:rPr>
                <w:rFonts w:cs="Times New Roman" w:hint="eastAsia"/>
                <w:sz w:val="21"/>
                <w:szCs w:val="21"/>
              </w:rPr>
              <w:t>注</w:t>
            </w:r>
            <w:r w:rsidRPr="00980BC4">
              <w:rPr>
                <w:rFonts w:ascii="Times New Roman" w:hAnsi="Times New Roman" w:cs="Times New Roman"/>
                <w:sz w:val="21"/>
                <w:szCs w:val="21"/>
              </w:rPr>
              <w:t>3</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jc w:val="center"/>
              <w:rPr>
                <w:rFonts w:ascii="Times New Roman" w:hAnsi="Times New Roman" w:cs="Times New Roman"/>
                <w:sz w:val="21"/>
                <w:szCs w:val="21"/>
              </w:rPr>
            </w:pPr>
            <w:r w:rsidRPr="00980BC4">
              <w:rPr>
                <w:rFonts w:ascii="Times New Roman" w:hAnsi="Times New Roman" w:cs="Times New Roman"/>
                <w:sz w:val="21"/>
                <w:szCs w:val="21"/>
              </w:rPr>
              <w:t>0%</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264B53">
            <w:pPr>
              <w:pStyle w:val="a3"/>
              <w:spacing w:before="0" w:beforeAutospacing="0" w:after="0" w:afterAutospacing="0" w:line="360" w:lineRule="atLeast"/>
              <w:jc w:val="right"/>
              <w:rPr>
                <w:rFonts w:ascii="Times New Roman" w:hAnsi="Times New Roman" w:cs="Times New Roman"/>
                <w:sz w:val="21"/>
                <w:szCs w:val="21"/>
              </w:rPr>
            </w:pPr>
            <w:r w:rsidRPr="00AD3204">
              <w:rPr>
                <w:rFonts w:ascii="Times New Roman" w:hAnsi="Times New Roman" w:cs="Times New Roman"/>
                <w:sz w:val="21"/>
                <w:szCs w:val="21"/>
              </w:rPr>
              <w:t>-11.28%-14.76%</w:t>
            </w: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914" w:rsidRPr="00980BC4" w:rsidRDefault="00352914" w:rsidP="008D6E99">
            <w:pPr>
              <w:pStyle w:val="a3"/>
              <w:spacing w:before="0" w:beforeAutospacing="0" w:after="0" w:afterAutospacing="0" w:line="360" w:lineRule="atLeast"/>
              <w:jc w:val="right"/>
              <w:rPr>
                <w:rFonts w:ascii="Times New Roman" w:hAnsi="Times New Roman" w:cs="Times New Roman"/>
                <w:sz w:val="21"/>
                <w:szCs w:val="21"/>
              </w:rPr>
            </w:pPr>
            <w:r w:rsidRPr="00980BC4">
              <w:rPr>
                <w:rFonts w:ascii="Times New Roman" w:hAnsi="Times New Roman" w:cs="Times New Roman"/>
                <w:sz w:val="21"/>
                <w:szCs w:val="21"/>
              </w:rPr>
              <w:t>11.98%</w:t>
            </w:r>
          </w:p>
        </w:tc>
      </w:tr>
    </w:tbl>
    <w:p w:rsidR="00F67D6F" w:rsidRPr="00980BC4" w:rsidRDefault="00F67D6F" w:rsidP="00B7436F">
      <w:pPr>
        <w:pStyle w:val="a3"/>
        <w:widowControl w:val="0"/>
        <w:spacing w:before="0" w:beforeAutospacing="0" w:after="0" w:afterAutospacing="0" w:line="540" w:lineRule="exact"/>
        <w:ind w:firstLine="561"/>
        <w:jc w:val="both"/>
        <w:divId w:val="969553885"/>
        <w:rPr>
          <w:rFonts w:ascii="仿宋" w:eastAsia="仿宋" w:hAnsi="仿宋" w:cs="Times New Roman"/>
        </w:rPr>
      </w:pPr>
      <w:r w:rsidRPr="00980BC4">
        <w:rPr>
          <w:rFonts w:ascii="仿宋" w:eastAsia="仿宋" w:hAnsi="仿宋" w:cs="Times New Roman" w:hint="eastAsia"/>
        </w:rPr>
        <w:t>注</w:t>
      </w:r>
      <w:r w:rsidRPr="00980BC4">
        <w:rPr>
          <w:rFonts w:ascii="仿宋" w:eastAsia="仿宋" w:hAnsi="仿宋" w:cs="Times New Roman"/>
        </w:rPr>
        <w:t>1</w:t>
      </w:r>
      <w:r w:rsidRPr="00980BC4">
        <w:rPr>
          <w:rFonts w:ascii="仿宋" w:eastAsia="仿宋" w:hAnsi="仿宋" w:cs="Times New Roman" w:hint="eastAsia"/>
        </w:rPr>
        <w:t>：升华电源主要产品为</w:t>
      </w:r>
      <w:r w:rsidR="00DF46D6">
        <w:rPr>
          <w:rFonts w:ascii="仿宋" w:eastAsia="仿宋" w:hAnsi="仿宋" w:cs="Times New Roman" w:hint="eastAsia"/>
        </w:rPr>
        <w:t>电源及相关产品</w:t>
      </w:r>
      <w:r w:rsidRPr="00980BC4">
        <w:rPr>
          <w:rFonts w:ascii="仿宋" w:eastAsia="仿宋" w:hAnsi="仿宋" w:cs="Times New Roman" w:hint="eastAsia"/>
        </w:rPr>
        <w:t>，基于主要经营管理团队对未来发展趋势的判断及经营规划，升华电源预测</w:t>
      </w:r>
      <w:r w:rsidRPr="00980BC4">
        <w:rPr>
          <w:rFonts w:ascii="仿宋" w:eastAsia="仿宋" w:hAnsi="仿宋" w:cs="Times New Roman"/>
        </w:rPr>
        <w:t>2023</w:t>
      </w:r>
      <w:r w:rsidRPr="00980BC4">
        <w:rPr>
          <w:rFonts w:ascii="仿宋" w:eastAsia="仿宋" w:hAnsi="仿宋" w:cs="Times New Roman" w:hint="eastAsia"/>
        </w:rPr>
        <w:t>至</w:t>
      </w:r>
      <w:r w:rsidRPr="00980BC4">
        <w:rPr>
          <w:rFonts w:ascii="仿宋" w:eastAsia="仿宋" w:hAnsi="仿宋" w:cs="Times New Roman"/>
        </w:rPr>
        <w:t>2027</w:t>
      </w:r>
      <w:r w:rsidRPr="00980BC4">
        <w:rPr>
          <w:rFonts w:ascii="仿宋" w:eastAsia="仿宋" w:hAnsi="仿宋" w:cs="Times New Roman" w:hint="eastAsia"/>
        </w:rPr>
        <w:t>年，销售收入增长率分别为：</w:t>
      </w:r>
      <w:r w:rsidRPr="00980BC4">
        <w:rPr>
          <w:rFonts w:ascii="仿宋" w:eastAsia="仿宋" w:hAnsi="仿宋" w:cs="Times New Roman"/>
        </w:rPr>
        <w:t>3%</w:t>
      </w:r>
      <w:r w:rsidRPr="00980BC4">
        <w:rPr>
          <w:rFonts w:ascii="仿宋" w:eastAsia="仿宋" w:hAnsi="仿宋" w:cs="Times New Roman" w:hint="eastAsia"/>
        </w:rPr>
        <w:t>、</w:t>
      </w:r>
      <w:r w:rsidRPr="00980BC4">
        <w:rPr>
          <w:rFonts w:ascii="仿宋" w:eastAsia="仿宋" w:hAnsi="仿宋" w:cs="Times New Roman"/>
        </w:rPr>
        <w:t>2%</w:t>
      </w:r>
      <w:r w:rsidRPr="00980BC4">
        <w:rPr>
          <w:rFonts w:ascii="仿宋" w:eastAsia="仿宋" w:hAnsi="仿宋" w:cs="Times New Roman" w:hint="eastAsia"/>
        </w:rPr>
        <w:t>、</w:t>
      </w:r>
      <w:r w:rsidRPr="00980BC4">
        <w:rPr>
          <w:rFonts w:ascii="仿宋" w:eastAsia="仿宋" w:hAnsi="仿宋" w:cs="Times New Roman"/>
        </w:rPr>
        <w:t>1%</w:t>
      </w:r>
      <w:r w:rsidRPr="00980BC4">
        <w:rPr>
          <w:rFonts w:ascii="仿宋" w:eastAsia="仿宋" w:hAnsi="仿宋" w:cs="Times New Roman" w:hint="eastAsia"/>
        </w:rPr>
        <w:t>、</w:t>
      </w:r>
      <w:r w:rsidRPr="00980BC4">
        <w:rPr>
          <w:rFonts w:ascii="仿宋" w:eastAsia="仿宋" w:hAnsi="仿宋" w:cs="Times New Roman"/>
        </w:rPr>
        <w:t>1%</w:t>
      </w:r>
      <w:r w:rsidRPr="00980BC4">
        <w:rPr>
          <w:rFonts w:ascii="仿宋" w:eastAsia="仿宋" w:hAnsi="仿宋" w:cs="Times New Roman" w:hint="eastAsia"/>
        </w:rPr>
        <w:t>、</w:t>
      </w:r>
      <w:r w:rsidRPr="00980BC4">
        <w:rPr>
          <w:rFonts w:ascii="仿宋" w:eastAsia="仿宋" w:hAnsi="仿宋" w:cs="Times New Roman"/>
        </w:rPr>
        <w:t>1%</w:t>
      </w:r>
      <w:r w:rsidRPr="00980BC4">
        <w:rPr>
          <w:rFonts w:ascii="仿宋" w:eastAsia="仿宋" w:hAnsi="仿宋" w:cs="Times New Roman" w:hint="eastAsia"/>
        </w:rPr>
        <w:t>。</w:t>
      </w:r>
    </w:p>
    <w:p w:rsidR="00F67D6F" w:rsidRPr="00980BC4" w:rsidRDefault="00F67D6F" w:rsidP="00B7436F">
      <w:pPr>
        <w:pStyle w:val="a3"/>
        <w:widowControl w:val="0"/>
        <w:spacing w:before="0" w:beforeAutospacing="0" w:after="0" w:afterAutospacing="0" w:line="540" w:lineRule="exact"/>
        <w:ind w:firstLine="561"/>
        <w:jc w:val="both"/>
        <w:divId w:val="969553885"/>
        <w:rPr>
          <w:rFonts w:ascii="仿宋" w:eastAsia="仿宋" w:hAnsi="仿宋" w:cs="Times New Roman"/>
        </w:rPr>
      </w:pPr>
      <w:r w:rsidRPr="00980BC4">
        <w:rPr>
          <w:rFonts w:ascii="仿宋" w:eastAsia="仿宋" w:hAnsi="仿宋" w:cs="Times New Roman" w:hint="eastAsia"/>
        </w:rPr>
        <w:lastRenderedPageBreak/>
        <w:t>注</w:t>
      </w:r>
      <w:r w:rsidRPr="00980BC4">
        <w:rPr>
          <w:rFonts w:ascii="仿宋" w:eastAsia="仿宋" w:hAnsi="仿宋" w:cs="Times New Roman"/>
        </w:rPr>
        <w:t>2</w:t>
      </w:r>
      <w:r w:rsidRPr="00980BC4">
        <w:rPr>
          <w:rFonts w:ascii="仿宋" w:eastAsia="仿宋" w:hAnsi="仿宋" w:cs="Times New Roman" w:hint="eastAsia"/>
        </w:rPr>
        <w:t>：沈阳含能主要产品为</w:t>
      </w:r>
      <w:r w:rsidR="00DF46D6" w:rsidRPr="001138C9">
        <w:rPr>
          <w:rFonts w:ascii="仿宋" w:eastAsia="仿宋" w:hAnsi="仿宋" w:cs="Times New Roman" w:hint="eastAsia"/>
        </w:rPr>
        <w:t>高性能特种合金材料制品</w:t>
      </w:r>
      <w:r w:rsidRPr="00980BC4">
        <w:rPr>
          <w:rFonts w:ascii="仿宋" w:eastAsia="仿宋" w:hAnsi="仿宋" w:cs="Times New Roman" w:hint="eastAsia"/>
        </w:rPr>
        <w:t>，基于主要经营管理团队对未来发展趋势的判断及经营规划，沈阳含能预测</w:t>
      </w:r>
      <w:r w:rsidRPr="00980BC4">
        <w:rPr>
          <w:rFonts w:ascii="仿宋" w:eastAsia="仿宋" w:hAnsi="仿宋" w:cs="Times New Roman"/>
        </w:rPr>
        <w:t>2023</w:t>
      </w:r>
      <w:r w:rsidRPr="00980BC4">
        <w:rPr>
          <w:rFonts w:ascii="仿宋" w:eastAsia="仿宋" w:hAnsi="仿宋" w:cs="Times New Roman" w:hint="eastAsia"/>
        </w:rPr>
        <w:t>至</w:t>
      </w:r>
      <w:r w:rsidRPr="00980BC4">
        <w:rPr>
          <w:rFonts w:ascii="仿宋" w:eastAsia="仿宋" w:hAnsi="仿宋" w:cs="Times New Roman"/>
        </w:rPr>
        <w:t>2027</w:t>
      </w:r>
      <w:r w:rsidRPr="00980BC4">
        <w:rPr>
          <w:rFonts w:ascii="仿宋" w:eastAsia="仿宋" w:hAnsi="仿宋" w:cs="Times New Roman" w:hint="eastAsia"/>
        </w:rPr>
        <w:t>年，销售收入增长率分别为</w:t>
      </w:r>
      <w:r w:rsidR="003C0FA0">
        <w:rPr>
          <w:rFonts w:ascii="仿宋" w:eastAsia="仿宋" w:hAnsi="仿宋" w:cs="Times New Roman"/>
        </w:rPr>
        <w:t>2.71</w:t>
      </w:r>
      <w:r w:rsidR="003C0FA0" w:rsidRPr="00980BC4">
        <w:rPr>
          <w:rFonts w:ascii="仿宋" w:eastAsia="仿宋" w:hAnsi="仿宋" w:cs="Times New Roman"/>
        </w:rPr>
        <w:t>%</w:t>
      </w:r>
      <w:r w:rsidR="003C0FA0" w:rsidRPr="00980BC4">
        <w:rPr>
          <w:rFonts w:ascii="仿宋" w:eastAsia="仿宋" w:hAnsi="仿宋" w:cs="Times New Roman" w:hint="eastAsia"/>
        </w:rPr>
        <w:t>、</w:t>
      </w:r>
      <w:r w:rsidR="003C0FA0">
        <w:rPr>
          <w:rFonts w:ascii="仿宋" w:eastAsia="仿宋" w:hAnsi="仿宋" w:cs="Times New Roman"/>
        </w:rPr>
        <w:t>5.00</w:t>
      </w:r>
      <w:r w:rsidR="003C0FA0" w:rsidRPr="00980BC4">
        <w:rPr>
          <w:rFonts w:ascii="仿宋" w:eastAsia="仿宋" w:hAnsi="仿宋" w:cs="Times New Roman"/>
        </w:rPr>
        <w:t>%</w:t>
      </w:r>
      <w:r w:rsidR="003C0FA0" w:rsidRPr="00980BC4">
        <w:rPr>
          <w:rFonts w:ascii="仿宋" w:eastAsia="仿宋" w:hAnsi="仿宋" w:cs="Times New Roman" w:hint="eastAsia"/>
        </w:rPr>
        <w:t>、</w:t>
      </w:r>
      <w:r w:rsidR="003C0FA0">
        <w:rPr>
          <w:rFonts w:ascii="仿宋" w:eastAsia="仿宋" w:hAnsi="仿宋" w:cs="Times New Roman"/>
        </w:rPr>
        <w:t>5.00</w:t>
      </w:r>
      <w:r w:rsidR="003C0FA0" w:rsidRPr="00980BC4">
        <w:rPr>
          <w:rFonts w:ascii="仿宋" w:eastAsia="仿宋" w:hAnsi="仿宋" w:cs="Times New Roman"/>
        </w:rPr>
        <w:t>%</w:t>
      </w:r>
      <w:r w:rsidR="003C0FA0" w:rsidRPr="00980BC4">
        <w:rPr>
          <w:rFonts w:ascii="仿宋" w:eastAsia="仿宋" w:hAnsi="仿宋" w:cs="Times New Roman" w:hint="eastAsia"/>
        </w:rPr>
        <w:t>、</w:t>
      </w:r>
      <w:r w:rsidR="003C0FA0">
        <w:rPr>
          <w:rFonts w:ascii="仿宋" w:eastAsia="仿宋" w:hAnsi="仿宋" w:cs="Times New Roman"/>
        </w:rPr>
        <w:t>5.00</w:t>
      </w:r>
      <w:r w:rsidR="003C0FA0" w:rsidRPr="00980BC4">
        <w:rPr>
          <w:rFonts w:ascii="仿宋" w:eastAsia="仿宋" w:hAnsi="仿宋" w:cs="Times New Roman"/>
        </w:rPr>
        <w:t>%</w:t>
      </w:r>
      <w:r w:rsidR="003C0FA0" w:rsidRPr="00980BC4">
        <w:rPr>
          <w:rFonts w:ascii="仿宋" w:eastAsia="仿宋" w:hAnsi="仿宋" w:cs="Times New Roman" w:hint="eastAsia"/>
        </w:rPr>
        <w:t>、</w:t>
      </w:r>
      <w:r w:rsidR="003C0FA0">
        <w:rPr>
          <w:rFonts w:ascii="仿宋" w:eastAsia="仿宋" w:hAnsi="仿宋" w:cs="Times New Roman"/>
        </w:rPr>
        <w:t>5.00</w:t>
      </w:r>
      <w:r w:rsidR="003C0FA0" w:rsidRPr="00980BC4">
        <w:rPr>
          <w:rFonts w:ascii="仿宋" w:eastAsia="仿宋" w:hAnsi="仿宋" w:cs="Times New Roman"/>
        </w:rPr>
        <w:t>%</w:t>
      </w:r>
      <w:r w:rsidR="003C0FA0" w:rsidRPr="00980BC4">
        <w:rPr>
          <w:rFonts w:ascii="仿宋" w:eastAsia="仿宋" w:hAnsi="仿宋" w:cs="Times New Roman" w:hint="eastAsia"/>
        </w:rPr>
        <w:t>。</w:t>
      </w:r>
    </w:p>
    <w:p w:rsidR="00F67D6F" w:rsidRPr="00980BC4" w:rsidRDefault="00F67D6F" w:rsidP="00B7436F">
      <w:pPr>
        <w:pStyle w:val="a3"/>
        <w:widowControl w:val="0"/>
        <w:spacing w:before="0" w:beforeAutospacing="0" w:after="0" w:afterAutospacing="0" w:line="540" w:lineRule="exact"/>
        <w:ind w:firstLine="561"/>
        <w:jc w:val="both"/>
        <w:divId w:val="969553885"/>
        <w:rPr>
          <w:rFonts w:ascii="仿宋" w:eastAsia="仿宋" w:hAnsi="仿宋" w:cs="Times New Roman"/>
        </w:rPr>
      </w:pPr>
      <w:r w:rsidRPr="00980BC4">
        <w:rPr>
          <w:rFonts w:ascii="仿宋" w:eastAsia="仿宋" w:hAnsi="仿宋" w:cs="Times New Roman" w:hint="eastAsia"/>
        </w:rPr>
        <w:t>注</w:t>
      </w:r>
      <w:r w:rsidRPr="00980BC4">
        <w:rPr>
          <w:rFonts w:ascii="仿宋" w:eastAsia="仿宋" w:hAnsi="仿宋" w:cs="Times New Roman"/>
        </w:rPr>
        <w:t>3</w:t>
      </w:r>
      <w:r w:rsidRPr="00980BC4">
        <w:rPr>
          <w:rFonts w:ascii="仿宋" w:eastAsia="仿宋" w:hAnsi="仿宋" w:cs="Times New Roman" w:hint="eastAsia"/>
        </w:rPr>
        <w:t>：沈阳非晶主要产品为</w:t>
      </w:r>
      <w:r w:rsidR="00DF46D6" w:rsidRPr="001138C9">
        <w:rPr>
          <w:rFonts w:ascii="仿宋" w:eastAsia="仿宋" w:hAnsi="仿宋" w:cs="Times New Roman" w:hint="eastAsia"/>
        </w:rPr>
        <w:t>高性能特种合金材料制品</w:t>
      </w:r>
      <w:r w:rsidRPr="00980BC4">
        <w:rPr>
          <w:rFonts w:ascii="仿宋" w:eastAsia="仿宋" w:hAnsi="仿宋" w:cs="Times New Roman" w:hint="eastAsia"/>
        </w:rPr>
        <w:t>，基于主要经营管理团队对未来发展趋势的判断及经营规划，沈阳非晶预测</w:t>
      </w:r>
      <w:r w:rsidRPr="00980BC4">
        <w:rPr>
          <w:rFonts w:ascii="仿宋" w:eastAsia="仿宋" w:hAnsi="仿宋" w:cs="Times New Roman"/>
        </w:rPr>
        <w:t>2023</w:t>
      </w:r>
      <w:r w:rsidRPr="00980BC4">
        <w:rPr>
          <w:rFonts w:ascii="仿宋" w:eastAsia="仿宋" w:hAnsi="仿宋" w:cs="Times New Roman" w:hint="eastAsia"/>
        </w:rPr>
        <w:t>至</w:t>
      </w:r>
      <w:r w:rsidRPr="00980BC4">
        <w:rPr>
          <w:rFonts w:ascii="仿宋" w:eastAsia="仿宋" w:hAnsi="仿宋" w:cs="Times New Roman"/>
        </w:rPr>
        <w:t>2027</w:t>
      </w:r>
      <w:r w:rsidRPr="00980BC4">
        <w:rPr>
          <w:rFonts w:ascii="仿宋" w:eastAsia="仿宋" w:hAnsi="仿宋" w:cs="Times New Roman" w:hint="eastAsia"/>
        </w:rPr>
        <w:t>年，销售收入增长率分别为</w:t>
      </w:r>
      <w:r w:rsidRPr="00980BC4">
        <w:rPr>
          <w:rFonts w:ascii="仿宋" w:eastAsia="仿宋" w:hAnsi="仿宋" w:cs="Times New Roman"/>
        </w:rPr>
        <w:t>83.47%</w:t>
      </w:r>
      <w:r w:rsidRPr="00980BC4">
        <w:rPr>
          <w:rFonts w:ascii="仿宋" w:eastAsia="仿宋" w:hAnsi="仿宋" w:cs="Times New Roman" w:hint="eastAsia"/>
        </w:rPr>
        <w:t>、</w:t>
      </w:r>
      <w:r w:rsidRPr="00980BC4">
        <w:rPr>
          <w:rFonts w:ascii="仿宋" w:eastAsia="仿宋" w:hAnsi="仿宋" w:cs="Times New Roman"/>
        </w:rPr>
        <w:t>98.88%</w:t>
      </w:r>
      <w:r w:rsidRPr="00980BC4">
        <w:rPr>
          <w:rFonts w:ascii="仿宋" w:eastAsia="仿宋" w:hAnsi="仿宋" w:cs="Times New Roman" w:hint="eastAsia"/>
        </w:rPr>
        <w:t>、</w:t>
      </w:r>
      <w:r w:rsidRPr="00980BC4">
        <w:rPr>
          <w:rFonts w:ascii="仿宋" w:eastAsia="仿宋" w:hAnsi="仿宋" w:cs="Times New Roman"/>
        </w:rPr>
        <w:t>97.10%</w:t>
      </w:r>
      <w:r w:rsidRPr="00980BC4">
        <w:rPr>
          <w:rFonts w:ascii="仿宋" w:eastAsia="仿宋" w:hAnsi="仿宋" w:cs="Times New Roman" w:hint="eastAsia"/>
        </w:rPr>
        <w:t>、</w:t>
      </w:r>
      <w:r w:rsidRPr="00980BC4">
        <w:rPr>
          <w:rFonts w:ascii="仿宋" w:eastAsia="仿宋" w:hAnsi="仿宋" w:cs="Times New Roman"/>
        </w:rPr>
        <w:t>17.43%</w:t>
      </w:r>
      <w:r w:rsidRPr="00980BC4">
        <w:rPr>
          <w:rFonts w:ascii="仿宋" w:eastAsia="仿宋" w:hAnsi="仿宋" w:cs="Times New Roman" w:hint="eastAsia"/>
        </w:rPr>
        <w:t>、</w:t>
      </w:r>
      <w:r w:rsidRPr="00980BC4">
        <w:rPr>
          <w:rFonts w:ascii="仿宋" w:eastAsia="仿宋" w:hAnsi="仿宋" w:cs="Times New Roman"/>
        </w:rPr>
        <w:t>0.00%</w:t>
      </w:r>
      <w:r w:rsidRPr="00980BC4">
        <w:rPr>
          <w:rFonts w:ascii="仿宋" w:eastAsia="仿宋" w:hAnsi="仿宋" w:cs="Times New Roman" w:hint="eastAsia"/>
        </w:rPr>
        <w:t>。</w:t>
      </w:r>
    </w:p>
    <w:p w:rsidR="00F67D6F" w:rsidRPr="00980BC4" w:rsidRDefault="00F67D6F" w:rsidP="00B7436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上述信息与形成商誉时或以前年度商誉减值测试时的信息、公司历史经验或外部信息无明显不一致。</w:t>
      </w:r>
    </w:p>
    <w:p w:rsidR="00F67D6F" w:rsidRPr="00980BC4" w:rsidRDefault="00F67D6F" w:rsidP="00B7436F">
      <w:pPr>
        <w:pStyle w:val="a3"/>
        <w:widowControl w:val="0"/>
        <w:spacing w:before="0" w:beforeAutospacing="0" w:after="0" w:afterAutospacing="0" w:line="540" w:lineRule="exact"/>
        <w:ind w:firstLine="561"/>
        <w:jc w:val="both"/>
        <w:divId w:val="969553885"/>
        <w:rPr>
          <w:rFonts w:ascii="仿宋" w:eastAsia="仿宋" w:hAnsi="仿宋" w:cs="Times New Roman"/>
          <w:b/>
          <w:sz w:val="28"/>
          <w:szCs w:val="28"/>
        </w:rPr>
      </w:pPr>
      <w:r w:rsidRPr="00980BC4">
        <w:rPr>
          <w:rFonts w:ascii="仿宋" w:eastAsia="仿宋" w:hAnsi="仿宋" w:cs="Times New Roman"/>
          <w:b/>
          <w:sz w:val="28"/>
          <w:szCs w:val="28"/>
        </w:rPr>
        <w:t>商誉减值测试的影响</w:t>
      </w:r>
    </w:p>
    <w:p w:rsidR="00F67D6F" w:rsidRPr="00980BC4" w:rsidRDefault="00F67D6F" w:rsidP="00B7436F">
      <w:pPr>
        <w:pStyle w:val="a3"/>
        <w:widowControl w:val="0"/>
        <w:spacing w:before="0" w:beforeAutospacing="0" w:after="0" w:afterAutospacing="0" w:line="540" w:lineRule="exact"/>
        <w:ind w:firstLine="561"/>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无。</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b/>
          <w:sz w:val="28"/>
          <w:szCs w:val="28"/>
        </w:rPr>
      </w:pPr>
      <w:bookmarkStart w:id="271" w:name="_Toc989159"/>
      <w:r w:rsidRPr="00980BC4">
        <w:rPr>
          <w:rFonts w:ascii="仿宋" w:eastAsia="仿宋" w:hAnsi="仿宋" w:cs="Times New Roman"/>
          <w:b/>
          <w:sz w:val="28"/>
          <w:szCs w:val="28"/>
        </w:rPr>
        <w:t>22、长期待摊费用</w:t>
      </w:r>
      <w:bookmarkEnd w:id="27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6"/>
        <w:gridCol w:w="1606"/>
        <w:gridCol w:w="1606"/>
        <w:gridCol w:w="1607"/>
        <w:gridCol w:w="1607"/>
        <w:gridCol w:w="1607"/>
      </w:tblGrid>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厂房装修费</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4,162,669.26</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10,949,253.00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745,070.67</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14,366,851.59</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4,162,669.26</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10,949,253.00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745,070.67</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14,366,851.59</w:t>
            </w:r>
          </w:p>
        </w:tc>
      </w:tr>
    </w:tbl>
    <w:p w:rsidR="00F67D6F" w:rsidRPr="00980BC4" w:rsidRDefault="00F67D6F" w:rsidP="000F27C3">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72" w:name="_Toc989160"/>
      <w:r w:rsidRPr="00980BC4">
        <w:rPr>
          <w:rFonts w:ascii="仿宋" w:eastAsia="仿宋" w:hAnsi="仿宋" w:cs="Times New Roman"/>
          <w:b/>
          <w:sz w:val="28"/>
          <w:szCs w:val="28"/>
        </w:rPr>
        <w:t>23、递延所得税资产/递延所得税负债</w:t>
      </w:r>
      <w:bookmarkEnd w:id="272"/>
    </w:p>
    <w:p w:rsidR="00F67D6F" w:rsidRPr="00980BC4" w:rsidRDefault="00F67D6F" w:rsidP="000F27C3">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73" w:name="_Toc989161"/>
      <w:r w:rsidRPr="00980BC4">
        <w:rPr>
          <w:rFonts w:ascii="仿宋" w:eastAsia="仿宋" w:hAnsi="仿宋" w:cs="Times New Roman"/>
          <w:b/>
          <w:sz w:val="28"/>
          <w:szCs w:val="28"/>
        </w:rPr>
        <w:t>（1） 未经抵销的递延所得税资产</w:t>
      </w:r>
      <w:bookmarkEnd w:id="273"/>
    </w:p>
    <w:p w:rsidR="000F27C3" w:rsidRPr="00980BC4" w:rsidRDefault="000F27C3" w:rsidP="00F67D6F">
      <w:pPr>
        <w:spacing w:before="40" w:after="40" w:line="240" w:lineRule="exact"/>
        <w:jc w:val="right"/>
        <w:divId w:val="969553885"/>
        <w:rPr>
          <w:rFonts w:ascii="宋体" w:eastAsia="宋体" w:hAnsi="宋体" w:cs="宋体"/>
          <w:sz w:val="18"/>
          <w:szCs w:val="18"/>
        </w:rPr>
      </w:pP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F67D6F">
        <w:trPr>
          <w:divId w:val="969553885"/>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line="280" w:lineRule="atLeas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atLeast"/>
              <w:jc w:val="center"/>
              <w:rPr>
                <w:rFonts w:ascii="宋体" w:eastAsia="宋体" w:hAnsi="宋体" w:cs="宋体"/>
                <w:sz w:val="18"/>
                <w:szCs w:val="18"/>
              </w:rPr>
            </w:pPr>
            <w:r w:rsidRPr="00980BC4">
              <w:rPr>
                <w:rFonts w:ascii="宋体" w:eastAsia="宋体" w:hAnsi="宋体" w:cs="宋体"/>
                <w:sz w:val="18"/>
                <w:szCs w:val="18"/>
              </w:rPr>
              <w:t>递延所得税资产</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atLeast"/>
              <w:rPr>
                <w:rFonts w:ascii="宋体" w:eastAsia="宋体" w:hAnsi="宋体" w:cs="宋体"/>
                <w:sz w:val="18"/>
                <w:szCs w:val="18"/>
              </w:rPr>
            </w:pPr>
            <w:r w:rsidRPr="00980BC4">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4,187,718.17</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628,157.73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atLeast"/>
              <w:rPr>
                <w:rFonts w:ascii="宋体" w:eastAsia="宋体" w:hAnsi="宋体" w:cs="宋体"/>
                <w:sz w:val="18"/>
                <w:szCs w:val="18"/>
              </w:rPr>
            </w:pPr>
            <w:r w:rsidRPr="00980BC4">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45,441,215.10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11,360,303.78</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39,516,929.74</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9,879,232.43</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rPr>
                <w:rFonts w:ascii="宋体" w:eastAsia="宋体" w:hAnsi="宋体" w:cs="宋体"/>
                <w:sz w:val="18"/>
                <w:szCs w:val="18"/>
              </w:rPr>
            </w:pPr>
            <w:r w:rsidRPr="00980BC4">
              <w:rPr>
                <w:rFonts w:ascii="宋体" w:eastAsia="宋体" w:hAnsi="宋体" w:cs="宋体"/>
                <w:sz w:val="18"/>
                <w:szCs w:val="18"/>
              </w:rPr>
              <w:t>信用减值准备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22,171,565.39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4,089,131.94</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13,601,231.19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2,814,765.21</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rPr>
                <w:rFonts w:ascii="宋体" w:eastAsia="宋体" w:hAnsi="宋体" w:cs="宋体"/>
                <w:sz w:val="18"/>
                <w:szCs w:val="18"/>
              </w:rPr>
            </w:pPr>
            <w:r w:rsidRPr="00980BC4">
              <w:rPr>
                <w:rFonts w:ascii="宋体" w:eastAsia="宋体" w:hAnsi="宋体" w:cs="宋体"/>
                <w:sz w:val="18"/>
                <w:szCs w:val="18"/>
              </w:rPr>
              <w:t>使用权资产折旧与租赁负债利息摊销</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1,812,769.76</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275,091.09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1,016,472.72</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152,470.91</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rPr>
                <w:rFonts w:ascii="宋体" w:eastAsia="宋体" w:hAnsi="宋体" w:cs="宋体"/>
                <w:sz w:val="18"/>
                <w:szCs w:val="18"/>
              </w:rPr>
            </w:pPr>
            <w:r w:rsidRPr="00980BC4">
              <w:rPr>
                <w:rFonts w:ascii="宋体" w:eastAsia="宋体" w:hAnsi="宋体" w:cs="宋体"/>
                <w:sz w:val="18"/>
                <w:szCs w:val="18"/>
              </w:rPr>
              <w:t>股权激励</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14,557,932.70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2,675,494.27</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12,017,208.00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2,143,207.40</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rPr>
                <w:rFonts w:ascii="宋体" w:eastAsia="宋体" w:hAnsi="宋体" w:cs="宋体"/>
                <w:sz w:val="18"/>
                <w:szCs w:val="18"/>
              </w:rPr>
            </w:pPr>
            <w:r w:rsidRPr="00980BC4">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238,938.54</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59,734.63</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atLeast"/>
              <w:rPr>
                <w:rFonts w:ascii="宋体" w:eastAsia="宋体" w:hAnsi="宋体" w:cs="宋体"/>
                <w:sz w:val="18"/>
                <w:szCs w:val="18"/>
              </w:rPr>
            </w:pPr>
            <w:r w:rsidRPr="00980BC4">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88,171,201.12</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19,028,178.81</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66,390,780.19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atLeast"/>
              <w:jc w:val="right"/>
              <w:rPr>
                <w:rFonts w:ascii="宋体" w:eastAsia="宋体" w:hAnsi="宋体" w:cs="宋体"/>
                <w:sz w:val="18"/>
                <w:szCs w:val="18"/>
              </w:rPr>
            </w:pPr>
            <w:r w:rsidRPr="00980BC4">
              <w:rPr>
                <w:rFonts w:ascii="宋体" w:eastAsia="宋体" w:hAnsi="宋体" w:cs="宋体"/>
                <w:sz w:val="18"/>
                <w:szCs w:val="18"/>
              </w:rPr>
              <w:t>15,049,410.58</w:t>
            </w:r>
          </w:p>
        </w:tc>
      </w:tr>
    </w:tbl>
    <w:p w:rsidR="00F67D6F" w:rsidRPr="00980BC4" w:rsidRDefault="00F67D6F" w:rsidP="000F27C3">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74" w:name="_Toc989162"/>
      <w:r w:rsidRPr="00980BC4">
        <w:rPr>
          <w:rFonts w:ascii="仿宋" w:eastAsia="仿宋" w:hAnsi="仿宋" w:cs="Times New Roman"/>
          <w:b/>
          <w:sz w:val="28"/>
          <w:szCs w:val="28"/>
        </w:rPr>
        <w:t>（2） 未经抵销的递延所得税负债</w:t>
      </w:r>
      <w:bookmarkEnd w:id="274"/>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F67D6F">
        <w:trPr>
          <w:divId w:val="969553885"/>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递延所得税负债</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非同一控制企业合并资产评估增值</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1,285,395.38</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192,809.33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5,870,361.53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880,554.25</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使用权资产折旧与租赁负债利息摊销</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65,725.87</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16,431.47</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3,763,833.92</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745,421.72</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1,196,186.27</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179,427.94</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固定资产加速折旧</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5,214,227.59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782,134.14</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10,263,456.89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1,720,365.19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7,132,273.67</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1,076,413.66</w:t>
            </w:r>
          </w:p>
        </w:tc>
      </w:tr>
    </w:tbl>
    <w:p w:rsidR="00F67D6F" w:rsidRPr="00980BC4" w:rsidRDefault="00F67D6F" w:rsidP="000F27C3">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75" w:name="_Toc989163"/>
      <w:r w:rsidRPr="00980BC4">
        <w:rPr>
          <w:rFonts w:ascii="仿宋" w:eastAsia="仿宋" w:hAnsi="仿宋" w:cs="Times New Roman"/>
          <w:b/>
          <w:sz w:val="28"/>
          <w:szCs w:val="28"/>
        </w:rPr>
        <w:t>（3） 以抵销后净额列示的递延所得税资产或负债</w:t>
      </w:r>
      <w:bookmarkEnd w:id="275"/>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递延所得税资产和负债期末互抵金额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抵销后递延所得税资产或负债期末余额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递延所得税资产和负债期初互抵金额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抵销后递延所得税资产或负债期初余额</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19,028,178.81</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15,049,410.58</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1,720,365.19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1,076,413.66</w:t>
            </w:r>
          </w:p>
        </w:tc>
      </w:tr>
    </w:tbl>
    <w:p w:rsidR="00F67D6F" w:rsidRPr="00980BC4" w:rsidRDefault="00F67D6F" w:rsidP="000F27C3">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76" w:name="_Toc989164"/>
      <w:r w:rsidRPr="00980BC4">
        <w:rPr>
          <w:rFonts w:ascii="仿宋" w:eastAsia="仿宋" w:hAnsi="仿宋" w:cs="Times New Roman"/>
          <w:b/>
          <w:sz w:val="28"/>
          <w:szCs w:val="28"/>
        </w:rPr>
        <w:t>（4） 未确认递延所得税资产明细</w:t>
      </w:r>
      <w:bookmarkEnd w:id="27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61,298,692.98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121,570,708.56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80,628,669.72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18,799,675.64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141,927,362.70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140,370,384.20</w:t>
            </w:r>
          </w:p>
        </w:tc>
      </w:tr>
    </w:tbl>
    <w:p w:rsidR="00F67D6F" w:rsidRPr="00980BC4" w:rsidRDefault="00F67D6F" w:rsidP="000F27C3">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77" w:name="_Toc989165"/>
      <w:r w:rsidRPr="00980BC4">
        <w:rPr>
          <w:rFonts w:ascii="仿宋" w:eastAsia="仿宋" w:hAnsi="仿宋" w:cs="Times New Roman"/>
          <w:b/>
          <w:sz w:val="28"/>
          <w:szCs w:val="28"/>
        </w:rPr>
        <w:t>（5） 未确认递延所得税资产的可抵扣亏损将于以下年度到期</w:t>
      </w:r>
      <w:bookmarkEnd w:id="277"/>
    </w:p>
    <w:p w:rsidR="000F27C3" w:rsidRPr="00980BC4" w:rsidRDefault="000F27C3" w:rsidP="00F67D6F">
      <w:pPr>
        <w:spacing w:before="40" w:after="40" w:line="240" w:lineRule="exact"/>
        <w:jc w:val="right"/>
        <w:divId w:val="969553885"/>
        <w:rPr>
          <w:rFonts w:ascii="宋体" w:eastAsia="宋体" w:hAnsi="宋体" w:cs="宋体"/>
          <w:sz w:val="18"/>
          <w:szCs w:val="18"/>
        </w:rPr>
      </w:pP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年份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备注</w:t>
            </w: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2022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100,807.93</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2023</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582,382.38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2,182,200.65</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2024</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1,897,886.27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3,806,654.95</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2025</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5,830,590.96</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6,455,174.41</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2026</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6,249,703.73</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6,254,837.70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2027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10,820,733.75</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2028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7,873,193.99</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2029</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7,928,565.62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2030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6,550,482.65</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2031</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4,060,822.69</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2032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28,834,307.68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p>
        </w:tc>
      </w:tr>
      <w:tr w:rsidR="00F67D6F" w:rsidRPr="00980BC4" w:rsidTr="00352914">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80,628,669.72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18,799,675.64</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line="280" w:lineRule="exact"/>
            </w:pPr>
          </w:p>
        </w:tc>
      </w:tr>
    </w:tbl>
    <w:p w:rsidR="000019C9" w:rsidRPr="00352914" w:rsidRDefault="00352914" w:rsidP="000019C9">
      <w:pPr>
        <w:pStyle w:val="a3"/>
        <w:spacing w:before="0" w:beforeAutospacing="0" w:after="0" w:afterAutospacing="0" w:line="560" w:lineRule="exact"/>
        <w:ind w:firstLine="560"/>
        <w:jc w:val="both"/>
        <w:divId w:val="969553885"/>
        <w:rPr>
          <w:rFonts w:ascii="仿宋" w:eastAsia="仿宋" w:hAnsi="仿宋" w:cs="Times New Roman"/>
          <w:sz w:val="28"/>
          <w:szCs w:val="28"/>
        </w:rPr>
      </w:pPr>
      <w:bookmarkStart w:id="278" w:name="_Toc989166"/>
      <w:r>
        <w:rPr>
          <w:rFonts w:ascii="仿宋" w:eastAsia="仿宋" w:hAnsi="仿宋" w:cs="Times New Roman" w:hint="eastAsia"/>
          <w:b/>
          <w:sz w:val="28"/>
          <w:szCs w:val="28"/>
        </w:rPr>
        <w:lastRenderedPageBreak/>
        <w:t>其他</w:t>
      </w:r>
      <w:r w:rsidRPr="00AD3204">
        <w:rPr>
          <w:rFonts w:ascii="仿宋" w:eastAsia="仿宋" w:hAnsi="仿宋" w:cs="Times New Roman" w:hint="eastAsia"/>
          <w:b/>
          <w:sz w:val="28"/>
          <w:szCs w:val="28"/>
        </w:rPr>
        <w:t>说明：</w:t>
      </w:r>
      <w:r w:rsidR="000019C9" w:rsidRPr="00352914">
        <w:rPr>
          <w:rFonts w:ascii="仿宋" w:eastAsia="仿宋" w:hAnsi="仿宋" w:cs="Times New Roman" w:hint="eastAsia"/>
          <w:sz w:val="28"/>
          <w:szCs w:val="28"/>
        </w:rPr>
        <w:t>本期未确认递延所得税资产的可抵扣亏损中</w:t>
      </w:r>
      <w:r w:rsidR="000019C9" w:rsidRPr="001402D0">
        <w:rPr>
          <w:rFonts w:ascii="仿宋" w:eastAsia="仿宋" w:hAnsi="仿宋" w:cs="Times New Roman" w:hint="eastAsia"/>
          <w:sz w:val="28"/>
          <w:szCs w:val="28"/>
        </w:rPr>
        <w:t>新增</w:t>
      </w:r>
      <w:r w:rsidR="000019C9" w:rsidRPr="00352914">
        <w:rPr>
          <w:rFonts w:ascii="仿宋" w:eastAsia="仿宋" w:hAnsi="仿宋" w:cs="Times New Roman" w:hint="eastAsia"/>
          <w:sz w:val="28"/>
          <w:szCs w:val="28"/>
        </w:rPr>
        <w:t>于2028年-2032年的金额系本期新增合并主体-沈阳非晶</w:t>
      </w:r>
      <w:r w:rsidR="000019C9" w:rsidRPr="001402D0">
        <w:rPr>
          <w:rFonts w:ascii="仿宋" w:eastAsia="仿宋" w:hAnsi="仿宋" w:cs="Times New Roman" w:hint="eastAsia"/>
          <w:sz w:val="28"/>
          <w:szCs w:val="28"/>
        </w:rPr>
        <w:t>产生</w:t>
      </w:r>
      <w:r w:rsidR="000019C9">
        <w:rPr>
          <w:rFonts w:ascii="仿宋" w:eastAsia="仿宋" w:hAnsi="仿宋" w:cs="Times New Roman" w:hint="eastAsia"/>
          <w:sz w:val="28"/>
          <w:szCs w:val="28"/>
        </w:rPr>
        <w:t>，</w:t>
      </w:r>
      <w:r w:rsidR="000019C9" w:rsidRPr="001402D0">
        <w:rPr>
          <w:rFonts w:ascii="仿宋" w:eastAsia="仿宋" w:hAnsi="仿宋" w:cs="Times New Roman" w:hint="eastAsia"/>
          <w:sz w:val="28"/>
          <w:szCs w:val="28"/>
        </w:rPr>
        <w:t>沈阳非晶</w:t>
      </w:r>
      <w:r w:rsidR="000019C9" w:rsidRPr="00352914">
        <w:rPr>
          <w:rFonts w:ascii="仿宋" w:eastAsia="仿宋" w:hAnsi="仿宋" w:cs="Times New Roman" w:hint="eastAsia"/>
          <w:sz w:val="28"/>
          <w:szCs w:val="28"/>
        </w:rPr>
        <w:t>属于高新技术企业，其累积可抵扣亏损于2032年到期。</w:t>
      </w:r>
    </w:p>
    <w:p w:rsidR="00F67D6F" w:rsidRPr="00980BC4" w:rsidRDefault="00F67D6F" w:rsidP="000F27C3">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24、其他非流动资产</w:t>
      </w:r>
      <w:bookmarkEnd w:id="278"/>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51"/>
        <w:gridCol w:w="1418"/>
        <w:gridCol w:w="992"/>
        <w:gridCol w:w="1417"/>
        <w:gridCol w:w="1418"/>
        <w:gridCol w:w="1066"/>
        <w:gridCol w:w="1377"/>
      </w:tblGrid>
      <w:tr w:rsidR="00F67D6F" w:rsidRPr="00980BC4" w:rsidTr="000F27C3">
        <w:trPr>
          <w:divId w:val="969553885"/>
          <w:trHeight w:val="240"/>
        </w:trPr>
        <w:tc>
          <w:tcPr>
            <w:tcW w:w="19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82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86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0F27C3">
        <w:trPr>
          <w:divId w:val="969553885"/>
          <w:trHeight w:val="240"/>
        </w:trPr>
        <w:tc>
          <w:tcPr>
            <w:tcW w:w="19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line="280" w:lineRule="exact"/>
            </w:pP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减值准备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06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r>
      <w:tr w:rsidR="00F67D6F" w:rsidRPr="00980BC4" w:rsidTr="000F27C3">
        <w:trPr>
          <w:divId w:val="969553885"/>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预付长期资产购置款</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383,014.00</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383,014.00</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2,459,547.57</w:t>
            </w:r>
          </w:p>
        </w:tc>
        <w:tc>
          <w:tcPr>
            <w:tcW w:w="10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2,459,547.57</w:t>
            </w:r>
          </w:p>
        </w:tc>
      </w:tr>
      <w:tr w:rsidR="00F67D6F" w:rsidRPr="00980BC4" w:rsidTr="000F27C3">
        <w:trPr>
          <w:divId w:val="969553885"/>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rPr>
                <w:rFonts w:ascii="宋体" w:eastAsia="宋体" w:hAnsi="宋体" w:cs="宋体"/>
                <w:sz w:val="18"/>
                <w:szCs w:val="18"/>
              </w:rPr>
            </w:pPr>
            <w:r w:rsidRPr="00980BC4">
              <w:rPr>
                <w:rFonts w:ascii="宋体" w:eastAsia="宋体" w:hAnsi="宋体" w:cs="宋体"/>
                <w:sz w:val="18"/>
                <w:szCs w:val="18"/>
              </w:rPr>
              <w:t>预付市场服务费</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1,743,678.16</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1,743,678.16</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0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r>
      <w:tr w:rsidR="00F67D6F" w:rsidRPr="00980BC4" w:rsidTr="000F27C3">
        <w:trPr>
          <w:divId w:val="969553885"/>
          <w:trHeight w:val="240"/>
        </w:trPr>
        <w:tc>
          <w:tcPr>
            <w:tcW w:w="195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2,126,692.16</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2,126,692.16</w:t>
            </w:r>
          </w:p>
        </w:tc>
        <w:tc>
          <w:tcPr>
            <w:tcW w:w="141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2,459,547.57</w:t>
            </w:r>
          </w:p>
        </w:tc>
        <w:tc>
          <w:tcPr>
            <w:tcW w:w="10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2,459,547.57</w:t>
            </w:r>
          </w:p>
        </w:tc>
      </w:tr>
    </w:tbl>
    <w:p w:rsidR="00F67D6F" w:rsidRPr="00980BC4" w:rsidRDefault="00F67D6F" w:rsidP="000F27C3">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79" w:name="_Toc989167"/>
      <w:r w:rsidRPr="00980BC4">
        <w:rPr>
          <w:rFonts w:ascii="仿宋" w:eastAsia="仿宋" w:hAnsi="仿宋" w:cs="Times New Roman"/>
          <w:b/>
          <w:sz w:val="28"/>
          <w:szCs w:val="28"/>
        </w:rPr>
        <w:t>25、应付票据</w:t>
      </w:r>
      <w:bookmarkEnd w:id="279"/>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9,503,062.80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5,873,974.49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14,588,730.32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4,494,944.74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0F27C3">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24,091,793.12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0F27C3">
            <w:pPr>
              <w:spacing w:line="280" w:lineRule="exact"/>
              <w:jc w:val="right"/>
              <w:rPr>
                <w:rFonts w:ascii="宋体" w:eastAsia="宋体" w:hAnsi="宋体" w:cs="宋体"/>
                <w:sz w:val="18"/>
                <w:szCs w:val="18"/>
              </w:rPr>
            </w:pPr>
            <w:r w:rsidRPr="00980BC4">
              <w:rPr>
                <w:rFonts w:ascii="宋体" w:eastAsia="宋体" w:hAnsi="宋体" w:cs="宋体"/>
                <w:sz w:val="18"/>
                <w:szCs w:val="18"/>
              </w:rPr>
              <w:t>10,368,919.23</w:t>
            </w:r>
          </w:p>
        </w:tc>
      </w:tr>
    </w:tbl>
    <w:p w:rsidR="00F67D6F" w:rsidRPr="00980BC4" w:rsidRDefault="00F67D6F" w:rsidP="000F27C3">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80" w:name="_Toc989168"/>
      <w:r w:rsidRPr="00980BC4">
        <w:rPr>
          <w:rFonts w:ascii="仿宋" w:eastAsia="仿宋" w:hAnsi="仿宋" w:cs="Times New Roman"/>
          <w:b/>
          <w:sz w:val="28"/>
          <w:szCs w:val="28"/>
        </w:rPr>
        <w:t>26、应付账款</w:t>
      </w:r>
      <w:bookmarkEnd w:id="280"/>
    </w:p>
    <w:p w:rsidR="00F67D6F" w:rsidRPr="00980BC4" w:rsidRDefault="00F67D6F" w:rsidP="000F27C3">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81" w:name="_Toc989169"/>
      <w:r w:rsidRPr="00980BC4">
        <w:rPr>
          <w:rFonts w:ascii="仿宋" w:eastAsia="仿宋" w:hAnsi="仿宋" w:cs="Times New Roman"/>
          <w:b/>
          <w:sz w:val="28"/>
          <w:szCs w:val="28"/>
        </w:rPr>
        <w:t>（1） 应付账款列示</w:t>
      </w:r>
      <w:bookmarkEnd w:id="28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rPr>
                <w:rFonts w:ascii="宋体" w:eastAsia="宋体" w:hAnsi="宋体" w:cs="宋体"/>
                <w:sz w:val="18"/>
                <w:szCs w:val="18"/>
              </w:rPr>
            </w:pPr>
            <w:r w:rsidRPr="00980BC4">
              <w:rPr>
                <w:rFonts w:ascii="宋体" w:eastAsia="宋体" w:hAnsi="宋体" w:cs="宋体"/>
                <w:sz w:val="18"/>
                <w:szCs w:val="18"/>
              </w:rPr>
              <w:t>应付货款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29,606,789.55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21,340,988.82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rPr>
                <w:rFonts w:ascii="宋体" w:eastAsia="宋体" w:hAnsi="宋体" w:cs="宋体"/>
                <w:sz w:val="18"/>
                <w:szCs w:val="18"/>
              </w:rPr>
            </w:pPr>
            <w:r w:rsidRPr="00980BC4">
              <w:rPr>
                <w:rFonts w:ascii="宋体" w:eastAsia="宋体" w:hAnsi="宋体" w:cs="宋体"/>
                <w:sz w:val="18"/>
                <w:szCs w:val="18"/>
              </w:rPr>
              <w:t>应付设备款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67,030.50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229,300.00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rPr>
                <w:rFonts w:ascii="宋体" w:eastAsia="宋体" w:hAnsi="宋体" w:cs="宋体"/>
                <w:sz w:val="18"/>
                <w:szCs w:val="18"/>
              </w:rPr>
            </w:pPr>
            <w:r w:rsidRPr="00980BC4">
              <w:rPr>
                <w:rFonts w:ascii="宋体" w:eastAsia="宋体" w:hAnsi="宋体" w:cs="宋体"/>
                <w:sz w:val="18"/>
                <w:szCs w:val="18"/>
              </w:rPr>
              <w:t>应付工程款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873,181.35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30,547,001.40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21,570,288.82</w:t>
            </w:r>
          </w:p>
        </w:tc>
      </w:tr>
    </w:tbl>
    <w:p w:rsidR="00F67D6F" w:rsidRPr="00980BC4" w:rsidRDefault="00F67D6F" w:rsidP="00581499">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82" w:name="_Toc989170"/>
      <w:r w:rsidRPr="00980BC4">
        <w:rPr>
          <w:rFonts w:ascii="仿宋" w:eastAsia="仿宋" w:hAnsi="仿宋" w:cs="Times New Roman"/>
          <w:b/>
          <w:sz w:val="28"/>
          <w:szCs w:val="28"/>
        </w:rPr>
        <w:t>27、合同负债</w:t>
      </w:r>
      <w:bookmarkEnd w:id="28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rPr>
                <w:rFonts w:ascii="宋体" w:eastAsia="宋体" w:hAnsi="宋体" w:cs="宋体"/>
                <w:sz w:val="18"/>
                <w:szCs w:val="18"/>
              </w:rPr>
            </w:pPr>
            <w:r w:rsidRPr="00980BC4">
              <w:rPr>
                <w:rFonts w:ascii="宋体" w:eastAsia="宋体" w:hAnsi="宋体" w:cs="宋体"/>
                <w:sz w:val="18"/>
                <w:szCs w:val="18"/>
              </w:rPr>
              <w:t>预收货款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5,520,477.18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24,629,339.09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5,520,477.18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24,629,339.09</w:t>
            </w:r>
          </w:p>
        </w:tc>
      </w:tr>
    </w:tbl>
    <w:p w:rsidR="00F67D6F" w:rsidRPr="00980BC4" w:rsidRDefault="00F67D6F" w:rsidP="00581499">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83" w:name="_Toc989171"/>
      <w:r w:rsidRPr="00980BC4">
        <w:rPr>
          <w:rFonts w:ascii="仿宋" w:eastAsia="仿宋" w:hAnsi="仿宋" w:cs="Times New Roman"/>
          <w:b/>
          <w:sz w:val="28"/>
          <w:szCs w:val="28"/>
        </w:rPr>
        <w:t>28、应付职工薪酬</w:t>
      </w:r>
      <w:bookmarkEnd w:id="283"/>
    </w:p>
    <w:p w:rsidR="00F67D6F" w:rsidRPr="00980BC4" w:rsidRDefault="00F67D6F" w:rsidP="00581499">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84" w:name="_Toc989172"/>
      <w:r w:rsidRPr="00980BC4">
        <w:rPr>
          <w:rFonts w:ascii="仿宋" w:eastAsia="仿宋" w:hAnsi="仿宋" w:cs="Times New Roman"/>
          <w:b/>
          <w:sz w:val="28"/>
          <w:szCs w:val="28"/>
        </w:rPr>
        <w:t>（1） 应付职工薪酬列示</w:t>
      </w:r>
      <w:bookmarkEnd w:id="284"/>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802"/>
        <w:gridCol w:w="1842"/>
        <w:gridCol w:w="1701"/>
        <w:gridCol w:w="1843"/>
        <w:gridCol w:w="1451"/>
      </w:tblGrid>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本期减少</w:t>
            </w:r>
          </w:p>
        </w:tc>
        <w:tc>
          <w:tcPr>
            <w:tcW w:w="145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一、短期薪酬</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38,152,748.07</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91,008,934.34</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89,167,791.62</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39,993,890.79</w:t>
            </w: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二、离职后福利-设定提存计划</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41,867.99</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3,661,384.03</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3,650,700.40</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52,551.62</w:t>
            </w: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三、辞退福利</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602,383.20</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602,383.20</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38,194,616.06</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95,272,701.57</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93,420,875.22</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40,046,442.41</w:t>
            </w:r>
          </w:p>
        </w:tc>
      </w:tr>
    </w:tbl>
    <w:p w:rsidR="00F67D6F" w:rsidRPr="00980BC4" w:rsidRDefault="00F67D6F" w:rsidP="00581499">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85" w:name="_Toc989173"/>
      <w:r w:rsidRPr="00980BC4">
        <w:rPr>
          <w:rFonts w:ascii="仿宋" w:eastAsia="仿宋" w:hAnsi="仿宋" w:cs="Times New Roman"/>
          <w:b/>
          <w:sz w:val="28"/>
          <w:szCs w:val="28"/>
        </w:rPr>
        <w:t>（2） 短期薪酬列示</w:t>
      </w:r>
      <w:bookmarkEnd w:id="285"/>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802"/>
        <w:gridCol w:w="1842"/>
        <w:gridCol w:w="1701"/>
        <w:gridCol w:w="1843"/>
        <w:gridCol w:w="1451"/>
      </w:tblGrid>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本期减少</w:t>
            </w:r>
          </w:p>
        </w:tc>
        <w:tc>
          <w:tcPr>
            <w:tcW w:w="145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1、工资、奖金、津贴和补贴</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34,332,400.20</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82,230,290.60</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80,513,214.32</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36,049,476.48</w:t>
            </w: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2、职工福利费</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3,609,835.56</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3,609,835.56</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3、社会保险费</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21,558.74</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1,964,888.61</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1,953,235.15</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33,212.20</w:t>
            </w: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其中：医疗保险费</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20,171.97</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1,863,513.53</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1,852,043.37</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31,642.13</w:t>
            </w: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工伤保险费</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1,386.77</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76,119.06</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75,935.76</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1,570.07</w:t>
            </w: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生育保险费</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25,256.02</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25,256.02</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4、住房公积金</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610.00</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1,849,996.47</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1,849,996.47</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610.00</w:t>
            </w: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5、工会经费和职工教育经费</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3,798,179.13</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1,353,923.10</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1,241,510.12</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3,910,592.11</w:t>
            </w:r>
          </w:p>
        </w:tc>
      </w:tr>
      <w:tr w:rsidR="00F67D6F" w:rsidRPr="00980BC4" w:rsidTr="00581499">
        <w:trPr>
          <w:divId w:val="969553885"/>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84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38,152,748.07</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91,008,934.34</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89,167,791.62</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39,993,890.79</w:t>
            </w:r>
          </w:p>
        </w:tc>
      </w:tr>
    </w:tbl>
    <w:p w:rsidR="00F67D6F" w:rsidRPr="00980BC4" w:rsidRDefault="00F67D6F" w:rsidP="00581499">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86" w:name="_Toc989174"/>
      <w:r w:rsidRPr="00980BC4">
        <w:rPr>
          <w:rFonts w:ascii="仿宋" w:eastAsia="仿宋" w:hAnsi="仿宋" w:cs="Times New Roman"/>
          <w:b/>
          <w:sz w:val="28"/>
          <w:szCs w:val="28"/>
        </w:rPr>
        <w:t>（3） 设定提存计划列示</w:t>
      </w:r>
      <w:bookmarkEnd w:id="28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37,069.30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3,535,575.73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3,524,092.90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48,552.13</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4,798.69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125,808.30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126,607.50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3,999.49</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81499">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41,867.99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3,661,384.03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3,650,700.40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81499">
            <w:pPr>
              <w:spacing w:line="280" w:lineRule="exact"/>
              <w:jc w:val="right"/>
              <w:rPr>
                <w:rFonts w:ascii="宋体" w:eastAsia="宋体" w:hAnsi="宋体" w:cs="宋体"/>
                <w:sz w:val="18"/>
                <w:szCs w:val="18"/>
              </w:rPr>
            </w:pPr>
            <w:r w:rsidRPr="00980BC4">
              <w:rPr>
                <w:rFonts w:ascii="宋体" w:eastAsia="宋体" w:hAnsi="宋体" w:cs="宋体"/>
                <w:sz w:val="18"/>
                <w:szCs w:val="18"/>
              </w:rPr>
              <w:t>52,551.62</w:t>
            </w:r>
          </w:p>
        </w:tc>
      </w:tr>
    </w:tbl>
    <w:p w:rsidR="00F67D6F" w:rsidRPr="00980BC4" w:rsidRDefault="00F67D6F" w:rsidP="00581499">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87" w:name="_Toc989175"/>
      <w:r w:rsidRPr="00980BC4">
        <w:rPr>
          <w:rFonts w:ascii="仿宋" w:eastAsia="仿宋" w:hAnsi="仿宋" w:cs="Times New Roman"/>
          <w:b/>
          <w:sz w:val="28"/>
          <w:szCs w:val="28"/>
        </w:rPr>
        <w:t>29、应交税费</w:t>
      </w:r>
      <w:bookmarkEnd w:id="287"/>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10,898,790.62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3,429,386.01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7,615,501.93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3,942,273.94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1,181,682.48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5,694,082.78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537,757.23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240,046.07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283,826.68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103,064.59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地方教育附加</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158,376.26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38,580.69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65.00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65.00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34,615.15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33.86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堤围防护费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4,811,301.07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21,870.09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3,603.11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土地增值税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3,433.10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20,732,485.44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18,265,870.22</w:t>
            </w:r>
          </w:p>
        </w:tc>
      </w:tr>
    </w:tbl>
    <w:p w:rsidR="00F67D6F" w:rsidRPr="00980BC4" w:rsidRDefault="00F67D6F" w:rsidP="00742117">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88" w:name="_Toc989176"/>
      <w:r w:rsidRPr="00980BC4">
        <w:rPr>
          <w:rFonts w:ascii="仿宋" w:eastAsia="仿宋" w:hAnsi="仿宋" w:cs="Times New Roman"/>
          <w:b/>
          <w:sz w:val="28"/>
          <w:szCs w:val="28"/>
        </w:rPr>
        <w:t>30、其他应付款</w:t>
      </w:r>
      <w:bookmarkEnd w:id="288"/>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923,915.18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1,273,624.65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27,182,957.86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42,908,502.25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28,106,873.04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44,182,126.90</w:t>
            </w:r>
          </w:p>
        </w:tc>
      </w:tr>
    </w:tbl>
    <w:p w:rsidR="00F67D6F" w:rsidRPr="00980BC4" w:rsidRDefault="00F67D6F" w:rsidP="00742117">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89" w:name="_Toc989177"/>
      <w:r w:rsidRPr="00980BC4">
        <w:rPr>
          <w:rFonts w:ascii="仿宋" w:eastAsia="仿宋" w:hAnsi="仿宋" w:cs="Times New Roman"/>
          <w:b/>
          <w:sz w:val="28"/>
          <w:szCs w:val="28"/>
        </w:rPr>
        <w:t>（1） 应付股利</w:t>
      </w:r>
      <w:bookmarkEnd w:id="289"/>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923,915.18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1,273,624.65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923,915.18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1,273,624.65</w:t>
            </w:r>
          </w:p>
        </w:tc>
      </w:tr>
    </w:tbl>
    <w:p w:rsidR="00F67D6F" w:rsidRPr="00980BC4" w:rsidRDefault="00F67D6F" w:rsidP="00742117">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90" w:name="_Toc989178"/>
      <w:r w:rsidRPr="00980BC4">
        <w:rPr>
          <w:rFonts w:ascii="仿宋" w:eastAsia="仿宋" w:hAnsi="仿宋" w:cs="Times New Roman"/>
          <w:b/>
          <w:sz w:val="28"/>
          <w:szCs w:val="28"/>
        </w:rPr>
        <w:t>（2） 其他应付款</w:t>
      </w:r>
      <w:bookmarkEnd w:id="290"/>
    </w:p>
    <w:p w:rsidR="00F67D6F" w:rsidRPr="00980BC4" w:rsidRDefault="00F67D6F" w:rsidP="00742117">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91" w:name="_Toc989179"/>
      <w:r w:rsidRPr="00980BC4">
        <w:rPr>
          <w:rFonts w:ascii="仿宋" w:eastAsia="仿宋" w:hAnsi="仿宋" w:cs="Times New Roman"/>
          <w:b/>
          <w:sz w:val="28"/>
          <w:szCs w:val="28"/>
        </w:rPr>
        <w:t>1） 按款项性质列示其他应付款</w:t>
      </w:r>
      <w:bookmarkEnd w:id="29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1,399,674.65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1,362,256.29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单位往来</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8,271,001.62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7,388,103.54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员工往来</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13,500.00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1,936,301.54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历史遗留款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79,200.00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9,958,134.68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股权激励回购款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17,280,032.59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21,337,728.00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139,549.00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925,978.20</w:t>
            </w:r>
          </w:p>
        </w:tc>
      </w:tr>
      <w:tr w:rsidR="00F67D6F" w:rsidRPr="00980BC4" w:rsidTr="00742117">
        <w:trPr>
          <w:divId w:val="969553885"/>
          <w:trHeight w:val="43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27,182,957.86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42,908,502.25</w:t>
            </w:r>
          </w:p>
        </w:tc>
      </w:tr>
    </w:tbl>
    <w:p w:rsidR="00F67D6F" w:rsidRPr="00980BC4" w:rsidRDefault="00F67D6F" w:rsidP="00742117">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92" w:name="_Toc989180"/>
      <w:r w:rsidRPr="00980BC4">
        <w:rPr>
          <w:rFonts w:ascii="仿宋" w:eastAsia="仿宋" w:hAnsi="仿宋" w:cs="Times New Roman"/>
          <w:b/>
          <w:sz w:val="28"/>
          <w:szCs w:val="28"/>
        </w:rPr>
        <w:t>2） 账龄超过1年的重要其他应付款</w:t>
      </w:r>
      <w:bookmarkEnd w:id="29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未偿还或结转的原因</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广州南沙兴华造船有限公司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7,082,000.00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相关电力指标款未达收款条件</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限制性股票回购义务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14,879,394.60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股权激励未解禁部分</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21,961,394.60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line="280" w:lineRule="exact"/>
            </w:pPr>
          </w:p>
        </w:tc>
      </w:tr>
    </w:tbl>
    <w:p w:rsidR="00F67D6F" w:rsidRPr="00980BC4" w:rsidRDefault="00F67D6F" w:rsidP="00742117">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93" w:name="_Toc989181"/>
      <w:r w:rsidRPr="00980BC4">
        <w:rPr>
          <w:rFonts w:ascii="仿宋" w:eastAsia="仿宋" w:hAnsi="仿宋" w:cs="Times New Roman"/>
          <w:b/>
          <w:sz w:val="28"/>
          <w:szCs w:val="28"/>
        </w:rPr>
        <w:t>31、一年内到期的非流动负债</w:t>
      </w:r>
      <w:bookmarkEnd w:id="293"/>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2,693,991.27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2,112,688.15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2,693,991.27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2,112,688.15</w:t>
            </w:r>
          </w:p>
        </w:tc>
      </w:tr>
    </w:tbl>
    <w:p w:rsidR="00F67D6F" w:rsidRPr="00980BC4" w:rsidRDefault="00F67D6F" w:rsidP="00742117">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94" w:name="_Toc989182"/>
      <w:r w:rsidRPr="00980BC4">
        <w:rPr>
          <w:rFonts w:ascii="仿宋" w:eastAsia="仿宋" w:hAnsi="仿宋" w:cs="Times New Roman"/>
          <w:b/>
          <w:sz w:val="28"/>
          <w:szCs w:val="28"/>
        </w:rPr>
        <w:t>32、其他流动负债</w:t>
      </w:r>
      <w:bookmarkEnd w:id="294"/>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rPr>
                <w:rFonts w:ascii="宋体" w:eastAsia="宋体" w:hAnsi="宋体" w:cs="宋体"/>
                <w:sz w:val="18"/>
                <w:szCs w:val="18"/>
              </w:rPr>
            </w:pPr>
            <w:r w:rsidRPr="00980BC4">
              <w:rPr>
                <w:rFonts w:ascii="宋体" w:eastAsia="宋体" w:hAnsi="宋体"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718,789.14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63,343.39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42117">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718,789.14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42117">
            <w:pPr>
              <w:spacing w:line="280" w:lineRule="exact"/>
              <w:jc w:val="right"/>
              <w:rPr>
                <w:rFonts w:ascii="宋体" w:eastAsia="宋体" w:hAnsi="宋体" w:cs="宋体"/>
                <w:sz w:val="18"/>
                <w:szCs w:val="18"/>
              </w:rPr>
            </w:pPr>
            <w:r w:rsidRPr="00980BC4">
              <w:rPr>
                <w:rFonts w:ascii="宋体" w:eastAsia="宋体" w:hAnsi="宋体" w:cs="宋体"/>
                <w:sz w:val="18"/>
                <w:szCs w:val="18"/>
              </w:rPr>
              <w:t>63,343.39</w:t>
            </w:r>
          </w:p>
        </w:tc>
      </w:tr>
    </w:tbl>
    <w:p w:rsidR="00F67D6F" w:rsidRPr="00980BC4" w:rsidRDefault="00F67D6F" w:rsidP="00742117">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95" w:name="_Toc989183"/>
      <w:r w:rsidRPr="00980BC4">
        <w:rPr>
          <w:rFonts w:ascii="仿宋" w:eastAsia="仿宋" w:hAnsi="仿宋" w:cs="Times New Roman"/>
          <w:b/>
          <w:sz w:val="28"/>
          <w:szCs w:val="28"/>
        </w:rPr>
        <w:lastRenderedPageBreak/>
        <w:t>33、租赁负债</w:t>
      </w:r>
      <w:bookmarkEnd w:id="295"/>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租赁付款额</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60,071,068.19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60,897,403.69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60,071,068.19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60,897,403.69</w:t>
            </w:r>
          </w:p>
        </w:tc>
      </w:tr>
    </w:tbl>
    <w:p w:rsidR="00F67D6F" w:rsidRPr="00980BC4" w:rsidRDefault="00F67D6F" w:rsidP="00742117">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96" w:name="_Toc989184"/>
      <w:r w:rsidRPr="00980BC4">
        <w:rPr>
          <w:rFonts w:ascii="仿宋" w:eastAsia="仿宋" w:hAnsi="仿宋" w:cs="Times New Roman"/>
          <w:b/>
          <w:sz w:val="28"/>
          <w:szCs w:val="28"/>
        </w:rPr>
        <w:t>34、递延收益</w:t>
      </w:r>
      <w:bookmarkEnd w:id="29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6"/>
        <w:gridCol w:w="1606"/>
        <w:gridCol w:w="1606"/>
        <w:gridCol w:w="1607"/>
        <w:gridCol w:w="1607"/>
        <w:gridCol w:w="1607"/>
      </w:tblGrid>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形成原因</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rPr>
                <w:rFonts w:ascii="宋体" w:eastAsia="宋体" w:hAnsi="宋体" w:cs="宋体"/>
                <w:sz w:val="18"/>
                <w:szCs w:val="18"/>
              </w:rPr>
            </w:pPr>
            <w:r w:rsidRPr="00980BC4">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245,997.80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213,004.28</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32,993.52</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rPr>
                <w:rFonts w:ascii="宋体" w:eastAsia="宋体" w:hAnsi="宋体" w:cs="宋体"/>
                <w:sz w:val="18"/>
                <w:szCs w:val="18"/>
              </w:rPr>
            </w:pPr>
            <w:r w:rsidRPr="00980BC4">
              <w:rPr>
                <w:rFonts w:ascii="宋体" w:eastAsia="宋体" w:hAnsi="宋体" w:cs="宋体"/>
                <w:sz w:val="18"/>
                <w:szCs w:val="18"/>
              </w:rPr>
              <w:t>项目补助</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rPr>
                <w:rFonts w:ascii="宋体" w:eastAsia="宋体" w:hAnsi="宋体" w:cs="宋体"/>
                <w:sz w:val="18"/>
                <w:szCs w:val="18"/>
              </w:rPr>
            </w:pPr>
            <w:r w:rsidRPr="00980BC4">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245,997.80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213,004.28</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32,993.52</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w:t>
            </w:r>
          </w:p>
        </w:tc>
      </w:tr>
    </w:tbl>
    <w:p w:rsidR="00F67D6F" w:rsidRPr="00980BC4" w:rsidRDefault="00F67D6F" w:rsidP="00742117">
      <w:pPr>
        <w:pStyle w:val="a3"/>
        <w:spacing w:before="0" w:beforeAutospacing="0" w:after="0" w:afterAutospacing="0" w:line="56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涉及政府补助的项目：</w:t>
      </w: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071"/>
        <w:gridCol w:w="1164"/>
        <w:gridCol w:w="978"/>
        <w:gridCol w:w="1071"/>
        <w:gridCol w:w="1071"/>
        <w:gridCol w:w="1071"/>
        <w:gridCol w:w="1071"/>
        <w:gridCol w:w="1071"/>
        <w:gridCol w:w="1071"/>
      </w:tblGrid>
      <w:tr w:rsidR="00F67D6F" w:rsidRPr="00980BC4" w:rsidTr="00A70614">
        <w:trPr>
          <w:divId w:val="969553885"/>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负债项目</w:t>
            </w:r>
          </w:p>
        </w:tc>
        <w:tc>
          <w:tcPr>
            <w:tcW w:w="116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97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本期新增补助金额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本期计入营业外收入金额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本期计入其他收益金额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本期冲减成本费用金额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与资产相关/与收益相关</w:t>
            </w:r>
          </w:p>
        </w:tc>
      </w:tr>
      <w:tr w:rsidR="00F67D6F" w:rsidRPr="00980BC4" w:rsidTr="00A70614">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rPr>
                <w:rFonts w:ascii="宋体" w:eastAsia="宋体" w:hAnsi="宋体" w:cs="宋体"/>
                <w:sz w:val="18"/>
                <w:szCs w:val="18"/>
              </w:rPr>
            </w:pPr>
            <w:r w:rsidRPr="00980BC4">
              <w:rPr>
                <w:rFonts w:ascii="宋体" w:eastAsia="宋体" w:hAnsi="宋体" w:cs="宋体"/>
                <w:sz w:val="18"/>
                <w:szCs w:val="18"/>
              </w:rPr>
              <w:t>市战略新兴产品项目、省成果转化项目-资产部分</w:t>
            </w:r>
          </w:p>
        </w:tc>
        <w:tc>
          <w:tcPr>
            <w:tcW w:w="116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85,997.80</w:t>
            </w:r>
          </w:p>
        </w:tc>
        <w:tc>
          <w:tcPr>
            <w:tcW w:w="97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53,004.28</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32,993.52</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rPr>
                <w:rFonts w:ascii="宋体" w:eastAsia="宋体" w:hAnsi="宋体" w:cs="宋体"/>
                <w:sz w:val="18"/>
                <w:szCs w:val="18"/>
              </w:rPr>
            </w:pPr>
            <w:r w:rsidRPr="00980BC4">
              <w:rPr>
                <w:rFonts w:ascii="宋体" w:eastAsia="宋体" w:hAnsi="宋体" w:cs="宋体"/>
                <w:sz w:val="18"/>
                <w:szCs w:val="18"/>
              </w:rPr>
              <w:t>与资产相关</w:t>
            </w:r>
          </w:p>
        </w:tc>
      </w:tr>
      <w:tr w:rsidR="00F67D6F" w:rsidRPr="00980BC4" w:rsidTr="00A70614">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rPr>
                <w:rFonts w:ascii="宋体" w:eastAsia="宋体" w:hAnsi="宋体" w:cs="宋体"/>
                <w:sz w:val="18"/>
                <w:szCs w:val="18"/>
              </w:rPr>
            </w:pPr>
            <w:r w:rsidRPr="00980BC4">
              <w:rPr>
                <w:rFonts w:ascii="宋体" w:eastAsia="宋体" w:hAnsi="宋体" w:cs="宋体"/>
                <w:sz w:val="18"/>
                <w:szCs w:val="18"/>
              </w:rPr>
              <w:t>2020年第一批省级科技计划</w:t>
            </w:r>
          </w:p>
        </w:tc>
        <w:tc>
          <w:tcPr>
            <w:tcW w:w="116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160,000.00</w:t>
            </w:r>
          </w:p>
        </w:tc>
        <w:tc>
          <w:tcPr>
            <w:tcW w:w="97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r w:rsidRPr="00980BC4">
              <w:rPr>
                <w:rFonts w:ascii="宋体" w:eastAsia="宋体" w:hAnsi="宋体" w:cs="宋体"/>
                <w:sz w:val="18"/>
                <w:szCs w:val="18"/>
              </w:rPr>
              <w:t>160,000.00</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300" w:lineRule="exact"/>
              <w:rPr>
                <w:rFonts w:ascii="宋体" w:eastAsia="宋体" w:hAnsi="宋体" w:cs="宋体"/>
                <w:sz w:val="18"/>
                <w:szCs w:val="18"/>
              </w:rPr>
            </w:pPr>
            <w:r w:rsidRPr="00980BC4">
              <w:rPr>
                <w:rFonts w:ascii="宋体" w:eastAsia="宋体" w:hAnsi="宋体" w:cs="宋体"/>
                <w:sz w:val="18"/>
                <w:szCs w:val="18"/>
              </w:rPr>
              <w:t>与收益相关</w:t>
            </w:r>
          </w:p>
        </w:tc>
      </w:tr>
    </w:tbl>
    <w:p w:rsidR="00F67D6F" w:rsidRPr="00980BC4" w:rsidRDefault="00F67D6F" w:rsidP="00A70614">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97" w:name="_Toc989185"/>
      <w:r w:rsidRPr="00980BC4">
        <w:rPr>
          <w:rFonts w:ascii="仿宋" w:eastAsia="仿宋" w:hAnsi="仿宋" w:cs="Times New Roman"/>
          <w:b/>
          <w:sz w:val="28"/>
          <w:szCs w:val="28"/>
        </w:rPr>
        <w:t>35、其他非流动负债</w:t>
      </w:r>
      <w:bookmarkEnd w:id="297"/>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rPr>
                <w:rFonts w:ascii="宋体" w:eastAsia="宋体" w:hAnsi="宋体" w:cs="宋体"/>
                <w:sz w:val="18"/>
                <w:szCs w:val="18"/>
              </w:rPr>
            </w:pPr>
            <w:r w:rsidRPr="00980BC4">
              <w:rPr>
                <w:rFonts w:ascii="宋体" w:eastAsia="宋体" w:hAnsi="宋体" w:cs="宋体"/>
                <w:sz w:val="18"/>
                <w:szCs w:val="18"/>
              </w:rPr>
              <w:t>合伙企业其他投资人份额</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3,423,779.10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2,146,898.50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3,423,779.10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2,146,898.50</w:t>
            </w:r>
          </w:p>
        </w:tc>
      </w:tr>
    </w:tbl>
    <w:p w:rsidR="00F67D6F" w:rsidRPr="00980BC4" w:rsidRDefault="00F67D6F" w:rsidP="00A70614">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98" w:name="_Toc989186"/>
      <w:r w:rsidRPr="00980BC4">
        <w:rPr>
          <w:rFonts w:ascii="仿宋" w:eastAsia="仿宋" w:hAnsi="仿宋" w:cs="Times New Roman"/>
          <w:b/>
          <w:sz w:val="28"/>
          <w:szCs w:val="28"/>
        </w:rPr>
        <w:t>36、股本</w:t>
      </w:r>
      <w:bookmarkEnd w:id="298"/>
    </w:p>
    <w:p w:rsidR="00A70614" w:rsidRPr="00980BC4" w:rsidRDefault="00A70614" w:rsidP="00F67D6F">
      <w:pPr>
        <w:spacing w:before="40" w:after="40" w:line="240" w:lineRule="exact"/>
        <w:jc w:val="right"/>
        <w:divId w:val="969553885"/>
        <w:rPr>
          <w:rFonts w:ascii="宋体" w:eastAsia="宋体" w:hAnsi="宋体" w:cs="宋体"/>
          <w:sz w:val="18"/>
          <w:szCs w:val="18"/>
        </w:rPr>
      </w:pPr>
    </w:p>
    <w:p w:rsidR="00A70614" w:rsidRPr="00980BC4" w:rsidRDefault="00A70614" w:rsidP="00F67D6F">
      <w:pPr>
        <w:spacing w:before="40" w:after="40" w:line="240" w:lineRule="exact"/>
        <w:jc w:val="right"/>
        <w:divId w:val="969553885"/>
        <w:rPr>
          <w:rFonts w:ascii="宋体" w:eastAsia="宋体" w:hAnsi="宋体" w:cs="宋体"/>
          <w:sz w:val="18"/>
          <w:szCs w:val="18"/>
        </w:rPr>
      </w:pP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204"/>
        <w:gridCol w:w="1598"/>
        <w:gridCol w:w="1275"/>
        <w:gridCol w:w="993"/>
        <w:gridCol w:w="1275"/>
        <w:gridCol w:w="884"/>
        <w:gridCol w:w="817"/>
        <w:gridCol w:w="1593"/>
      </w:tblGrid>
      <w:tr w:rsidR="00F67D6F" w:rsidRPr="00980BC4" w:rsidTr="00A70614">
        <w:trPr>
          <w:divId w:val="969553885"/>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line="280" w:lineRule="exact"/>
            </w:pPr>
          </w:p>
        </w:tc>
        <w:tc>
          <w:tcPr>
            <w:tcW w:w="159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524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本次变动增减（+、-）</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A70614">
        <w:trPr>
          <w:divId w:val="969553885"/>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line="280" w:lineRule="exact"/>
            </w:pPr>
          </w:p>
        </w:tc>
        <w:tc>
          <w:tcPr>
            <w:tcW w:w="15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line="280" w:lineRule="exact"/>
            </w:pP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发行新股</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送股</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公积金转股</w:t>
            </w:r>
          </w:p>
        </w:tc>
        <w:tc>
          <w:tcPr>
            <w:tcW w:w="88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小计</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line="280" w:lineRule="exact"/>
            </w:pPr>
          </w:p>
        </w:tc>
      </w:tr>
      <w:tr w:rsidR="00F67D6F" w:rsidRPr="00980BC4" w:rsidTr="00A70614">
        <w:trPr>
          <w:divId w:val="969553885"/>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rPr>
                <w:rFonts w:ascii="宋体" w:eastAsia="宋体" w:hAnsi="宋体" w:cs="宋体"/>
                <w:sz w:val="18"/>
                <w:szCs w:val="18"/>
              </w:rPr>
            </w:pPr>
            <w:r w:rsidRPr="00980BC4">
              <w:rPr>
                <w:rFonts w:ascii="宋体" w:eastAsia="宋体" w:hAnsi="宋体" w:cs="宋体"/>
                <w:sz w:val="18"/>
                <w:szCs w:val="18"/>
              </w:rPr>
              <w:t>股份总数</w:t>
            </w:r>
          </w:p>
        </w:tc>
        <w:tc>
          <w:tcPr>
            <w:tcW w:w="159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c>
          <w:tcPr>
            <w:tcW w:w="127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p>
        </w:tc>
        <w:tc>
          <w:tcPr>
            <w:tcW w:w="81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442,861,324.00</w:t>
            </w:r>
          </w:p>
        </w:tc>
      </w:tr>
    </w:tbl>
    <w:p w:rsidR="00F67D6F" w:rsidRPr="00980BC4" w:rsidRDefault="00F67D6F" w:rsidP="00A70614">
      <w:pPr>
        <w:pStyle w:val="a3"/>
        <w:spacing w:before="0" w:beforeAutospacing="0" w:after="0" w:afterAutospacing="0" w:line="560" w:lineRule="exact"/>
        <w:ind w:firstLine="560"/>
        <w:jc w:val="both"/>
        <w:divId w:val="969553885"/>
        <w:rPr>
          <w:rFonts w:ascii="仿宋" w:eastAsia="仿宋" w:hAnsi="仿宋" w:cs="Times New Roman"/>
          <w:b/>
          <w:sz w:val="28"/>
          <w:szCs w:val="28"/>
        </w:rPr>
      </w:pPr>
      <w:bookmarkStart w:id="299" w:name="_Toc989187"/>
      <w:r w:rsidRPr="00980BC4">
        <w:rPr>
          <w:rFonts w:ascii="仿宋" w:eastAsia="仿宋" w:hAnsi="仿宋" w:cs="Times New Roman"/>
          <w:b/>
          <w:sz w:val="28"/>
          <w:szCs w:val="28"/>
        </w:rPr>
        <w:t>37、资本公积</w:t>
      </w:r>
      <w:bookmarkEnd w:id="299"/>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093"/>
        <w:gridCol w:w="1762"/>
        <w:gridCol w:w="1928"/>
        <w:gridCol w:w="1928"/>
        <w:gridCol w:w="1928"/>
      </w:tblGrid>
      <w:tr w:rsidR="00F67D6F" w:rsidRPr="00980BC4" w:rsidTr="00A70614">
        <w:trPr>
          <w:divId w:val="969553885"/>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lastRenderedPageBreak/>
              <w:t>项目</w:t>
            </w:r>
          </w:p>
        </w:tc>
        <w:tc>
          <w:tcPr>
            <w:tcW w:w="176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0019C9" w:rsidRPr="00980BC4" w:rsidTr="00A70614">
        <w:trPr>
          <w:divId w:val="969553885"/>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A70614">
            <w:pPr>
              <w:spacing w:before="40" w:after="40" w:line="280" w:lineRule="exact"/>
              <w:rPr>
                <w:rFonts w:ascii="宋体" w:eastAsia="宋体" w:hAnsi="宋体" w:cs="宋体"/>
                <w:sz w:val="18"/>
                <w:szCs w:val="18"/>
              </w:rPr>
            </w:pPr>
            <w:r w:rsidRPr="00980BC4">
              <w:rPr>
                <w:rFonts w:ascii="宋体" w:eastAsia="宋体" w:hAnsi="宋体" w:cs="宋体"/>
                <w:sz w:val="18"/>
                <w:szCs w:val="18"/>
              </w:rPr>
              <w:t>资本溢价（股本溢价）</w:t>
            </w:r>
          </w:p>
        </w:tc>
        <w:tc>
          <w:tcPr>
            <w:tcW w:w="176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645,252,495.89</w:t>
            </w:r>
          </w:p>
        </w:tc>
        <w:tc>
          <w:tcPr>
            <w:tcW w:w="1928"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7,662,720.00</w:t>
            </w:r>
          </w:p>
        </w:tc>
        <w:tc>
          <w:tcPr>
            <w:tcW w:w="1928"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2,511,079.21</w:t>
            </w:r>
          </w:p>
        </w:tc>
        <w:tc>
          <w:tcPr>
            <w:tcW w:w="1928"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650,404,136.68</w:t>
            </w:r>
          </w:p>
        </w:tc>
      </w:tr>
      <w:tr w:rsidR="000019C9" w:rsidRPr="00980BC4" w:rsidTr="00A70614">
        <w:trPr>
          <w:divId w:val="969553885"/>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A70614">
            <w:pPr>
              <w:spacing w:before="40" w:after="40" w:line="280" w:lineRule="exact"/>
              <w:rPr>
                <w:rFonts w:ascii="宋体" w:eastAsia="宋体" w:hAnsi="宋体" w:cs="宋体"/>
                <w:sz w:val="18"/>
                <w:szCs w:val="18"/>
              </w:rPr>
            </w:pPr>
            <w:r w:rsidRPr="00980BC4">
              <w:rPr>
                <w:rFonts w:ascii="宋体" w:eastAsia="宋体" w:hAnsi="宋体" w:cs="宋体"/>
                <w:sz w:val="18"/>
                <w:szCs w:val="18"/>
              </w:rPr>
              <w:t>其他资本公积</w:t>
            </w:r>
          </w:p>
        </w:tc>
        <w:tc>
          <w:tcPr>
            <w:tcW w:w="176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59,001,684.96</w:t>
            </w:r>
          </w:p>
        </w:tc>
        <w:tc>
          <w:tcPr>
            <w:tcW w:w="1928"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11,101,964.74</w:t>
            </w:r>
          </w:p>
        </w:tc>
        <w:tc>
          <w:tcPr>
            <w:tcW w:w="1928"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1402D0">
              <w:rPr>
                <w:rFonts w:ascii="宋体" w:eastAsia="宋体" w:hAnsi="宋体" w:cs="宋体"/>
                <w:sz w:val="18"/>
                <w:szCs w:val="18"/>
              </w:rPr>
              <w:t>11,814,117.33</w:t>
            </w:r>
          </w:p>
        </w:tc>
        <w:tc>
          <w:tcPr>
            <w:tcW w:w="1928"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1402D0">
              <w:rPr>
                <w:rFonts w:ascii="宋体" w:eastAsia="宋体" w:hAnsi="宋体" w:cs="宋体"/>
                <w:sz w:val="18"/>
                <w:szCs w:val="18"/>
              </w:rPr>
              <w:t>58,289,532.37</w:t>
            </w:r>
          </w:p>
        </w:tc>
      </w:tr>
      <w:tr w:rsidR="000019C9" w:rsidRPr="00980BC4" w:rsidTr="00A70614">
        <w:trPr>
          <w:divId w:val="969553885"/>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A70614">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762"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704,254,180.85</w:t>
            </w:r>
          </w:p>
        </w:tc>
        <w:tc>
          <w:tcPr>
            <w:tcW w:w="1928"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18,764,684.74</w:t>
            </w:r>
          </w:p>
        </w:tc>
        <w:tc>
          <w:tcPr>
            <w:tcW w:w="1928"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1402D0">
              <w:rPr>
                <w:rFonts w:ascii="宋体" w:eastAsia="宋体" w:hAnsi="宋体" w:cs="宋体"/>
                <w:sz w:val="18"/>
                <w:szCs w:val="18"/>
              </w:rPr>
              <w:t>14,325,196.54</w:t>
            </w:r>
          </w:p>
        </w:tc>
        <w:tc>
          <w:tcPr>
            <w:tcW w:w="1928"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280" w:lineRule="exact"/>
              <w:jc w:val="right"/>
              <w:rPr>
                <w:rFonts w:ascii="宋体" w:eastAsia="宋体" w:hAnsi="宋体" w:cs="宋体"/>
                <w:sz w:val="18"/>
                <w:szCs w:val="18"/>
              </w:rPr>
            </w:pPr>
            <w:r w:rsidRPr="001402D0">
              <w:rPr>
                <w:rFonts w:ascii="宋体" w:eastAsia="宋体" w:hAnsi="宋体" w:cs="宋体"/>
                <w:sz w:val="18"/>
                <w:szCs w:val="18"/>
              </w:rPr>
              <w:t>708,693,669.05</w:t>
            </w:r>
          </w:p>
        </w:tc>
      </w:tr>
    </w:tbl>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其他说明，包括本期增减变动情况、变动原因说明：</w:t>
      </w:r>
    </w:p>
    <w:p w:rsidR="000019C9" w:rsidRPr="00980BC4" w:rsidRDefault="000019C9" w:rsidP="000019C9">
      <w:pPr>
        <w:pStyle w:val="a3"/>
        <w:spacing w:before="0" w:beforeAutospacing="0" w:after="0" w:afterAutospacing="0" w:line="540" w:lineRule="exact"/>
        <w:ind w:firstLine="480"/>
        <w:jc w:val="both"/>
        <w:divId w:val="969553885"/>
        <w:rPr>
          <w:rFonts w:ascii="仿宋" w:eastAsia="仿宋" w:hAnsi="仿宋" w:cs="Times New Roman"/>
          <w:sz w:val="28"/>
          <w:szCs w:val="28"/>
        </w:rPr>
      </w:pPr>
      <w:bookmarkStart w:id="300" w:name="_Toc989188"/>
      <w:r w:rsidRPr="00980BC4">
        <w:rPr>
          <w:rFonts w:ascii="仿宋" w:eastAsia="仿宋" w:hAnsi="仿宋" w:cs="Times New Roman" w:hint="eastAsia"/>
          <w:sz w:val="28"/>
          <w:szCs w:val="28"/>
        </w:rPr>
        <w:t>股本溢价变动：本期增加系</w:t>
      </w:r>
      <w:r w:rsidRPr="00980BC4">
        <w:rPr>
          <w:rFonts w:ascii="仿宋" w:eastAsia="仿宋" w:hAnsi="仿宋" w:cs="Times New Roman"/>
          <w:sz w:val="28"/>
          <w:szCs w:val="28"/>
        </w:rPr>
        <w:t>2021</w:t>
      </w:r>
      <w:r w:rsidRPr="00980BC4">
        <w:rPr>
          <w:rFonts w:ascii="仿宋" w:eastAsia="仿宋" w:hAnsi="仿宋" w:cs="Times New Roman" w:hint="eastAsia"/>
          <w:sz w:val="28"/>
          <w:szCs w:val="28"/>
        </w:rPr>
        <w:t>年</w:t>
      </w:r>
      <w:r w:rsidRPr="00980BC4">
        <w:rPr>
          <w:rFonts w:ascii="仿宋" w:eastAsia="仿宋" w:hAnsi="仿宋" w:cs="Times New Roman"/>
          <w:sz w:val="28"/>
          <w:szCs w:val="28"/>
        </w:rPr>
        <w:t>3</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30</w:t>
      </w:r>
      <w:r w:rsidRPr="00980BC4">
        <w:rPr>
          <w:rFonts w:ascii="仿宋" w:eastAsia="仿宋" w:hAnsi="仿宋" w:cs="Times New Roman" w:hint="eastAsia"/>
          <w:sz w:val="28"/>
          <w:szCs w:val="28"/>
        </w:rPr>
        <w:t>日实施的首次股份支付计划第一个解禁期为</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5</w:t>
      </w:r>
      <w:r w:rsidRPr="00980BC4">
        <w:rPr>
          <w:rFonts w:ascii="仿宋" w:eastAsia="仿宋" w:hAnsi="仿宋" w:cs="Times New Roman" w:hint="eastAsia"/>
          <w:sz w:val="28"/>
          <w:szCs w:val="28"/>
        </w:rPr>
        <w:t>月</w:t>
      </w:r>
      <w:r w:rsidRPr="00980BC4">
        <w:rPr>
          <w:rFonts w:ascii="仿宋" w:eastAsia="仿宋" w:hAnsi="仿宋" w:cs="Times New Roman"/>
          <w:sz w:val="28"/>
          <w:szCs w:val="28"/>
        </w:rPr>
        <w:t>19</w:t>
      </w:r>
      <w:r w:rsidRPr="00980BC4">
        <w:rPr>
          <w:rFonts w:ascii="仿宋" w:eastAsia="仿宋" w:hAnsi="仿宋" w:cs="Times New Roman" w:hint="eastAsia"/>
          <w:sz w:val="28"/>
          <w:szCs w:val="28"/>
        </w:rPr>
        <w:t>日，本期将解禁部分股权所摊销的费用</w:t>
      </w:r>
      <w:r w:rsidRPr="00980BC4">
        <w:rPr>
          <w:rFonts w:ascii="仿宋" w:eastAsia="仿宋" w:hAnsi="仿宋" w:cs="Times New Roman"/>
          <w:sz w:val="28"/>
          <w:szCs w:val="28"/>
        </w:rPr>
        <w:t>7,662,720.00</w:t>
      </w:r>
      <w:r w:rsidRPr="00980BC4">
        <w:rPr>
          <w:rFonts w:ascii="仿宋" w:eastAsia="仿宋" w:hAnsi="仿宋" w:cs="Times New Roman" w:hint="eastAsia"/>
          <w:sz w:val="28"/>
          <w:szCs w:val="28"/>
        </w:rPr>
        <w:t>元由其他资本公积转至股本溢价；本期减少系实施预留部分股份支付计划的行权价格低于股份回购平均价格的部分减少资本公积</w:t>
      </w:r>
      <w:r w:rsidRPr="00980BC4">
        <w:rPr>
          <w:rFonts w:ascii="仿宋" w:eastAsia="仿宋" w:hAnsi="仿宋" w:cs="Times New Roman"/>
          <w:sz w:val="28"/>
          <w:szCs w:val="28"/>
        </w:rPr>
        <w:t>-</w:t>
      </w:r>
      <w:r w:rsidRPr="00980BC4">
        <w:rPr>
          <w:rFonts w:ascii="仿宋" w:eastAsia="仿宋" w:hAnsi="仿宋" w:cs="Times New Roman" w:hint="eastAsia"/>
          <w:sz w:val="28"/>
          <w:szCs w:val="28"/>
        </w:rPr>
        <w:t>股本溢价</w:t>
      </w:r>
      <w:r w:rsidRPr="00980BC4">
        <w:rPr>
          <w:rFonts w:ascii="仿宋" w:eastAsia="仿宋" w:hAnsi="仿宋" w:cs="Times New Roman"/>
          <w:sz w:val="28"/>
          <w:szCs w:val="28"/>
        </w:rPr>
        <w:t>2,511,079.21</w:t>
      </w:r>
      <w:r w:rsidRPr="00980BC4">
        <w:rPr>
          <w:rFonts w:ascii="仿宋" w:eastAsia="仿宋" w:hAnsi="仿宋" w:cs="Times New Roman" w:hint="eastAsia"/>
          <w:sz w:val="28"/>
          <w:szCs w:val="28"/>
        </w:rPr>
        <w:t>元</w:t>
      </w:r>
      <w:r>
        <w:rPr>
          <w:rFonts w:ascii="仿宋" w:eastAsia="仿宋" w:hAnsi="仿宋" w:cs="Times New Roman" w:hint="eastAsia"/>
          <w:sz w:val="28"/>
          <w:szCs w:val="28"/>
        </w:rPr>
        <w:t>；</w:t>
      </w:r>
    </w:p>
    <w:p w:rsidR="000019C9" w:rsidRPr="00980BC4" w:rsidRDefault="000019C9" w:rsidP="000019C9">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其他资本公积变动：本期减少除上述结转至股本溢价金额外，其余为根据本期末股价与股份支付授予日公允价值判断不存在超额抵税，将上期所提超额抵税</w:t>
      </w:r>
      <w:r w:rsidRPr="00980BC4">
        <w:rPr>
          <w:rFonts w:ascii="仿宋" w:eastAsia="仿宋" w:hAnsi="仿宋" w:cs="Times New Roman"/>
          <w:sz w:val="28"/>
          <w:szCs w:val="28"/>
        </w:rPr>
        <w:t>150,239.15</w:t>
      </w:r>
      <w:r w:rsidRPr="00980BC4">
        <w:rPr>
          <w:rFonts w:ascii="仿宋" w:eastAsia="仿宋" w:hAnsi="仿宋" w:cs="Times New Roman" w:hint="eastAsia"/>
          <w:sz w:val="28"/>
          <w:szCs w:val="28"/>
        </w:rPr>
        <w:t>元冲回</w:t>
      </w:r>
      <w:r w:rsidRPr="001402D0">
        <w:rPr>
          <w:rFonts w:ascii="仿宋" w:eastAsia="仿宋" w:hAnsi="仿宋" w:cs="Times New Roman" w:hint="eastAsia"/>
          <w:sz w:val="28"/>
          <w:szCs w:val="28"/>
        </w:rPr>
        <w:t>；由于本公司联营企业苏州锴威特半导体股份有限公司（以下简称“锴威特”）其他股东增资导致本公司对锴威特投资比例被稀释，按比例结转初始投资时形成的内含商誉4,001,158.18元</w:t>
      </w:r>
      <w:r w:rsidRPr="00980BC4">
        <w:rPr>
          <w:rFonts w:ascii="仿宋" w:eastAsia="仿宋" w:hAnsi="仿宋" w:cs="Times New Roman" w:hint="eastAsia"/>
          <w:sz w:val="28"/>
          <w:szCs w:val="28"/>
        </w:rPr>
        <w:t>。其他资本公积本期增加为本期摊销首次股份支付计划及预留部分股份支付计划费用</w:t>
      </w:r>
      <w:r w:rsidRPr="00980BC4">
        <w:rPr>
          <w:rFonts w:ascii="仿宋" w:eastAsia="仿宋" w:hAnsi="仿宋" w:cs="Times New Roman"/>
          <w:sz w:val="28"/>
          <w:szCs w:val="28"/>
        </w:rPr>
        <w:t>10,128,809.55</w:t>
      </w:r>
      <w:r w:rsidRPr="00980BC4">
        <w:rPr>
          <w:rFonts w:ascii="仿宋" w:eastAsia="仿宋" w:hAnsi="仿宋" w:cs="Times New Roman" w:hint="eastAsia"/>
          <w:sz w:val="28"/>
          <w:szCs w:val="28"/>
        </w:rPr>
        <w:t>元并扣减含能股份支付费用摊销中属于少数股东的</w:t>
      </w:r>
      <w:r w:rsidRPr="00980BC4">
        <w:rPr>
          <w:rFonts w:ascii="仿宋" w:eastAsia="仿宋" w:hAnsi="仿宋" w:cs="Times New Roman"/>
          <w:sz w:val="28"/>
          <w:szCs w:val="28"/>
        </w:rPr>
        <w:t>163,043.09</w:t>
      </w:r>
      <w:r w:rsidRPr="00980BC4">
        <w:rPr>
          <w:rFonts w:ascii="仿宋" w:eastAsia="仿宋" w:hAnsi="仿宋" w:cs="Times New Roman" w:hint="eastAsia"/>
          <w:sz w:val="28"/>
          <w:szCs w:val="28"/>
        </w:rPr>
        <w:t>元；本期收到公司实控人购买公司股票后出售构成短线交易所获收益</w:t>
      </w:r>
      <w:r w:rsidRPr="00980BC4">
        <w:rPr>
          <w:rFonts w:ascii="仿宋" w:eastAsia="仿宋" w:hAnsi="仿宋" w:cs="Times New Roman"/>
          <w:sz w:val="28"/>
          <w:szCs w:val="28"/>
        </w:rPr>
        <w:t>55,200.00</w:t>
      </w:r>
      <w:r w:rsidRPr="00980BC4">
        <w:rPr>
          <w:rFonts w:ascii="仿宋" w:eastAsia="仿宋" w:hAnsi="仿宋" w:cs="Times New Roman" w:hint="eastAsia"/>
          <w:sz w:val="28"/>
          <w:szCs w:val="28"/>
        </w:rPr>
        <w:t>元；因权益法核算的联营企业进行股份支付导致本公司按持股比例享有的净资产份额增加确认的资本公积</w:t>
      </w:r>
      <w:r w:rsidRPr="00980BC4">
        <w:rPr>
          <w:rFonts w:ascii="仿宋" w:eastAsia="仿宋" w:hAnsi="仿宋" w:cs="Times New Roman"/>
          <w:sz w:val="28"/>
          <w:szCs w:val="28"/>
        </w:rPr>
        <w:t>-</w:t>
      </w:r>
      <w:r w:rsidRPr="00980BC4">
        <w:rPr>
          <w:rFonts w:ascii="仿宋" w:eastAsia="仿宋" w:hAnsi="仿宋" w:cs="Times New Roman" w:hint="eastAsia"/>
          <w:sz w:val="28"/>
          <w:szCs w:val="28"/>
        </w:rPr>
        <w:t>其他资本公积</w:t>
      </w:r>
      <w:r w:rsidRPr="00980BC4">
        <w:rPr>
          <w:rFonts w:ascii="仿宋" w:eastAsia="仿宋" w:hAnsi="仿宋" w:cs="Times New Roman"/>
          <w:sz w:val="28"/>
          <w:szCs w:val="28"/>
        </w:rPr>
        <w:t>1,080,998.28</w:t>
      </w:r>
      <w:r w:rsidRPr="00980BC4">
        <w:rPr>
          <w:rFonts w:ascii="仿宋" w:eastAsia="仿宋" w:hAnsi="仿宋" w:cs="Times New Roman" w:hint="eastAsia"/>
          <w:sz w:val="28"/>
          <w:szCs w:val="28"/>
        </w:rPr>
        <w:t>元。</w:t>
      </w:r>
    </w:p>
    <w:p w:rsidR="00F67D6F" w:rsidRPr="00980BC4" w:rsidRDefault="00F67D6F" w:rsidP="00B7436F">
      <w:pPr>
        <w:pStyle w:val="a3"/>
        <w:spacing w:before="0" w:beforeAutospacing="0" w:after="0" w:afterAutospacing="0" w:line="540" w:lineRule="exact"/>
        <w:ind w:firstLine="560"/>
        <w:jc w:val="both"/>
        <w:divId w:val="969553885"/>
        <w:rPr>
          <w:rFonts w:ascii="仿宋" w:eastAsia="仿宋" w:hAnsi="仿宋" w:cs="Times New Roman"/>
          <w:b/>
          <w:sz w:val="28"/>
          <w:szCs w:val="28"/>
        </w:rPr>
      </w:pPr>
      <w:r w:rsidRPr="00980BC4">
        <w:rPr>
          <w:rFonts w:ascii="仿宋" w:eastAsia="仿宋" w:hAnsi="仿宋" w:cs="Times New Roman"/>
          <w:b/>
          <w:sz w:val="28"/>
          <w:szCs w:val="28"/>
        </w:rPr>
        <w:t>38、库存股</w:t>
      </w:r>
      <w:bookmarkEnd w:id="30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rPr>
                <w:rFonts w:ascii="宋体" w:eastAsia="宋体" w:hAnsi="宋体" w:cs="宋体"/>
                <w:sz w:val="18"/>
                <w:szCs w:val="18"/>
              </w:rPr>
            </w:pPr>
            <w:r w:rsidRPr="00980BC4">
              <w:rPr>
                <w:rFonts w:ascii="宋体" w:eastAsia="宋体" w:hAnsi="宋体" w:cs="宋体"/>
                <w:sz w:val="18"/>
                <w:szCs w:val="18"/>
              </w:rPr>
              <w:t>库存股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74,214,504.38</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8,887,962.61</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65,326,541.77</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74,214,504.38</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8,887,962.61</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65,326,541.77</w:t>
            </w:r>
          </w:p>
        </w:tc>
      </w:tr>
    </w:tbl>
    <w:p w:rsidR="00F67D6F" w:rsidRPr="00980BC4" w:rsidRDefault="00F67D6F" w:rsidP="00A70614">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其他说明，包括本期增减变动情况、变动原因说明：</w:t>
      </w:r>
    </w:p>
    <w:p w:rsidR="00F67D6F" w:rsidRPr="00980BC4" w:rsidRDefault="00F67D6F" w:rsidP="00A70614">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lastRenderedPageBreak/>
        <w:t>库存股本期减少为核销首次股份支付计划第一批解禁股数的回购义务</w:t>
      </w:r>
      <w:r w:rsidRPr="00980BC4">
        <w:rPr>
          <w:rFonts w:ascii="仿宋" w:eastAsia="仿宋" w:hAnsi="仿宋" w:cs="Times New Roman"/>
          <w:sz w:val="28"/>
          <w:szCs w:val="28"/>
        </w:rPr>
        <w:t>6,376,883.40</w:t>
      </w:r>
      <w:r w:rsidRPr="00980BC4">
        <w:rPr>
          <w:rFonts w:ascii="仿宋" w:eastAsia="仿宋" w:hAnsi="仿宋" w:cs="Times New Roman" w:hint="eastAsia"/>
          <w:sz w:val="28"/>
          <w:szCs w:val="28"/>
        </w:rPr>
        <w:t>元、实施预留部分股份支付计划的行权价格低于股份回购平均价格的部分减少库存股</w:t>
      </w:r>
      <w:r w:rsidRPr="00980BC4">
        <w:rPr>
          <w:rFonts w:ascii="仿宋" w:eastAsia="仿宋" w:hAnsi="仿宋" w:cs="Times New Roman"/>
          <w:sz w:val="28"/>
          <w:szCs w:val="28"/>
        </w:rPr>
        <w:t>2,511,079.21</w:t>
      </w:r>
      <w:r w:rsidRPr="00980BC4">
        <w:rPr>
          <w:rFonts w:ascii="仿宋" w:eastAsia="仿宋" w:hAnsi="仿宋" w:cs="Times New Roman" w:hint="eastAsia"/>
          <w:sz w:val="28"/>
          <w:szCs w:val="28"/>
        </w:rPr>
        <w:t>元。</w:t>
      </w:r>
    </w:p>
    <w:p w:rsidR="00F67D6F" w:rsidRPr="00980BC4" w:rsidRDefault="00F67D6F" w:rsidP="00A70614">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01" w:name="_Toc989189"/>
      <w:r w:rsidRPr="00980BC4">
        <w:rPr>
          <w:rFonts w:ascii="仿宋" w:eastAsia="仿宋" w:hAnsi="仿宋" w:cs="Times New Roman"/>
          <w:b/>
          <w:sz w:val="28"/>
          <w:szCs w:val="28"/>
        </w:rPr>
        <w:t>39、专项储备</w:t>
      </w:r>
      <w:bookmarkEnd w:id="30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280" w:lineRule="exact"/>
              <w:rPr>
                <w:rFonts w:ascii="宋体" w:eastAsia="宋体" w:hAnsi="宋体" w:cs="宋体"/>
                <w:sz w:val="18"/>
                <w:szCs w:val="18"/>
              </w:rPr>
            </w:pPr>
            <w:r w:rsidRPr="00980BC4">
              <w:rPr>
                <w:rFonts w:ascii="宋体" w:eastAsia="宋体" w:hAnsi="宋体" w:cs="宋体"/>
                <w:sz w:val="18"/>
                <w:szCs w:val="18"/>
              </w:rPr>
              <w:t>安全生产费</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280" w:lineRule="exact"/>
              <w:jc w:val="right"/>
              <w:rPr>
                <w:rFonts w:ascii="宋体" w:eastAsia="宋体" w:hAnsi="宋体" w:cs="宋体"/>
                <w:sz w:val="18"/>
                <w:szCs w:val="18"/>
              </w:rPr>
            </w:pPr>
            <w:r w:rsidRPr="00980BC4">
              <w:rPr>
                <w:rFonts w:ascii="宋体" w:eastAsia="宋体" w:hAnsi="宋体" w:cs="宋体"/>
                <w:sz w:val="18"/>
                <w:szCs w:val="18"/>
              </w:rPr>
              <w:t>4,475,651.97</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280" w:lineRule="exact"/>
              <w:jc w:val="right"/>
              <w:rPr>
                <w:rFonts w:ascii="宋体" w:eastAsia="宋体" w:hAnsi="宋体" w:cs="宋体"/>
                <w:sz w:val="18"/>
                <w:szCs w:val="18"/>
              </w:rPr>
            </w:pPr>
            <w:r w:rsidRPr="00980BC4">
              <w:rPr>
                <w:rFonts w:ascii="宋体" w:eastAsia="宋体" w:hAnsi="宋体" w:cs="宋体"/>
                <w:sz w:val="18"/>
                <w:szCs w:val="18"/>
              </w:rPr>
              <w:t>1,684,328.99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280" w:lineRule="exact"/>
              <w:jc w:val="right"/>
              <w:rPr>
                <w:rFonts w:ascii="宋体" w:eastAsia="宋体" w:hAnsi="宋体" w:cs="宋体"/>
                <w:sz w:val="18"/>
                <w:szCs w:val="18"/>
              </w:rPr>
            </w:pPr>
            <w:r w:rsidRPr="00980BC4">
              <w:rPr>
                <w:rFonts w:ascii="宋体" w:eastAsia="宋体" w:hAnsi="宋体" w:cs="宋体"/>
                <w:sz w:val="18"/>
                <w:szCs w:val="18"/>
              </w:rPr>
              <w:t>842,914.53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280" w:lineRule="exact"/>
              <w:jc w:val="right"/>
              <w:rPr>
                <w:rFonts w:ascii="宋体" w:eastAsia="宋体" w:hAnsi="宋体" w:cs="宋体"/>
                <w:sz w:val="18"/>
                <w:szCs w:val="18"/>
              </w:rPr>
            </w:pPr>
            <w:r w:rsidRPr="00980BC4">
              <w:rPr>
                <w:rFonts w:ascii="宋体" w:eastAsia="宋体" w:hAnsi="宋体" w:cs="宋体"/>
                <w:sz w:val="18"/>
                <w:szCs w:val="18"/>
              </w:rPr>
              <w:t>5,317,066.43</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280" w:lineRule="exact"/>
              <w:jc w:val="right"/>
              <w:rPr>
                <w:rFonts w:ascii="宋体" w:eastAsia="宋体" w:hAnsi="宋体" w:cs="宋体"/>
                <w:sz w:val="18"/>
                <w:szCs w:val="18"/>
              </w:rPr>
            </w:pPr>
            <w:r w:rsidRPr="00980BC4">
              <w:rPr>
                <w:rFonts w:ascii="宋体" w:eastAsia="宋体" w:hAnsi="宋体" w:cs="宋体"/>
                <w:sz w:val="18"/>
                <w:szCs w:val="18"/>
              </w:rPr>
              <w:t>4,475,651.97</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280" w:lineRule="exact"/>
              <w:jc w:val="right"/>
              <w:rPr>
                <w:rFonts w:ascii="宋体" w:eastAsia="宋体" w:hAnsi="宋体" w:cs="宋体"/>
                <w:sz w:val="18"/>
                <w:szCs w:val="18"/>
              </w:rPr>
            </w:pPr>
            <w:r w:rsidRPr="00980BC4">
              <w:rPr>
                <w:rFonts w:ascii="宋体" w:eastAsia="宋体" w:hAnsi="宋体" w:cs="宋体"/>
                <w:sz w:val="18"/>
                <w:szCs w:val="18"/>
              </w:rPr>
              <w:t>1,684,328.99</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280" w:lineRule="exact"/>
              <w:jc w:val="right"/>
              <w:rPr>
                <w:rFonts w:ascii="宋体" w:eastAsia="宋体" w:hAnsi="宋体" w:cs="宋体"/>
                <w:sz w:val="18"/>
                <w:szCs w:val="18"/>
              </w:rPr>
            </w:pPr>
            <w:r w:rsidRPr="00980BC4">
              <w:rPr>
                <w:rFonts w:ascii="宋体" w:eastAsia="宋体" w:hAnsi="宋体" w:cs="宋体"/>
                <w:sz w:val="18"/>
                <w:szCs w:val="18"/>
              </w:rPr>
              <w:t>842,914.53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280" w:lineRule="exact"/>
              <w:jc w:val="right"/>
              <w:rPr>
                <w:rFonts w:ascii="宋体" w:eastAsia="宋体" w:hAnsi="宋体" w:cs="宋体"/>
                <w:sz w:val="18"/>
                <w:szCs w:val="18"/>
              </w:rPr>
            </w:pPr>
            <w:r w:rsidRPr="00980BC4">
              <w:rPr>
                <w:rFonts w:ascii="宋体" w:eastAsia="宋体" w:hAnsi="宋体" w:cs="宋体"/>
                <w:sz w:val="18"/>
                <w:szCs w:val="18"/>
              </w:rPr>
              <w:t>5,317,066.43</w:t>
            </w:r>
          </w:p>
        </w:tc>
      </w:tr>
    </w:tbl>
    <w:p w:rsidR="00F67D6F" w:rsidRPr="00980BC4" w:rsidRDefault="00F67D6F" w:rsidP="00A70614">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02" w:name="_Toc989190"/>
      <w:r w:rsidRPr="00980BC4">
        <w:rPr>
          <w:rFonts w:ascii="仿宋" w:eastAsia="仿宋" w:hAnsi="仿宋" w:cs="Times New Roman"/>
          <w:b/>
          <w:sz w:val="28"/>
          <w:szCs w:val="28"/>
        </w:rPr>
        <w:t>40、盈余公积</w:t>
      </w:r>
      <w:bookmarkEnd w:id="30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rPr>
                <w:rFonts w:ascii="宋体" w:eastAsia="宋体" w:hAnsi="宋体" w:cs="宋体"/>
                <w:sz w:val="18"/>
                <w:szCs w:val="18"/>
              </w:rPr>
            </w:pPr>
            <w:r w:rsidRPr="00980BC4">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90,928,947.53</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70614">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85,729,477.01</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70614">
            <w:pPr>
              <w:spacing w:line="280" w:lineRule="exact"/>
              <w:jc w:val="right"/>
              <w:rPr>
                <w:rFonts w:ascii="宋体" w:eastAsia="宋体" w:hAnsi="宋体" w:cs="宋体"/>
                <w:sz w:val="18"/>
                <w:szCs w:val="18"/>
              </w:rPr>
            </w:pPr>
            <w:r w:rsidRPr="00980BC4">
              <w:rPr>
                <w:rFonts w:ascii="宋体" w:eastAsia="宋体" w:hAnsi="宋体" w:cs="宋体"/>
                <w:sz w:val="18"/>
                <w:szCs w:val="18"/>
              </w:rPr>
              <w:t>90,928,947.53</w:t>
            </w:r>
          </w:p>
        </w:tc>
      </w:tr>
    </w:tbl>
    <w:p w:rsidR="00F67D6F" w:rsidRPr="00980BC4" w:rsidRDefault="00F67D6F" w:rsidP="00A70614">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03" w:name="_Toc989191"/>
      <w:r w:rsidRPr="00980BC4">
        <w:rPr>
          <w:rFonts w:ascii="仿宋" w:eastAsia="仿宋" w:hAnsi="仿宋" w:cs="Times New Roman"/>
          <w:b/>
          <w:sz w:val="28"/>
          <w:szCs w:val="28"/>
        </w:rPr>
        <w:t>41、未分配利润</w:t>
      </w:r>
      <w:bookmarkEnd w:id="303"/>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794"/>
        <w:gridCol w:w="2632"/>
        <w:gridCol w:w="3213"/>
      </w:tblGrid>
      <w:tr w:rsidR="00F67D6F" w:rsidRPr="00980BC4" w:rsidTr="00A70614">
        <w:trPr>
          <w:divId w:val="969553885"/>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63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上期</w:t>
            </w:r>
          </w:p>
        </w:tc>
      </w:tr>
      <w:tr w:rsidR="00F67D6F" w:rsidRPr="00980BC4" w:rsidTr="00A70614">
        <w:trPr>
          <w:divId w:val="969553885"/>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rPr>
                <w:rFonts w:ascii="宋体" w:eastAsia="宋体" w:hAnsi="宋体" w:cs="宋体"/>
                <w:sz w:val="18"/>
                <w:szCs w:val="18"/>
              </w:rPr>
            </w:pPr>
            <w:r w:rsidRPr="00980BC4">
              <w:rPr>
                <w:rFonts w:ascii="宋体" w:eastAsia="宋体" w:hAnsi="宋体" w:cs="宋体"/>
                <w:sz w:val="18"/>
                <w:szCs w:val="18"/>
              </w:rPr>
              <w:t>调整前上期末未分配利润</w:t>
            </w:r>
          </w:p>
        </w:tc>
        <w:tc>
          <w:tcPr>
            <w:tcW w:w="26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458,070,573.76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513,010,245.65</w:t>
            </w:r>
          </w:p>
        </w:tc>
      </w:tr>
      <w:tr w:rsidR="00F67D6F" w:rsidRPr="00980BC4" w:rsidTr="00A70614">
        <w:trPr>
          <w:divId w:val="969553885"/>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rPr>
                <w:rFonts w:ascii="宋体" w:eastAsia="宋体" w:hAnsi="宋体" w:cs="宋体"/>
                <w:sz w:val="18"/>
                <w:szCs w:val="18"/>
              </w:rPr>
            </w:pPr>
            <w:r w:rsidRPr="00980BC4">
              <w:rPr>
                <w:rFonts w:ascii="宋体" w:eastAsia="宋体" w:hAnsi="宋体" w:cs="宋体"/>
                <w:sz w:val="18"/>
                <w:szCs w:val="18"/>
              </w:rPr>
              <w:t>调整后期初未分配利润</w:t>
            </w:r>
          </w:p>
        </w:tc>
        <w:tc>
          <w:tcPr>
            <w:tcW w:w="26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458,070,573.76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513,010,245.65</w:t>
            </w:r>
          </w:p>
        </w:tc>
      </w:tr>
      <w:tr w:rsidR="00F67D6F" w:rsidRPr="00980BC4" w:rsidTr="00A70614">
        <w:trPr>
          <w:divId w:val="969553885"/>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rPr>
                <w:rFonts w:ascii="宋体" w:eastAsia="宋体" w:hAnsi="宋体" w:cs="宋体"/>
                <w:sz w:val="18"/>
                <w:szCs w:val="18"/>
              </w:rPr>
            </w:pPr>
            <w:r w:rsidRPr="00980BC4">
              <w:rPr>
                <w:rFonts w:ascii="宋体" w:eastAsia="宋体" w:hAnsi="宋体" w:cs="宋体"/>
                <w:sz w:val="18"/>
                <w:szCs w:val="18"/>
              </w:rPr>
              <w:t>加：本期归属于母公司所有者的净利润</w:t>
            </w:r>
          </w:p>
        </w:tc>
        <w:tc>
          <w:tcPr>
            <w:tcW w:w="26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119,408,179.51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31,858,231.32</w:t>
            </w:r>
          </w:p>
        </w:tc>
      </w:tr>
      <w:tr w:rsidR="00F67D6F" w:rsidRPr="00980BC4" w:rsidTr="00A70614">
        <w:trPr>
          <w:divId w:val="969553885"/>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rPr>
                <w:rFonts w:ascii="宋体" w:eastAsia="宋体" w:hAnsi="宋体" w:cs="宋体"/>
                <w:sz w:val="18"/>
                <w:szCs w:val="18"/>
              </w:rPr>
            </w:pPr>
            <w:r w:rsidRPr="00980BC4">
              <w:rPr>
                <w:rFonts w:ascii="宋体" w:eastAsia="宋体" w:hAnsi="宋体" w:cs="宋体"/>
                <w:sz w:val="18"/>
                <w:szCs w:val="18"/>
              </w:rPr>
              <w:t>减：提取法定盈余公积</w:t>
            </w:r>
          </w:p>
        </w:tc>
        <w:tc>
          <w:tcPr>
            <w:tcW w:w="26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5,199,470.52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p>
        </w:tc>
      </w:tr>
      <w:tr w:rsidR="00F67D6F" w:rsidRPr="00980BC4" w:rsidTr="00A70614">
        <w:trPr>
          <w:divId w:val="969553885"/>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ind w:firstLineChars="200" w:firstLine="360"/>
              <w:rPr>
                <w:rFonts w:ascii="宋体" w:eastAsia="宋体" w:hAnsi="宋体" w:cs="宋体"/>
                <w:sz w:val="18"/>
                <w:szCs w:val="18"/>
              </w:rPr>
            </w:pPr>
            <w:r w:rsidRPr="00980BC4">
              <w:rPr>
                <w:rFonts w:ascii="宋体" w:eastAsia="宋体" w:hAnsi="宋体" w:cs="宋体"/>
                <w:sz w:val="18"/>
                <w:szCs w:val="18"/>
              </w:rPr>
              <w:t>应付普通股股利</w:t>
            </w:r>
          </w:p>
        </w:tc>
        <w:tc>
          <w:tcPr>
            <w:tcW w:w="26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86,797,903.21</w:t>
            </w:r>
          </w:p>
        </w:tc>
      </w:tr>
      <w:tr w:rsidR="00F67D6F" w:rsidRPr="00980BC4" w:rsidTr="00A70614">
        <w:trPr>
          <w:divId w:val="969553885"/>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rPr>
                <w:rFonts w:ascii="宋体" w:eastAsia="宋体" w:hAnsi="宋体" w:cs="宋体"/>
                <w:sz w:val="18"/>
                <w:szCs w:val="18"/>
              </w:rPr>
            </w:pPr>
            <w:r w:rsidRPr="00980BC4">
              <w:rPr>
                <w:rFonts w:ascii="宋体" w:eastAsia="宋体" w:hAnsi="宋体" w:cs="宋体"/>
                <w:sz w:val="18"/>
                <w:szCs w:val="18"/>
              </w:rPr>
              <w:t>期末未分配利润</w:t>
            </w:r>
          </w:p>
        </w:tc>
        <w:tc>
          <w:tcPr>
            <w:tcW w:w="26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572,279,282.75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458,070,573.76</w:t>
            </w:r>
          </w:p>
        </w:tc>
      </w:tr>
    </w:tbl>
    <w:p w:rsidR="00F67D6F" w:rsidRPr="00980BC4" w:rsidRDefault="00F67D6F" w:rsidP="00A70614">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04" w:name="_Toc989192"/>
      <w:r w:rsidRPr="00980BC4">
        <w:rPr>
          <w:rFonts w:ascii="仿宋" w:eastAsia="仿宋" w:hAnsi="仿宋" w:cs="Times New Roman"/>
          <w:b/>
          <w:sz w:val="28"/>
          <w:szCs w:val="28"/>
        </w:rPr>
        <w:t>42、营业收入和营业成本</w:t>
      </w:r>
      <w:bookmarkEnd w:id="304"/>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F67D6F">
        <w:trPr>
          <w:divId w:val="969553885"/>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line="30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成本</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rPr>
                <w:rFonts w:ascii="宋体" w:eastAsia="宋体" w:hAnsi="宋体" w:cs="宋体"/>
                <w:sz w:val="18"/>
                <w:szCs w:val="18"/>
              </w:rPr>
            </w:pPr>
            <w:r w:rsidRPr="00980BC4">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437,320,011.38</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172,954,822.02</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532,308,843.95</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318,642,850.26</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rPr>
                <w:rFonts w:ascii="宋体" w:eastAsia="宋体" w:hAnsi="宋体" w:cs="宋体"/>
                <w:sz w:val="18"/>
                <w:szCs w:val="18"/>
              </w:rPr>
            </w:pPr>
            <w:r w:rsidRPr="00980BC4">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8,061,980.27</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3,642,601.72</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7,317,533.10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2,843,613.03</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06D8B">
            <w:pPr>
              <w:spacing w:before="40" w:after="40" w:line="300" w:lineRule="exact"/>
              <w:rPr>
                <w:rFonts w:ascii="宋体" w:eastAsia="宋体" w:hAnsi="宋体" w:cs="宋体"/>
                <w:sz w:val="18"/>
                <w:szCs w:val="18"/>
              </w:rPr>
            </w:pPr>
            <w:r w:rsidRPr="00980BC4">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445,381,991.65</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176,597,423.74</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539,626,377.05</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06D8B">
            <w:pPr>
              <w:spacing w:line="300" w:lineRule="exact"/>
              <w:jc w:val="right"/>
              <w:rPr>
                <w:rFonts w:ascii="宋体" w:eastAsia="宋体" w:hAnsi="宋体" w:cs="宋体"/>
                <w:sz w:val="18"/>
                <w:szCs w:val="18"/>
              </w:rPr>
            </w:pPr>
            <w:r w:rsidRPr="00980BC4">
              <w:rPr>
                <w:rFonts w:ascii="宋体" w:eastAsia="宋体" w:hAnsi="宋体" w:cs="宋体"/>
                <w:sz w:val="18"/>
                <w:szCs w:val="18"/>
              </w:rPr>
              <w:t>321,486,463.29</w:t>
            </w:r>
          </w:p>
        </w:tc>
      </w:tr>
    </w:tbl>
    <w:p w:rsidR="00F67D6F" w:rsidRPr="00980BC4" w:rsidRDefault="00F67D6F" w:rsidP="00A70614">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经审计扣除非经常损益前后净利润孰低是否为负值</w:t>
      </w:r>
    </w:p>
    <w:p w:rsidR="00F67D6F" w:rsidRPr="00980BC4" w:rsidRDefault="00F67D6F" w:rsidP="00A70614">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□是</w:t>
      </w:r>
      <w:r w:rsidR="00A70614"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否</w:t>
      </w:r>
    </w:p>
    <w:p w:rsidR="00F67D6F" w:rsidRPr="00980BC4" w:rsidRDefault="00F67D6F" w:rsidP="00A70614">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收入相关信息：</w:t>
      </w:r>
    </w:p>
    <w:p w:rsidR="00352914" w:rsidRPr="00980BC4" w:rsidRDefault="00352914" w:rsidP="00352914">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lastRenderedPageBreak/>
        <w:t>单位：元</w:t>
      </w:r>
    </w:p>
    <w:tbl>
      <w:tblPr>
        <w:tblW w:w="1003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235"/>
        <w:gridCol w:w="1417"/>
        <w:gridCol w:w="1701"/>
        <w:gridCol w:w="1559"/>
        <w:gridCol w:w="1418"/>
        <w:gridCol w:w="1701"/>
      </w:tblGrid>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合同分类</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分部1</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分部2</w:t>
            </w: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center"/>
              <w:rPr>
                <w:rFonts w:ascii="宋体" w:eastAsia="宋体" w:hAnsi="宋体" w:cs="宋体"/>
                <w:sz w:val="18"/>
                <w:szCs w:val="18"/>
              </w:rPr>
            </w:pPr>
            <w:r w:rsidRPr="00980BC4">
              <w:rPr>
                <w:rFonts w:ascii="宋体" w:eastAsia="宋体" w:hAnsi="宋体" w:cs="宋体"/>
                <w:sz w:val="18"/>
                <w:szCs w:val="18"/>
              </w:rPr>
              <w:t>分部3</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before="40" w:after="40" w:line="280" w:lineRule="exact"/>
              <w:jc w:val="center"/>
              <w:rPr>
                <w:rFonts w:ascii="宋体" w:eastAsia="宋体" w:hAnsi="宋体" w:cs="宋体"/>
                <w:sz w:val="18"/>
                <w:szCs w:val="18"/>
              </w:rPr>
            </w:pPr>
            <w:r>
              <w:rPr>
                <w:rFonts w:ascii="宋体" w:eastAsia="宋体" w:hAnsi="宋体" w:cs="宋体" w:hint="eastAsia"/>
                <w:sz w:val="18"/>
                <w:szCs w:val="18"/>
              </w:rPr>
              <w:t>分部4</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before="40" w:after="40" w:line="280" w:lineRule="exact"/>
              <w:rPr>
                <w:rFonts w:ascii="宋体" w:eastAsia="宋体" w:hAnsi="宋体" w:cs="宋体"/>
                <w:sz w:val="18"/>
                <w:szCs w:val="18"/>
              </w:rPr>
            </w:pPr>
            <w:r w:rsidRPr="00980BC4">
              <w:rPr>
                <w:rFonts w:ascii="宋体" w:eastAsia="宋体" w:hAnsi="宋体" w:cs="宋体"/>
                <w:sz w:val="18"/>
                <w:szCs w:val="18"/>
              </w:rPr>
              <w:t>商品类型</w:t>
            </w:r>
          </w:p>
        </w:tc>
        <w:tc>
          <w:tcPr>
            <w:tcW w:w="1417"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32,831,528.14</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276,154,957.48</w:t>
            </w: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6638A5">
              <w:rPr>
                <w:rFonts w:ascii="宋体" w:eastAsia="宋体" w:hAnsi="宋体" w:cs="宋体"/>
                <w:sz w:val="18"/>
                <w:szCs w:val="18"/>
              </w:rPr>
              <w:t>121,407,212.55</w:t>
            </w:r>
          </w:p>
        </w:tc>
        <w:tc>
          <w:tcPr>
            <w:tcW w:w="1418"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6638A5">
              <w:rPr>
                <w:rFonts w:ascii="宋体" w:eastAsia="宋体" w:hAnsi="宋体" w:cs="宋体"/>
                <w:sz w:val="18"/>
                <w:szCs w:val="18"/>
              </w:rPr>
              <w:t>14,988,293.48</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445,381,991.65</w:t>
            </w: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line="28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line="280" w:lineRule="exact"/>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line="280" w:lineRule="exact"/>
            </w:pP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line="28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line="280" w:lineRule="exact"/>
            </w:pP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352914" w:rsidRDefault="00352914" w:rsidP="00264B53">
            <w:pPr>
              <w:spacing w:line="280" w:lineRule="exact"/>
              <w:rPr>
                <w:rFonts w:ascii="宋体" w:eastAsia="宋体" w:hAnsi="宋体" w:cs="宋体"/>
                <w:sz w:val="18"/>
                <w:szCs w:val="18"/>
              </w:rPr>
            </w:pPr>
            <w:r>
              <w:rPr>
                <w:rFonts w:ascii="宋体" w:eastAsia="宋体" w:hAnsi="宋体" w:cs="宋体" w:hint="eastAsia"/>
                <w:sz w:val="18"/>
                <w:szCs w:val="18"/>
              </w:rPr>
              <w:t>制糖产品</w:t>
            </w:r>
          </w:p>
        </w:tc>
        <w:tc>
          <w:tcPr>
            <w:tcW w:w="1417" w:type="dxa"/>
            <w:tcBorders>
              <w:top w:val="single" w:sz="2" w:space="0" w:color="auto"/>
              <w:left w:val="single" w:sz="2" w:space="0" w:color="auto"/>
              <w:bottom w:val="single" w:sz="2" w:space="0" w:color="auto"/>
              <w:right w:val="single" w:sz="2" w:space="0" w:color="auto"/>
            </w:tcBorders>
            <w:vAlign w:val="center"/>
          </w:tcPr>
          <w:p w:rsidR="00352914" w:rsidRDefault="00352914" w:rsidP="00264B53">
            <w:pPr>
              <w:spacing w:line="280" w:lineRule="exact"/>
              <w:jc w:val="right"/>
              <w:rPr>
                <w:rFonts w:ascii="宋体" w:eastAsia="宋体" w:hAnsi="宋体" w:cs="宋体"/>
                <w:sz w:val="18"/>
                <w:szCs w:val="18"/>
              </w:rPr>
            </w:pPr>
            <w:r>
              <w:rPr>
                <w:rFonts w:ascii="宋体" w:eastAsia="宋体" w:hAnsi="宋体" w:cs="宋体"/>
                <w:sz w:val="18"/>
                <w:szCs w:val="18"/>
              </w:rPr>
              <w:t>27,632,780.43</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5F36F9">
              <w:rPr>
                <w:rFonts w:ascii="宋体" w:eastAsia="宋体" w:hAnsi="宋体" w:cs="宋体"/>
                <w:sz w:val="18"/>
                <w:szCs w:val="18"/>
              </w:rPr>
              <w:t>27,632,780.43</w:t>
            </w: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rPr>
                <w:rFonts w:ascii="宋体" w:eastAsia="宋体" w:hAnsi="宋体" w:cs="宋体"/>
                <w:sz w:val="18"/>
                <w:szCs w:val="18"/>
              </w:rPr>
            </w:pPr>
            <w:r w:rsidRPr="00980BC4">
              <w:rPr>
                <w:rFonts w:ascii="宋体" w:eastAsia="宋体" w:hAnsi="宋体" w:cs="宋体"/>
                <w:sz w:val="18"/>
                <w:szCs w:val="18"/>
              </w:rPr>
              <w:t>电源及相关产品</w:t>
            </w:r>
          </w:p>
        </w:tc>
        <w:tc>
          <w:tcPr>
            <w:tcW w:w="1417"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275,924,810.32</w:t>
            </w: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275,924,810.32</w:t>
            </w: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rPr>
                <w:rFonts w:ascii="宋体" w:eastAsia="宋体" w:hAnsi="宋体" w:cs="宋体"/>
                <w:sz w:val="18"/>
                <w:szCs w:val="18"/>
              </w:rPr>
            </w:pPr>
            <w:r w:rsidRPr="00980BC4">
              <w:rPr>
                <w:rFonts w:ascii="宋体" w:eastAsia="宋体" w:hAnsi="宋体" w:cs="宋体"/>
                <w:sz w:val="18"/>
                <w:szCs w:val="18"/>
              </w:rPr>
              <w:t>高性能特种合金材料制品</w:t>
            </w:r>
          </w:p>
        </w:tc>
        <w:tc>
          <w:tcPr>
            <w:tcW w:w="1417"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6638A5">
              <w:rPr>
                <w:rFonts w:ascii="宋体" w:eastAsia="宋体" w:hAnsi="宋体" w:cs="宋体"/>
                <w:sz w:val="18"/>
                <w:szCs w:val="18"/>
              </w:rPr>
              <w:t>118,774,127.15</w:t>
            </w:r>
          </w:p>
        </w:tc>
        <w:tc>
          <w:tcPr>
            <w:tcW w:w="1418"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6638A5">
              <w:rPr>
                <w:rFonts w:ascii="宋体" w:eastAsia="宋体" w:hAnsi="宋体" w:cs="宋体"/>
                <w:sz w:val="18"/>
                <w:szCs w:val="18"/>
              </w:rPr>
              <w:t>14,988,293.48</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133,762,420.63</w:t>
            </w: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1417" w:type="dxa"/>
            <w:tcBorders>
              <w:top w:val="single" w:sz="2" w:space="0" w:color="auto"/>
              <w:left w:val="single" w:sz="2" w:space="0" w:color="auto"/>
              <w:bottom w:val="single" w:sz="2" w:space="0" w:color="auto"/>
              <w:right w:val="single" w:sz="2" w:space="0" w:color="auto"/>
            </w:tcBorders>
            <w:vAlign w:val="center"/>
          </w:tcPr>
          <w:p w:rsidR="00352914" w:rsidRDefault="00352914" w:rsidP="00264B53">
            <w:pPr>
              <w:spacing w:line="240" w:lineRule="exact"/>
              <w:jc w:val="right"/>
              <w:rPr>
                <w:rFonts w:ascii="宋体" w:eastAsia="宋体" w:hAnsi="宋体" w:cs="宋体"/>
                <w:sz w:val="18"/>
                <w:szCs w:val="18"/>
              </w:rPr>
            </w:pPr>
            <w:r w:rsidRPr="00AC54E7">
              <w:rPr>
                <w:rFonts w:ascii="宋体" w:eastAsia="宋体" w:hAnsi="宋体" w:cs="宋体"/>
                <w:sz w:val="18"/>
                <w:szCs w:val="18"/>
              </w:rPr>
              <w:t>5,198,747.71</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230,147.16</w:t>
            </w: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2,633,085.40</w:t>
            </w:r>
          </w:p>
        </w:tc>
        <w:tc>
          <w:tcPr>
            <w:tcW w:w="1418"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8,061,980.27</w:t>
            </w: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before="40" w:after="40" w:line="280" w:lineRule="exact"/>
              <w:rPr>
                <w:rFonts w:ascii="宋体" w:eastAsia="宋体" w:hAnsi="宋体" w:cs="宋体"/>
                <w:sz w:val="18"/>
                <w:szCs w:val="18"/>
              </w:rPr>
            </w:pPr>
            <w:r w:rsidRPr="00980BC4">
              <w:rPr>
                <w:rFonts w:ascii="宋体" w:eastAsia="宋体" w:hAnsi="宋体" w:cs="宋体"/>
                <w:sz w:val="18"/>
                <w:szCs w:val="18"/>
              </w:rPr>
              <w:t>按经营地区分类</w:t>
            </w:r>
          </w:p>
        </w:tc>
        <w:tc>
          <w:tcPr>
            <w:tcW w:w="1417"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32,831,528.14</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276,154,957.48</w:t>
            </w: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6638A5">
              <w:rPr>
                <w:rFonts w:ascii="宋体" w:eastAsia="宋体" w:hAnsi="宋体" w:cs="宋体"/>
                <w:sz w:val="18"/>
                <w:szCs w:val="18"/>
              </w:rPr>
              <w:t>121,407,212.55</w:t>
            </w:r>
          </w:p>
        </w:tc>
        <w:tc>
          <w:tcPr>
            <w:tcW w:w="1418"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6638A5">
              <w:rPr>
                <w:rFonts w:ascii="宋体" w:eastAsia="宋体" w:hAnsi="宋体" w:cs="宋体"/>
                <w:sz w:val="18"/>
                <w:szCs w:val="18"/>
              </w:rPr>
              <w:t>14,988,293.48</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445,381,991.65</w:t>
            </w: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before="40" w:after="40" w:line="280" w:lineRule="exact"/>
              <w:rPr>
                <w:rFonts w:ascii="宋体" w:eastAsia="宋体" w:hAnsi="宋体" w:cs="宋体"/>
                <w:sz w:val="18"/>
                <w:szCs w:val="18"/>
              </w:rPr>
            </w:pPr>
            <w:r w:rsidRPr="00980BC4">
              <w:rPr>
                <w:rFonts w:ascii="宋体" w:eastAsia="宋体" w:hAnsi="宋体" w:cs="宋体"/>
                <w:sz w:val="18"/>
                <w:szCs w:val="18"/>
              </w:rPr>
              <w:t xml:space="preserve">　其中：</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line="28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line="280" w:lineRule="exact"/>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line="280" w:lineRule="exact"/>
            </w:pP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line="28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line="280" w:lineRule="exact"/>
            </w:pP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rPr>
                <w:rFonts w:ascii="宋体" w:eastAsia="宋体" w:hAnsi="宋体" w:cs="宋体"/>
                <w:sz w:val="18"/>
                <w:szCs w:val="18"/>
              </w:rPr>
            </w:pPr>
            <w:r w:rsidRPr="00980BC4">
              <w:rPr>
                <w:rFonts w:ascii="宋体" w:eastAsia="宋体" w:hAnsi="宋体" w:cs="宋体"/>
                <w:sz w:val="18"/>
                <w:szCs w:val="18"/>
              </w:rPr>
              <w:t>广东</w:t>
            </w:r>
          </w:p>
        </w:tc>
        <w:tc>
          <w:tcPr>
            <w:tcW w:w="1417"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32,831,528.14</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32,831,528.14</w:t>
            </w: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rPr>
                <w:rFonts w:ascii="宋体" w:eastAsia="宋体" w:hAnsi="宋体" w:cs="宋体"/>
                <w:sz w:val="18"/>
                <w:szCs w:val="18"/>
              </w:rPr>
            </w:pPr>
            <w:r w:rsidRPr="00980BC4">
              <w:rPr>
                <w:rFonts w:ascii="宋体" w:eastAsia="宋体" w:hAnsi="宋体" w:cs="宋体"/>
                <w:sz w:val="18"/>
                <w:szCs w:val="18"/>
              </w:rPr>
              <w:t>四川</w:t>
            </w:r>
          </w:p>
        </w:tc>
        <w:tc>
          <w:tcPr>
            <w:tcW w:w="1417"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276,154,957.48</w:t>
            </w: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276,154,957.48</w:t>
            </w: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rPr>
                <w:rFonts w:ascii="宋体" w:eastAsia="宋体" w:hAnsi="宋体" w:cs="宋体"/>
                <w:sz w:val="18"/>
                <w:szCs w:val="18"/>
              </w:rPr>
            </w:pPr>
            <w:r w:rsidRPr="00980BC4">
              <w:rPr>
                <w:rFonts w:ascii="宋体" w:eastAsia="宋体" w:hAnsi="宋体" w:cs="宋体"/>
                <w:sz w:val="18"/>
                <w:szCs w:val="18"/>
              </w:rPr>
              <w:t>辽宁</w:t>
            </w:r>
          </w:p>
        </w:tc>
        <w:tc>
          <w:tcPr>
            <w:tcW w:w="1417"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6638A5">
              <w:rPr>
                <w:rFonts w:ascii="宋体" w:eastAsia="宋体" w:hAnsi="宋体" w:cs="宋体"/>
                <w:sz w:val="18"/>
                <w:szCs w:val="18"/>
              </w:rPr>
              <w:t>121,407,212.55</w:t>
            </w:r>
          </w:p>
        </w:tc>
        <w:tc>
          <w:tcPr>
            <w:tcW w:w="1418"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6638A5">
              <w:rPr>
                <w:rFonts w:ascii="宋体" w:eastAsia="宋体" w:hAnsi="宋体" w:cs="宋体"/>
                <w:sz w:val="18"/>
                <w:szCs w:val="18"/>
              </w:rPr>
              <w:t>14,988,293.48</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136,395,506.03</w:t>
            </w:r>
          </w:p>
        </w:tc>
      </w:tr>
      <w:tr w:rsidR="008A7691" w:rsidRPr="00980BC4" w:rsidTr="0026543D">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352914" w:rsidRPr="00980BC4" w:rsidRDefault="00352914" w:rsidP="00264B53">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417"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32,831,528.14</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980BC4">
              <w:rPr>
                <w:rFonts w:ascii="宋体" w:eastAsia="宋体" w:hAnsi="宋体" w:cs="宋体"/>
                <w:sz w:val="18"/>
                <w:szCs w:val="18"/>
              </w:rPr>
              <w:t>276,154,957.48</w:t>
            </w:r>
          </w:p>
        </w:tc>
        <w:tc>
          <w:tcPr>
            <w:tcW w:w="1559"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40" w:lineRule="exact"/>
              <w:jc w:val="right"/>
              <w:rPr>
                <w:rFonts w:ascii="宋体" w:eastAsia="宋体" w:hAnsi="宋体" w:cs="宋体"/>
                <w:sz w:val="18"/>
                <w:szCs w:val="18"/>
              </w:rPr>
            </w:pPr>
            <w:r w:rsidRPr="006638A5">
              <w:rPr>
                <w:rFonts w:ascii="宋体" w:eastAsia="宋体" w:hAnsi="宋体" w:cs="宋体"/>
                <w:sz w:val="18"/>
                <w:szCs w:val="18"/>
              </w:rPr>
              <w:t>121,407,212.55</w:t>
            </w:r>
          </w:p>
        </w:tc>
        <w:tc>
          <w:tcPr>
            <w:tcW w:w="1418"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6638A5">
              <w:rPr>
                <w:rFonts w:ascii="宋体" w:eastAsia="宋体" w:hAnsi="宋体" w:cs="宋体"/>
                <w:sz w:val="18"/>
                <w:szCs w:val="18"/>
              </w:rPr>
              <w:t>14,988,293.48</w:t>
            </w:r>
          </w:p>
        </w:tc>
        <w:tc>
          <w:tcPr>
            <w:tcW w:w="1701" w:type="dxa"/>
            <w:tcBorders>
              <w:top w:val="single" w:sz="2" w:space="0" w:color="auto"/>
              <w:left w:val="single" w:sz="2" w:space="0" w:color="auto"/>
              <w:bottom w:val="single" w:sz="2" w:space="0" w:color="auto"/>
              <w:right w:val="single" w:sz="2" w:space="0" w:color="auto"/>
            </w:tcBorders>
            <w:vAlign w:val="center"/>
          </w:tcPr>
          <w:p w:rsidR="00352914" w:rsidRPr="00980BC4" w:rsidRDefault="00352914" w:rsidP="00264B53">
            <w:pPr>
              <w:spacing w:line="280" w:lineRule="exact"/>
              <w:jc w:val="right"/>
              <w:rPr>
                <w:rFonts w:ascii="宋体" w:eastAsia="宋体" w:hAnsi="宋体" w:cs="宋体"/>
                <w:sz w:val="18"/>
                <w:szCs w:val="18"/>
              </w:rPr>
            </w:pPr>
            <w:r w:rsidRPr="00980BC4">
              <w:rPr>
                <w:rFonts w:ascii="宋体" w:eastAsia="宋体" w:hAnsi="宋体" w:cs="宋体"/>
                <w:sz w:val="18"/>
                <w:szCs w:val="18"/>
              </w:rPr>
              <w:t>445,381,991.65</w:t>
            </w:r>
          </w:p>
        </w:tc>
      </w:tr>
    </w:tbl>
    <w:p w:rsidR="00F67D6F" w:rsidRPr="00980BC4" w:rsidRDefault="00F67D6F" w:rsidP="002A3F27">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与履约义务相关的信息：</w:t>
      </w:r>
    </w:p>
    <w:p w:rsidR="00F67D6F" w:rsidRPr="00980BC4" w:rsidRDefault="00F67D6F" w:rsidP="002A3F27">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无。</w:t>
      </w:r>
    </w:p>
    <w:p w:rsidR="00F67D6F" w:rsidRPr="00980BC4" w:rsidRDefault="00F67D6F" w:rsidP="002A3F27">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05" w:name="_Toc989193"/>
      <w:r w:rsidRPr="00980BC4">
        <w:rPr>
          <w:rFonts w:ascii="仿宋" w:eastAsia="仿宋" w:hAnsi="仿宋" w:cs="Times New Roman"/>
          <w:b/>
          <w:sz w:val="28"/>
          <w:szCs w:val="28"/>
        </w:rPr>
        <w:t>43、税金及附加</w:t>
      </w:r>
      <w:bookmarkEnd w:id="305"/>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rPr>
                <w:rFonts w:ascii="宋体" w:eastAsia="宋体" w:hAnsi="宋体" w:cs="宋体"/>
                <w:sz w:val="18"/>
                <w:szCs w:val="18"/>
              </w:rPr>
            </w:pPr>
            <w:r w:rsidRPr="00980BC4">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1,154,619.70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860,610.80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rPr>
                <w:rFonts w:ascii="宋体" w:eastAsia="宋体" w:hAnsi="宋体" w:cs="宋体"/>
                <w:sz w:val="18"/>
                <w:szCs w:val="18"/>
              </w:rPr>
            </w:pPr>
            <w:r w:rsidRPr="00980BC4">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494,742.02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368,567.35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rPr>
                <w:rFonts w:ascii="宋体" w:eastAsia="宋体" w:hAnsi="宋体" w:cs="宋体"/>
                <w:sz w:val="18"/>
                <w:szCs w:val="18"/>
              </w:rPr>
            </w:pPr>
            <w:r w:rsidRPr="00980BC4">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630,480.55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636,948.28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rPr>
                <w:rFonts w:ascii="宋体" w:eastAsia="宋体" w:hAnsi="宋体" w:cs="宋体"/>
                <w:sz w:val="18"/>
                <w:szCs w:val="18"/>
              </w:rPr>
            </w:pPr>
            <w:r w:rsidRPr="00980BC4">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79,262.36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79,262.36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rPr>
                <w:rFonts w:ascii="宋体" w:eastAsia="宋体" w:hAnsi="宋体" w:cs="宋体"/>
                <w:sz w:val="18"/>
                <w:szCs w:val="18"/>
              </w:rPr>
            </w:pPr>
            <w:r w:rsidRPr="00980BC4">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9,920.00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7,980.00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rPr>
                <w:rFonts w:ascii="宋体" w:eastAsia="宋体" w:hAnsi="宋体" w:cs="宋体"/>
                <w:sz w:val="18"/>
                <w:szCs w:val="18"/>
              </w:rPr>
            </w:pPr>
            <w:r w:rsidRPr="00980BC4">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160,906.75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419,631.01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rPr>
                <w:rFonts w:ascii="宋体" w:eastAsia="宋体" w:hAnsi="宋体" w:cs="宋体"/>
                <w:sz w:val="18"/>
                <w:szCs w:val="18"/>
              </w:rPr>
            </w:pPr>
            <w:r w:rsidRPr="00980BC4">
              <w:rPr>
                <w:rFonts w:ascii="宋体" w:eastAsia="宋体" w:hAnsi="宋体" w:cs="宋体"/>
                <w:sz w:val="18"/>
                <w:szCs w:val="18"/>
              </w:rPr>
              <w:t>地方教育附加</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329,918.69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245,711.55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2,859,850.07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2,618,711.35</w:t>
            </w:r>
          </w:p>
        </w:tc>
      </w:tr>
    </w:tbl>
    <w:p w:rsidR="00F67D6F" w:rsidRPr="00980BC4" w:rsidRDefault="00F67D6F" w:rsidP="00324C8F">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06" w:name="_Toc989194"/>
      <w:r w:rsidRPr="00980BC4">
        <w:rPr>
          <w:rFonts w:ascii="仿宋" w:eastAsia="仿宋" w:hAnsi="仿宋" w:cs="Times New Roman"/>
          <w:b/>
          <w:sz w:val="28"/>
          <w:szCs w:val="28"/>
        </w:rPr>
        <w:t>44、销售费用</w:t>
      </w:r>
      <w:bookmarkEnd w:id="30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24C8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24C8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24C8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rPr>
                <w:rFonts w:ascii="宋体" w:eastAsia="宋体" w:hAnsi="宋体" w:cs="宋体"/>
                <w:sz w:val="18"/>
                <w:szCs w:val="18"/>
              </w:rPr>
            </w:pPr>
            <w:r w:rsidRPr="00980BC4">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14,535,968.16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11,949,012.36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rPr>
                <w:rFonts w:ascii="宋体" w:eastAsia="宋体" w:hAnsi="宋体" w:cs="宋体"/>
                <w:sz w:val="18"/>
                <w:szCs w:val="18"/>
              </w:rPr>
            </w:pPr>
            <w:r w:rsidRPr="00980BC4">
              <w:rPr>
                <w:rFonts w:ascii="宋体" w:eastAsia="宋体" w:hAnsi="宋体" w:cs="宋体"/>
                <w:sz w:val="18"/>
                <w:szCs w:val="18"/>
              </w:rPr>
              <w:t>业务推广费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8,983,437.75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9,650,184.59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rPr>
                <w:rFonts w:ascii="宋体" w:eastAsia="宋体" w:hAnsi="宋体" w:cs="宋体"/>
                <w:sz w:val="18"/>
                <w:szCs w:val="18"/>
              </w:rPr>
            </w:pPr>
            <w:r w:rsidRPr="00980BC4">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4,583,098.27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4,333,835.21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rPr>
                <w:rFonts w:ascii="宋体" w:eastAsia="宋体" w:hAnsi="宋体" w:cs="宋体"/>
                <w:sz w:val="18"/>
                <w:szCs w:val="18"/>
              </w:rPr>
            </w:pPr>
            <w:r w:rsidRPr="00980BC4">
              <w:rPr>
                <w:rFonts w:ascii="宋体" w:eastAsia="宋体" w:hAnsi="宋体" w:cs="宋体"/>
                <w:sz w:val="18"/>
                <w:szCs w:val="18"/>
              </w:rPr>
              <w:t>交通差旅费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920,964.93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1,026,143.10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rPr>
                <w:rFonts w:ascii="宋体" w:eastAsia="宋体" w:hAnsi="宋体" w:cs="宋体"/>
                <w:sz w:val="18"/>
                <w:szCs w:val="18"/>
              </w:rPr>
            </w:pPr>
            <w:r w:rsidRPr="00980BC4">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565,873.89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701,765.67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rPr>
                <w:rFonts w:ascii="宋体" w:eastAsia="宋体" w:hAnsi="宋体" w:cs="宋体"/>
                <w:sz w:val="18"/>
                <w:szCs w:val="18"/>
              </w:rPr>
            </w:pPr>
            <w:r w:rsidRPr="00980BC4">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486,703.65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2,114.02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119,760.61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185,237.68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24C8F">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30,195,807.26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24C8F">
            <w:pPr>
              <w:spacing w:line="280" w:lineRule="exact"/>
              <w:jc w:val="right"/>
              <w:rPr>
                <w:rFonts w:ascii="宋体" w:eastAsia="宋体" w:hAnsi="宋体" w:cs="宋体"/>
                <w:sz w:val="18"/>
                <w:szCs w:val="18"/>
              </w:rPr>
            </w:pPr>
            <w:r w:rsidRPr="00980BC4">
              <w:rPr>
                <w:rFonts w:ascii="宋体" w:eastAsia="宋体" w:hAnsi="宋体" w:cs="宋体"/>
                <w:sz w:val="18"/>
                <w:szCs w:val="18"/>
              </w:rPr>
              <w:t>27,848,292.63</w:t>
            </w:r>
          </w:p>
        </w:tc>
      </w:tr>
    </w:tbl>
    <w:p w:rsidR="00F67D6F" w:rsidRPr="00980BC4" w:rsidRDefault="00F67D6F" w:rsidP="008E304F">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07" w:name="_Toc989195"/>
      <w:r w:rsidRPr="00980BC4">
        <w:rPr>
          <w:rFonts w:ascii="仿宋" w:eastAsia="仿宋" w:hAnsi="仿宋" w:cs="Times New Roman"/>
          <w:b/>
          <w:sz w:val="28"/>
          <w:szCs w:val="28"/>
        </w:rPr>
        <w:t>45、管理费用</w:t>
      </w:r>
      <w:bookmarkEnd w:id="307"/>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0019C9"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8E304F">
            <w:pPr>
              <w:spacing w:line="300" w:lineRule="exact"/>
              <w:rPr>
                <w:rFonts w:ascii="宋体" w:eastAsia="宋体" w:hAnsi="宋体" w:cs="宋体"/>
                <w:sz w:val="18"/>
                <w:szCs w:val="18"/>
              </w:rPr>
            </w:pPr>
            <w:r w:rsidRPr="00980BC4">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E060E5" w:rsidP="007F1C4E">
            <w:pPr>
              <w:spacing w:line="300" w:lineRule="exact"/>
              <w:jc w:val="right"/>
              <w:rPr>
                <w:rFonts w:ascii="宋体" w:eastAsia="宋体" w:hAnsi="宋体" w:cs="宋体"/>
                <w:sz w:val="18"/>
                <w:szCs w:val="18"/>
              </w:rPr>
            </w:pPr>
            <w:r w:rsidRPr="001402D0">
              <w:rPr>
                <w:rFonts w:ascii="宋体" w:eastAsia="宋体" w:hAnsi="宋体" w:cs="宋体"/>
                <w:sz w:val="18"/>
                <w:szCs w:val="18"/>
              </w:rPr>
              <w:t>30,528,115.66</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37,410,772.55</w:t>
            </w:r>
          </w:p>
        </w:tc>
      </w:tr>
      <w:tr w:rsidR="000019C9"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8E304F">
            <w:pPr>
              <w:spacing w:line="300" w:lineRule="exact"/>
              <w:rPr>
                <w:rFonts w:ascii="宋体" w:eastAsia="宋体" w:hAnsi="宋体" w:cs="宋体"/>
                <w:sz w:val="18"/>
                <w:szCs w:val="18"/>
              </w:rPr>
            </w:pPr>
            <w:r w:rsidRPr="00980BC4">
              <w:rPr>
                <w:rFonts w:ascii="宋体" w:eastAsia="宋体" w:hAnsi="宋体" w:cs="宋体"/>
                <w:sz w:val="18"/>
                <w:szCs w:val="18"/>
              </w:rPr>
              <w:t>股权激励费用</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10,128,809.55</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11,174,799.96</w:t>
            </w:r>
          </w:p>
        </w:tc>
      </w:tr>
      <w:tr w:rsidR="000019C9"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8E304F">
            <w:pPr>
              <w:spacing w:line="300" w:lineRule="exact"/>
              <w:rPr>
                <w:rFonts w:ascii="宋体" w:eastAsia="宋体" w:hAnsi="宋体" w:cs="宋体"/>
                <w:sz w:val="18"/>
                <w:szCs w:val="18"/>
              </w:rPr>
            </w:pPr>
            <w:r w:rsidRPr="00980BC4">
              <w:rPr>
                <w:rFonts w:ascii="宋体" w:eastAsia="宋体" w:hAnsi="宋体" w:cs="宋体"/>
                <w:sz w:val="18"/>
                <w:szCs w:val="18"/>
              </w:rPr>
              <w:t>办公业务费</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E060E5" w:rsidP="007F1C4E">
            <w:pPr>
              <w:spacing w:line="300" w:lineRule="exact"/>
              <w:jc w:val="right"/>
              <w:rPr>
                <w:rFonts w:ascii="宋体" w:eastAsia="宋体" w:hAnsi="宋体" w:cs="宋体"/>
                <w:sz w:val="18"/>
                <w:szCs w:val="18"/>
              </w:rPr>
            </w:pPr>
            <w:r w:rsidRPr="001402D0">
              <w:rPr>
                <w:rFonts w:ascii="宋体" w:eastAsia="宋体" w:hAnsi="宋体" w:cs="宋体"/>
                <w:sz w:val="18"/>
                <w:szCs w:val="18"/>
              </w:rPr>
              <w:t>7,036,243.26</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8,437,888.36</w:t>
            </w:r>
          </w:p>
        </w:tc>
      </w:tr>
      <w:tr w:rsidR="000019C9"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8E304F">
            <w:pPr>
              <w:spacing w:line="300" w:lineRule="exact"/>
              <w:rPr>
                <w:rFonts w:ascii="宋体" w:eastAsia="宋体" w:hAnsi="宋体" w:cs="宋体"/>
                <w:sz w:val="18"/>
                <w:szCs w:val="18"/>
              </w:rPr>
            </w:pPr>
            <w:r w:rsidRPr="00980BC4">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5,884,703.54</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5,769,102.36</w:t>
            </w:r>
          </w:p>
        </w:tc>
      </w:tr>
      <w:tr w:rsidR="000019C9"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8E304F">
            <w:pPr>
              <w:spacing w:line="300" w:lineRule="exact"/>
              <w:rPr>
                <w:rFonts w:ascii="宋体" w:eastAsia="宋体" w:hAnsi="宋体" w:cs="宋体"/>
                <w:sz w:val="18"/>
                <w:szCs w:val="18"/>
              </w:rPr>
            </w:pPr>
            <w:r w:rsidRPr="00980BC4">
              <w:rPr>
                <w:rFonts w:ascii="宋体" w:eastAsia="宋体" w:hAnsi="宋体" w:cs="宋体"/>
                <w:sz w:val="18"/>
                <w:szCs w:val="18"/>
              </w:rPr>
              <w:t>中介咨询费</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4,052,475.25</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3,630,490.78</w:t>
            </w:r>
          </w:p>
        </w:tc>
      </w:tr>
      <w:tr w:rsidR="000019C9"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8E304F">
            <w:pPr>
              <w:spacing w:line="300" w:lineRule="exact"/>
              <w:rPr>
                <w:rFonts w:ascii="宋体" w:eastAsia="宋体" w:hAnsi="宋体" w:cs="宋体"/>
                <w:sz w:val="18"/>
                <w:szCs w:val="18"/>
              </w:rPr>
            </w:pPr>
            <w:r w:rsidRPr="00980BC4">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1,267,950.46</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549,340.63</w:t>
            </w:r>
          </w:p>
        </w:tc>
      </w:tr>
      <w:tr w:rsidR="000019C9"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8E304F">
            <w:pPr>
              <w:spacing w:line="300" w:lineRule="exact"/>
              <w:rPr>
                <w:rFonts w:ascii="宋体" w:eastAsia="宋体" w:hAnsi="宋体" w:cs="宋体"/>
                <w:sz w:val="18"/>
                <w:szCs w:val="18"/>
              </w:rPr>
            </w:pPr>
            <w:r w:rsidRPr="00980BC4">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969,050.69</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1,268,084.81</w:t>
            </w:r>
          </w:p>
        </w:tc>
      </w:tr>
      <w:tr w:rsidR="000019C9"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8E304F">
            <w:pPr>
              <w:spacing w:line="300" w:lineRule="exact"/>
              <w:rPr>
                <w:rFonts w:ascii="宋体" w:eastAsia="宋体" w:hAnsi="宋体" w:cs="宋体"/>
                <w:sz w:val="18"/>
                <w:szCs w:val="18"/>
              </w:rPr>
            </w:pPr>
            <w:r w:rsidRPr="00980BC4">
              <w:rPr>
                <w:rFonts w:ascii="宋体" w:eastAsia="宋体" w:hAnsi="宋体" w:cs="宋体"/>
                <w:sz w:val="18"/>
                <w:szCs w:val="18"/>
              </w:rPr>
              <w:t>证券费</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413,111.35</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477,610.38</w:t>
            </w:r>
          </w:p>
        </w:tc>
      </w:tr>
      <w:tr w:rsidR="000019C9"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8E304F">
            <w:pPr>
              <w:spacing w:line="300" w:lineRule="exact"/>
              <w:rPr>
                <w:rFonts w:ascii="宋体" w:eastAsia="宋体" w:hAnsi="宋体" w:cs="宋体"/>
                <w:sz w:val="18"/>
                <w:szCs w:val="18"/>
              </w:rPr>
            </w:pPr>
            <w:r w:rsidRPr="00980BC4">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1402D0">
              <w:rPr>
                <w:rFonts w:ascii="宋体" w:eastAsia="宋体" w:hAnsi="宋体" w:cs="宋体"/>
                <w:sz w:val="18"/>
                <w:szCs w:val="18"/>
              </w:rPr>
              <w:t>435,531.93</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830,624.89</w:t>
            </w:r>
          </w:p>
        </w:tc>
      </w:tr>
      <w:tr w:rsidR="000019C9"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0019C9" w:rsidRPr="00980BC4" w:rsidRDefault="000019C9" w:rsidP="008E304F">
            <w:pPr>
              <w:spacing w:before="40" w:after="40" w:line="30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60,715,991.69</w:t>
            </w:r>
          </w:p>
        </w:tc>
        <w:tc>
          <w:tcPr>
            <w:tcW w:w="3213" w:type="dxa"/>
            <w:tcBorders>
              <w:top w:val="single" w:sz="2" w:space="0" w:color="auto"/>
              <w:left w:val="single" w:sz="2" w:space="0" w:color="auto"/>
              <w:bottom w:val="single" w:sz="2" w:space="0" w:color="auto"/>
              <w:right w:val="single" w:sz="2" w:space="0" w:color="auto"/>
            </w:tcBorders>
            <w:vAlign w:val="center"/>
          </w:tcPr>
          <w:p w:rsidR="000019C9" w:rsidRPr="00980BC4" w:rsidRDefault="000019C9" w:rsidP="007F1C4E">
            <w:pPr>
              <w:spacing w:line="300" w:lineRule="exact"/>
              <w:jc w:val="right"/>
              <w:rPr>
                <w:rFonts w:ascii="宋体" w:eastAsia="宋体" w:hAnsi="宋体" w:cs="宋体"/>
                <w:sz w:val="18"/>
                <w:szCs w:val="18"/>
              </w:rPr>
            </w:pPr>
            <w:r w:rsidRPr="00980BC4">
              <w:rPr>
                <w:rFonts w:ascii="宋体" w:eastAsia="宋体" w:hAnsi="宋体" w:cs="宋体"/>
                <w:sz w:val="18"/>
                <w:szCs w:val="18"/>
              </w:rPr>
              <w:t>69,548,714.72</w:t>
            </w:r>
          </w:p>
        </w:tc>
      </w:tr>
    </w:tbl>
    <w:p w:rsidR="00F67D6F" w:rsidRPr="00980BC4" w:rsidRDefault="00F67D6F" w:rsidP="008E304F">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08" w:name="_Toc989196"/>
      <w:r w:rsidRPr="00980BC4">
        <w:rPr>
          <w:rFonts w:ascii="仿宋" w:eastAsia="仿宋" w:hAnsi="仿宋" w:cs="Times New Roman"/>
          <w:b/>
          <w:sz w:val="28"/>
          <w:szCs w:val="28"/>
        </w:rPr>
        <w:t>46、研发费用</w:t>
      </w:r>
      <w:bookmarkEnd w:id="308"/>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人员人工</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37,604,641.23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28,565,219.24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18,522,468.97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12,741,872.32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咨询服务费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5,938,672.50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2,522,603.41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委托开发费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4,604,000.00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3,216,000.00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3,044,342.27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1,021,667.46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424,094.20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336,699.18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专利维护费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386,770.49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483,539.54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试验检验费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300,171.52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228,771.88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240,134.14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574,263.90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技术服务费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539,717.74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1,235,098.43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952,690.04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72,840,111.49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50,643,326.97</w:t>
            </w:r>
          </w:p>
        </w:tc>
      </w:tr>
    </w:tbl>
    <w:p w:rsidR="00F67D6F" w:rsidRPr="00980BC4" w:rsidRDefault="00F67D6F" w:rsidP="008E304F">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09" w:name="_Toc989197"/>
      <w:r w:rsidRPr="00980BC4">
        <w:rPr>
          <w:rFonts w:ascii="仿宋" w:eastAsia="仿宋" w:hAnsi="仿宋" w:cs="Times New Roman"/>
          <w:b/>
          <w:sz w:val="28"/>
          <w:szCs w:val="28"/>
        </w:rPr>
        <w:t>47、财务费用</w:t>
      </w:r>
      <w:bookmarkEnd w:id="309"/>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42,015.97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7,050.00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加：租赁负债利息支出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3,016,563.68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1,753,920.05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1,449,228.08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5,772,257.35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利息净支出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1,609,351.57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-4,011,287.30</w:t>
            </w:r>
          </w:p>
        </w:tc>
      </w:tr>
      <w:tr w:rsidR="00624C13"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24C13" w:rsidRPr="00980BC4" w:rsidRDefault="00624C13" w:rsidP="008E304F">
            <w:pPr>
              <w:spacing w:line="300" w:lineRule="exact"/>
              <w:rPr>
                <w:rFonts w:ascii="宋体" w:eastAsia="宋体" w:hAnsi="宋体" w:cs="宋体"/>
                <w:sz w:val="18"/>
                <w:szCs w:val="18"/>
              </w:rPr>
            </w:pPr>
            <w:r w:rsidRPr="00980BC4">
              <w:rPr>
                <w:rFonts w:ascii="宋体" w:eastAsia="宋体" w:hAnsi="宋体" w:cs="宋体"/>
                <w:sz w:val="18"/>
                <w:szCs w:val="18"/>
              </w:rPr>
              <w:t>汇兑损失</w:t>
            </w:r>
          </w:p>
        </w:tc>
        <w:tc>
          <w:tcPr>
            <w:tcW w:w="321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300" w:lineRule="exact"/>
              <w:jc w:val="right"/>
              <w:rPr>
                <w:rFonts w:ascii="宋体" w:eastAsia="宋体" w:hAnsi="宋体" w:cs="宋体"/>
                <w:sz w:val="18"/>
                <w:szCs w:val="18"/>
              </w:rPr>
            </w:pPr>
            <w:r>
              <w:rPr>
                <w:rFonts w:ascii="宋体" w:eastAsia="宋体" w:hAnsi="宋体" w:cs="宋体"/>
                <w:sz w:val="18"/>
                <w:szCs w:val="18"/>
              </w:rPr>
              <w:t>5,205.78</w:t>
            </w:r>
          </w:p>
        </w:tc>
        <w:tc>
          <w:tcPr>
            <w:tcW w:w="3213" w:type="dxa"/>
            <w:tcBorders>
              <w:top w:val="single" w:sz="2" w:space="0" w:color="auto"/>
              <w:left w:val="single" w:sz="2" w:space="0" w:color="auto"/>
              <w:bottom w:val="single" w:sz="2" w:space="0" w:color="auto"/>
              <w:right w:val="single" w:sz="2" w:space="0" w:color="auto"/>
            </w:tcBorders>
            <w:vAlign w:val="center"/>
          </w:tcPr>
          <w:p w:rsidR="00624C13" w:rsidRPr="00980BC4" w:rsidRDefault="00624C13"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7,650.95</w:t>
            </w:r>
          </w:p>
        </w:tc>
      </w:tr>
      <w:tr w:rsidR="00624C13"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24C13" w:rsidRPr="00980BC4" w:rsidRDefault="00624C13" w:rsidP="008E304F">
            <w:pPr>
              <w:spacing w:line="300" w:lineRule="exact"/>
              <w:rPr>
                <w:rFonts w:ascii="宋体" w:eastAsia="宋体" w:hAnsi="宋体" w:cs="宋体"/>
                <w:sz w:val="18"/>
                <w:szCs w:val="18"/>
              </w:rPr>
            </w:pPr>
            <w:r w:rsidRPr="00980BC4">
              <w:rPr>
                <w:rFonts w:ascii="宋体" w:eastAsia="宋体" w:hAnsi="宋体" w:cs="宋体"/>
                <w:sz w:val="18"/>
                <w:szCs w:val="18"/>
              </w:rPr>
              <w:t>减：汇兑收益</w:t>
            </w:r>
          </w:p>
        </w:tc>
        <w:tc>
          <w:tcPr>
            <w:tcW w:w="321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300" w:lineRule="exact"/>
              <w:jc w:val="right"/>
              <w:rPr>
                <w:rFonts w:ascii="宋体" w:eastAsia="宋体" w:hAnsi="宋体" w:cs="宋体"/>
                <w:sz w:val="18"/>
                <w:szCs w:val="18"/>
              </w:rPr>
            </w:pPr>
            <w:r w:rsidRPr="003674E9">
              <w:rPr>
                <w:rFonts w:ascii="宋体" w:eastAsia="宋体" w:hAnsi="宋体" w:cs="宋体"/>
                <w:sz w:val="18"/>
                <w:szCs w:val="18"/>
              </w:rPr>
              <w:t>29,472.42</w:t>
            </w:r>
          </w:p>
        </w:tc>
        <w:tc>
          <w:tcPr>
            <w:tcW w:w="3213" w:type="dxa"/>
            <w:tcBorders>
              <w:top w:val="single" w:sz="2" w:space="0" w:color="auto"/>
              <w:left w:val="single" w:sz="2" w:space="0" w:color="auto"/>
              <w:bottom w:val="single" w:sz="2" w:space="0" w:color="auto"/>
              <w:right w:val="single" w:sz="2" w:space="0" w:color="auto"/>
            </w:tcBorders>
            <w:vAlign w:val="center"/>
          </w:tcPr>
          <w:p w:rsidR="00624C13" w:rsidRPr="00980BC4" w:rsidRDefault="00624C13"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1,316.66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汇兑净损失</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6C3165" w:rsidP="008E304F">
            <w:pPr>
              <w:spacing w:line="300" w:lineRule="exact"/>
              <w:jc w:val="right"/>
              <w:rPr>
                <w:rFonts w:ascii="宋体" w:eastAsia="宋体" w:hAnsi="宋体" w:cs="宋体"/>
                <w:sz w:val="18"/>
                <w:szCs w:val="18"/>
              </w:rPr>
            </w:pPr>
            <w:r>
              <w:rPr>
                <w:rFonts w:ascii="宋体" w:eastAsia="宋体" w:hAnsi="宋体" w:cs="宋体" w:hint="eastAsia"/>
                <w:sz w:val="18"/>
                <w:szCs w:val="18"/>
              </w:rPr>
              <w:t>-</w:t>
            </w:r>
            <w:r w:rsidR="00F67D6F" w:rsidRPr="00980BC4">
              <w:rPr>
                <w:rFonts w:ascii="宋体" w:eastAsia="宋体" w:hAnsi="宋体" w:cs="宋体"/>
                <w:sz w:val="18"/>
                <w:szCs w:val="18"/>
              </w:rPr>
              <w:t>24,266.64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6,334.29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银行手续费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39,914.83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52,161.45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rPr>
                <w:rFonts w:ascii="宋体" w:eastAsia="宋体" w:hAnsi="宋体" w:cs="宋体"/>
                <w:sz w:val="18"/>
                <w:szCs w:val="18"/>
              </w:rPr>
            </w:pPr>
            <w:r w:rsidRPr="00980BC4">
              <w:rPr>
                <w:rFonts w:ascii="宋体" w:eastAsia="宋体" w:hAnsi="宋体" w:cs="宋体"/>
                <w:sz w:val="18"/>
                <w:szCs w:val="18"/>
              </w:rPr>
              <w:t>合伙企业其他方净资产变动</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-223,119.40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-188,631.02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30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1,401,880.36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300" w:lineRule="exact"/>
              <w:jc w:val="right"/>
              <w:rPr>
                <w:rFonts w:ascii="宋体" w:eastAsia="宋体" w:hAnsi="宋体" w:cs="宋体"/>
                <w:sz w:val="18"/>
                <w:szCs w:val="18"/>
              </w:rPr>
            </w:pPr>
            <w:r w:rsidRPr="00980BC4">
              <w:rPr>
                <w:rFonts w:ascii="宋体" w:eastAsia="宋体" w:hAnsi="宋体" w:cs="宋体"/>
                <w:sz w:val="18"/>
                <w:szCs w:val="18"/>
              </w:rPr>
              <w:t>-4,141,422.58</w:t>
            </w:r>
          </w:p>
        </w:tc>
      </w:tr>
    </w:tbl>
    <w:p w:rsidR="00F67D6F" w:rsidRPr="00980BC4" w:rsidRDefault="00F67D6F" w:rsidP="008E304F">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10" w:name="_Toc989198"/>
      <w:r w:rsidRPr="00980BC4">
        <w:rPr>
          <w:rFonts w:ascii="仿宋" w:eastAsia="仿宋" w:hAnsi="仿宋" w:cs="Times New Roman"/>
          <w:b/>
          <w:sz w:val="28"/>
          <w:szCs w:val="28"/>
        </w:rPr>
        <w:t>48、其他收益</w:t>
      </w:r>
      <w:bookmarkEnd w:id="31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219"/>
        <w:gridCol w:w="2835"/>
        <w:gridCol w:w="2585"/>
      </w:tblGrid>
      <w:tr w:rsidR="00F67D6F" w:rsidRPr="00980BC4" w:rsidTr="008E304F">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产生其他收益的来源</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E304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8E304F">
        <w:trPr>
          <w:divId w:val="969553885"/>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rPr>
                <w:rFonts w:ascii="宋体" w:eastAsia="宋体" w:hAnsi="宋体" w:cs="宋体"/>
                <w:sz w:val="18"/>
                <w:szCs w:val="18"/>
              </w:rPr>
            </w:pPr>
            <w:r w:rsidRPr="00980BC4">
              <w:rPr>
                <w:rFonts w:ascii="宋体" w:eastAsia="宋体" w:hAnsi="宋体" w:cs="宋体"/>
                <w:sz w:val="18"/>
                <w:szCs w:val="18"/>
              </w:rPr>
              <w:t>一、计入其他收益的政府补助</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9,730,286.79</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11,421,040.76</w:t>
            </w:r>
          </w:p>
        </w:tc>
      </w:tr>
      <w:tr w:rsidR="00F67D6F" w:rsidRPr="00980BC4" w:rsidTr="008E304F">
        <w:trPr>
          <w:divId w:val="969553885"/>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rPr>
                <w:rFonts w:ascii="宋体" w:eastAsia="宋体" w:hAnsi="宋体" w:cs="宋体"/>
                <w:sz w:val="18"/>
                <w:szCs w:val="18"/>
              </w:rPr>
            </w:pPr>
            <w:r w:rsidRPr="00980BC4">
              <w:rPr>
                <w:rFonts w:ascii="宋体" w:eastAsia="宋体" w:hAnsi="宋体" w:cs="宋体"/>
                <w:sz w:val="18"/>
                <w:szCs w:val="18"/>
              </w:rPr>
              <w:t>其中：与递延收益相关的政府补助</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213,004.28</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73,611.60</w:t>
            </w:r>
          </w:p>
        </w:tc>
      </w:tr>
      <w:tr w:rsidR="00F67D6F" w:rsidRPr="00980BC4" w:rsidTr="008E304F">
        <w:trPr>
          <w:divId w:val="969553885"/>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rPr>
                <w:rFonts w:ascii="宋体" w:eastAsia="宋体" w:hAnsi="宋体" w:cs="宋体"/>
                <w:sz w:val="18"/>
                <w:szCs w:val="18"/>
              </w:rPr>
            </w:pPr>
            <w:r w:rsidRPr="00980BC4">
              <w:rPr>
                <w:rFonts w:ascii="宋体" w:eastAsia="宋体" w:hAnsi="宋体" w:cs="宋体"/>
                <w:sz w:val="18"/>
                <w:szCs w:val="18"/>
              </w:rPr>
              <w:t>直接计入当期损益的政府补助</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9,517,282.51</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11,347,429.16</w:t>
            </w:r>
          </w:p>
        </w:tc>
      </w:tr>
      <w:tr w:rsidR="00F67D6F" w:rsidRPr="00980BC4" w:rsidTr="008E304F">
        <w:trPr>
          <w:divId w:val="969553885"/>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rPr>
                <w:rFonts w:ascii="宋体" w:eastAsia="宋体" w:hAnsi="宋体" w:cs="宋体"/>
                <w:sz w:val="18"/>
                <w:szCs w:val="18"/>
              </w:rPr>
            </w:pPr>
            <w:r w:rsidRPr="00980BC4">
              <w:rPr>
                <w:rFonts w:ascii="宋体" w:eastAsia="宋体" w:hAnsi="宋体" w:cs="宋体"/>
                <w:sz w:val="18"/>
                <w:szCs w:val="18"/>
              </w:rPr>
              <w:t>二、其他与日常活动相关且计入其他收益的项目</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590,077.08</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444,064.50</w:t>
            </w:r>
          </w:p>
        </w:tc>
      </w:tr>
      <w:tr w:rsidR="00F67D6F" w:rsidRPr="00980BC4" w:rsidTr="008E304F">
        <w:trPr>
          <w:divId w:val="969553885"/>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rPr>
                <w:rFonts w:ascii="宋体" w:eastAsia="宋体" w:hAnsi="宋体" w:cs="宋体"/>
                <w:sz w:val="18"/>
                <w:szCs w:val="18"/>
              </w:rPr>
            </w:pPr>
            <w:r w:rsidRPr="00980BC4">
              <w:rPr>
                <w:rFonts w:ascii="宋体" w:eastAsia="宋体" w:hAnsi="宋体" w:cs="宋体"/>
                <w:sz w:val="18"/>
                <w:szCs w:val="18"/>
              </w:rPr>
              <w:t>其中：个税扣缴税款手续费</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582,218.92</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444,064.50</w:t>
            </w:r>
          </w:p>
        </w:tc>
      </w:tr>
      <w:tr w:rsidR="00F67D6F" w:rsidRPr="00980BC4" w:rsidTr="008E304F">
        <w:trPr>
          <w:divId w:val="969553885"/>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rPr>
                <w:rFonts w:ascii="宋体" w:eastAsia="宋体" w:hAnsi="宋体" w:cs="宋体"/>
                <w:sz w:val="18"/>
                <w:szCs w:val="18"/>
              </w:rPr>
            </w:pPr>
            <w:r w:rsidRPr="00980BC4">
              <w:rPr>
                <w:rFonts w:ascii="宋体" w:eastAsia="宋体" w:hAnsi="宋体" w:cs="宋体"/>
                <w:sz w:val="18"/>
                <w:szCs w:val="18"/>
              </w:rPr>
              <w:t>增值税加计扣除</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7,858.16</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p>
        </w:tc>
      </w:tr>
      <w:tr w:rsidR="00F67D6F" w:rsidRPr="00980BC4" w:rsidTr="008E304F">
        <w:trPr>
          <w:divId w:val="969553885"/>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rPr>
                <w:rFonts w:ascii="宋体" w:eastAsia="宋体" w:hAnsi="宋体" w:cs="宋体"/>
                <w:sz w:val="18"/>
                <w:szCs w:val="18"/>
              </w:rPr>
            </w:pPr>
            <w:r w:rsidRPr="00980BC4">
              <w:rPr>
                <w:rFonts w:ascii="宋体" w:eastAsia="宋体" w:hAnsi="宋体" w:cs="宋体"/>
                <w:sz w:val="18"/>
                <w:szCs w:val="18"/>
              </w:rPr>
              <w:t>合计</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10,320,363.87</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E304F">
            <w:pPr>
              <w:spacing w:line="280" w:lineRule="exact"/>
              <w:jc w:val="right"/>
              <w:rPr>
                <w:rFonts w:ascii="宋体" w:eastAsia="宋体" w:hAnsi="宋体" w:cs="宋体"/>
                <w:sz w:val="18"/>
                <w:szCs w:val="18"/>
              </w:rPr>
            </w:pPr>
            <w:r w:rsidRPr="00980BC4">
              <w:rPr>
                <w:rFonts w:ascii="宋体" w:eastAsia="宋体" w:hAnsi="宋体" w:cs="宋体"/>
                <w:sz w:val="18"/>
                <w:szCs w:val="18"/>
              </w:rPr>
              <w:t>11,865,105.26</w:t>
            </w:r>
          </w:p>
        </w:tc>
      </w:tr>
    </w:tbl>
    <w:p w:rsidR="00F67D6F" w:rsidRPr="00980BC4" w:rsidRDefault="00F67D6F" w:rsidP="00AD0F69">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11" w:name="_Toc989199"/>
      <w:r w:rsidRPr="00980BC4">
        <w:rPr>
          <w:rFonts w:ascii="仿宋" w:eastAsia="仿宋" w:hAnsi="仿宋" w:cs="Times New Roman"/>
          <w:b/>
          <w:sz w:val="28"/>
          <w:szCs w:val="28"/>
        </w:rPr>
        <w:t>49、投资收益</w:t>
      </w:r>
      <w:bookmarkEnd w:id="31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219"/>
        <w:gridCol w:w="2835"/>
        <w:gridCol w:w="2585"/>
      </w:tblGrid>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权益法核算的长期股权投资收益</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9,500,828.58</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6,144,642.65</w:t>
            </w:r>
          </w:p>
        </w:tc>
      </w:tr>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处置长期股权投资产生的投资收益</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-260,157.49</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p>
        </w:tc>
      </w:tr>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交易性金融资产在持有期间的投资收益</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4,477,469.49</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5,534,398.52</w:t>
            </w:r>
          </w:p>
        </w:tc>
      </w:tr>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处置交易性金融资产取得的投资收益</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861,671.01</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16,465,637.14</w:t>
            </w:r>
          </w:p>
        </w:tc>
      </w:tr>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rPr>
                <w:rFonts w:ascii="宋体" w:eastAsia="宋体" w:hAnsi="宋体" w:cs="宋体"/>
                <w:sz w:val="18"/>
                <w:szCs w:val="18"/>
              </w:rPr>
            </w:pPr>
            <w:r w:rsidRPr="00980BC4">
              <w:rPr>
                <w:rFonts w:ascii="宋体" w:eastAsia="宋体" w:hAnsi="宋体" w:cs="宋体"/>
                <w:sz w:val="18"/>
                <w:szCs w:val="18"/>
              </w:rPr>
              <w:t>结构性存款利息收入</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2,802,203.68</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1,214,809.94</w:t>
            </w:r>
          </w:p>
        </w:tc>
      </w:tr>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-26,972.34</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40,792.83</w:t>
            </w:r>
          </w:p>
        </w:tc>
      </w:tr>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17,355,042.93</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29,400,281.08</w:t>
            </w:r>
          </w:p>
        </w:tc>
      </w:tr>
    </w:tbl>
    <w:p w:rsidR="00F67D6F" w:rsidRPr="00980BC4" w:rsidRDefault="00F67D6F" w:rsidP="00AD0F69">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12" w:name="_Toc989200"/>
      <w:r w:rsidRPr="00980BC4">
        <w:rPr>
          <w:rFonts w:ascii="仿宋" w:eastAsia="仿宋" w:hAnsi="仿宋" w:cs="Times New Roman"/>
          <w:b/>
          <w:sz w:val="28"/>
          <w:szCs w:val="28"/>
        </w:rPr>
        <w:t>50、公允价值变动收益</w:t>
      </w:r>
      <w:bookmarkEnd w:id="31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-2,995,137.67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-1,959,208.59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-2,995,137.67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-1,959,208.59</w:t>
            </w:r>
          </w:p>
        </w:tc>
      </w:tr>
    </w:tbl>
    <w:p w:rsidR="00F67D6F" w:rsidRPr="00980BC4" w:rsidRDefault="00F67D6F" w:rsidP="00AD0F69">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13" w:name="_Toc989201"/>
      <w:r w:rsidRPr="00980BC4">
        <w:rPr>
          <w:rFonts w:ascii="仿宋" w:eastAsia="仿宋" w:hAnsi="仿宋" w:cs="Times New Roman"/>
          <w:b/>
          <w:sz w:val="28"/>
          <w:szCs w:val="28"/>
        </w:rPr>
        <w:t>51、信用减值损失</w:t>
      </w:r>
      <w:bookmarkEnd w:id="313"/>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300" w:lineRule="exact"/>
              <w:rPr>
                <w:rFonts w:ascii="宋体" w:eastAsia="宋体" w:hAnsi="宋体" w:cs="宋体"/>
                <w:sz w:val="18"/>
                <w:szCs w:val="18"/>
              </w:rPr>
            </w:pPr>
            <w:r w:rsidRPr="00980BC4">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300" w:lineRule="exact"/>
              <w:jc w:val="right"/>
              <w:rPr>
                <w:rFonts w:ascii="宋体" w:eastAsia="宋体" w:hAnsi="宋体" w:cs="宋体"/>
                <w:sz w:val="18"/>
                <w:szCs w:val="18"/>
              </w:rPr>
            </w:pPr>
            <w:r w:rsidRPr="00980BC4">
              <w:rPr>
                <w:rFonts w:ascii="宋体" w:eastAsia="宋体" w:hAnsi="宋体" w:cs="宋体"/>
                <w:sz w:val="18"/>
                <w:szCs w:val="18"/>
              </w:rPr>
              <w:t>404,769.07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300" w:lineRule="exact"/>
              <w:jc w:val="right"/>
              <w:rPr>
                <w:rFonts w:ascii="宋体" w:eastAsia="宋体" w:hAnsi="宋体" w:cs="宋体"/>
                <w:sz w:val="18"/>
                <w:szCs w:val="18"/>
              </w:rPr>
            </w:pPr>
            <w:r w:rsidRPr="00980BC4">
              <w:rPr>
                <w:rFonts w:ascii="宋体" w:eastAsia="宋体" w:hAnsi="宋体" w:cs="宋体"/>
                <w:sz w:val="18"/>
                <w:szCs w:val="18"/>
              </w:rPr>
              <w:t>-254,573.76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300" w:lineRule="exact"/>
              <w:rPr>
                <w:rFonts w:ascii="宋体" w:eastAsia="宋体" w:hAnsi="宋体" w:cs="宋体"/>
                <w:sz w:val="18"/>
                <w:szCs w:val="18"/>
              </w:rPr>
            </w:pPr>
            <w:r w:rsidRPr="00980BC4">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300" w:lineRule="exact"/>
              <w:jc w:val="right"/>
              <w:rPr>
                <w:rFonts w:ascii="宋体" w:eastAsia="宋体" w:hAnsi="宋体" w:cs="宋体"/>
                <w:sz w:val="18"/>
                <w:szCs w:val="18"/>
              </w:rPr>
            </w:pPr>
            <w:r w:rsidRPr="00980BC4">
              <w:rPr>
                <w:rFonts w:ascii="宋体" w:eastAsia="宋体" w:hAnsi="宋体" w:cs="宋体"/>
                <w:sz w:val="18"/>
                <w:szCs w:val="18"/>
              </w:rPr>
              <w:t>-5,294,881.18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300" w:lineRule="exact"/>
              <w:jc w:val="right"/>
              <w:rPr>
                <w:rFonts w:ascii="宋体" w:eastAsia="宋体" w:hAnsi="宋体" w:cs="宋体"/>
                <w:sz w:val="18"/>
                <w:szCs w:val="18"/>
              </w:rPr>
            </w:pPr>
            <w:r w:rsidRPr="00980BC4">
              <w:rPr>
                <w:rFonts w:ascii="宋体" w:eastAsia="宋体" w:hAnsi="宋体" w:cs="宋体"/>
                <w:sz w:val="18"/>
                <w:szCs w:val="18"/>
              </w:rPr>
              <w:t>-1,906,971.65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300" w:lineRule="exact"/>
              <w:rPr>
                <w:rFonts w:ascii="宋体" w:eastAsia="宋体" w:hAnsi="宋体" w:cs="宋体"/>
                <w:sz w:val="18"/>
                <w:szCs w:val="18"/>
              </w:rPr>
            </w:pPr>
            <w:r w:rsidRPr="00980BC4">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300" w:lineRule="exact"/>
              <w:jc w:val="right"/>
              <w:rPr>
                <w:rFonts w:ascii="宋体" w:eastAsia="宋体" w:hAnsi="宋体" w:cs="宋体"/>
                <w:sz w:val="18"/>
                <w:szCs w:val="18"/>
              </w:rPr>
            </w:pPr>
            <w:r w:rsidRPr="00980BC4">
              <w:rPr>
                <w:rFonts w:ascii="宋体" w:eastAsia="宋体" w:hAnsi="宋体" w:cs="宋体"/>
                <w:sz w:val="18"/>
                <w:szCs w:val="18"/>
              </w:rPr>
              <w:t>-3,463,893.13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300" w:lineRule="exact"/>
              <w:jc w:val="right"/>
              <w:rPr>
                <w:rFonts w:ascii="宋体" w:eastAsia="宋体" w:hAnsi="宋体" w:cs="宋体"/>
                <w:sz w:val="18"/>
                <w:szCs w:val="18"/>
              </w:rPr>
            </w:pPr>
            <w:r w:rsidRPr="00980BC4">
              <w:rPr>
                <w:rFonts w:ascii="宋体" w:eastAsia="宋体" w:hAnsi="宋体" w:cs="宋体"/>
                <w:sz w:val="18"/>
                <w:szCs w:val="18"/>
              </w:rPr>
              <w:t>-1,121,812.08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30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300" w:lineRule="exact"/>
              <w:jc w:val="right"/>
              <w:rPr>
                <w:rFonts w:ascii="宋体" w:eastAsia="宋体" w:hAnsi="宋体" w:cs="宋体"/>
                <w:sz w:val="18"/>
                <w:szCs w:val="18"/>
              </w:rPr>
            </w:pPr>
            <w:r w:rsidRPr="00980BC4">
              <w:rPr>
                <w:rFonts w:ascii="宋体" w:eastAsia="宋体" w:hAnsi="宋体" w:cs="宋体"/>
                <w:sz w:val="18"/>
                <w:szCs w:val="18"/>
              </w:rPr>
              <w:t>-8,354,005.24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300" w:lineRule="exact"/>
              <w:jc w:val="right"/>
              <w:rPr>
                <w:rFonts w:ascii="宋体" w:eastAsia="宋体" w:hAnsi="宋体" w:cs="宋体"/>
                <w:sz w:val="18"/>
                <w:szCs w:val="18"/>
              </w:rPr>
            </w:pPr>
            <w:r w:rsidRPr="00980BC4">
              <w:rPr>
                <w:rFonts w:ascii="宋体" w:eastAsia="宋体" w:hAnsi="宋体" w:cs="宋体"/>
                <w:sz w:val="18"/>
                <w:szCs w:val="18"/>
              </w:rPr>
              <w:t>-3,283,357.49</w:t>
            </w:r>
          </w:p>
        </w:tc>
      </w:tr>
    </w:tbl>
    <w:p w:rsidR="00F67D6F" w:rsidRPr="00980BC4" w:rsidRDefault="00F67D6F" w:rsidP="00AD0F69">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14" w:name="_Toc989202"/>
      <w:r w:rsidRPr="00980BC4">
        <w:rPr>
          <w:rFonts w:ascii="仿宋" w:eastAsia="仿宋" w:hAnsi="仿宋" w:cs="Times New Roman"/>
          <w:b/>
          <w:sz w:val="28"/>
          <w:szCs w:val="28"/>
        </w:rPr>
        <w:t>52、资产减值损失</w:t>
      </w:r>
      <w:bookmarkEnd w:id="314"/>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219"/>
        <w:gridCol w:w="2835"/>
        <w:gridCol w:w="2585"/>
      </w:tblGrid>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二、存货跌价损失及合同履约成本减值损失</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-4,187,718.17</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p>
        </w:tc>
      </w:tr>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十一、商誉减值损失</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-57,668,942.23</w:t>
            </w:r>
          </w:p>
        </w:tc>
      </w:tr>
      <w:tr w:rsidR="00F67D6F" w:rsidRPr="00980BC4" w:rsidTr="00AD0F69">
        <w:trPr>
          <w:divId w:val="969553885"/>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83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-4,187,718.17</w:t>
            </w:r>
          </w:p>
        </w:tc>
        <w:tc>
          <w:tcPr>
            <w:tcW w:w="25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-57,668,942.23</w:t>
            </w:r>
          </w:p>
        </w:tc>
      </w:tr>
    </w:tbl>
    <w:p w:rsidR="00F67D6F" w:rsidRPr="00980BC4" w:rsidRDefault="00F67D6F" w:rsidP="00AD0F69">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15" w:name="_Toc989203"/>
      <w:r w:rsidRPr="00980BC4">
        <w:rPr>
          <w:rFonts w:ascii="仿宋" w:eastAsia="仿宋" w:hAnsi="仿宋" w:cs="Times New Roman"/>
          <w:b/>
          <w:sz w:val="28"/>
          <w:szCs w:val="28"/>
        </w:rPr>
        <w:t>53、资产处置收益</w:t>
      </w:r>
      <w:bookmarkEnd w:id="315"/>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rPr>
                <w:rFonts w:ascii="宋体" w:eastAsia="宋体" w:hAnsi="宋体" w:cs="宋体"/>
                <w:sz w:val="18"/>
                <w:szCs w:val="18"/>
              </w:rPr>
            </w:pPr>
            <w:r w:rsidRPr="00980BC4">
              <w:rPr>
                <w:rFonts w:ascii="宋体" w:eastAsia="宋体" w:hAnsi="宋体" w:cs="宋体"/>
                <w:sz w:val="18"/>
                <w:szCs w:val="18"/>
              </w:rPr>
              <w:t>处置未划分为持有待售的固定资产、在建工程、生产性生物资产及无形资产的处置利得或损失</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17,193.76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-40,613.46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rPr>
                <w:rFonts w:ascii="宋体" w:eastAsia="宋体" w:hAnsi="宋体" w:cs="宋体"/>
                <w:sz w:val="18"/>
                <w:szCs w:val="18"/>
              </w:rPr>
            </w:pPr>
            <w:r w:rsidRPr="00980BC4">
              <w:rPr>
                <w:rFonts w:ascii="宋体" w:eastAsia="宋体" w:hAnsi="宋体" w:cs="宋体"/>
                <w:sz w:val="18"/>
                <w:szCs w:val="18"/>
              </w:rPr>
              <w:t>其中：固定资产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17,193.76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-40,613.46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17,193.76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-40,613.46</w:t>
            </w:r>
          </w:p>
        </w:tc>
      </w:tr>
    </w:tbl>
    <w:p w:rsidR="00F67D6F" w:rsidRPr="00980BC4" w:rsidRDefault="00F67D6F" w:rsidP="00AD0F69">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16" w:name="_Toc989204"/>
      <w:r w:rsidRPr="00980BC4">
        <w:rPr>
          <w:rFonts w:ascii="仿宋" w:eastAsia="仿宋" w:hAnsi="仿宋" w:cs="Times New Roman"/>
          <w:b/>
          <w:sz w:val="28"/>
          <w:szCs w:val="28"/>
        </w:rPr>
        <w:t>54、营业外收入</w:t>
      </w:r>
      <w:bookmarkEnd w:id="31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计入当期非经常性损益的金额</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政府补助</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489,374.60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796,620.00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489,374.60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rPr>
                <w:rFonts w:ascii="宋体" w:eastAsia="宋体" w:hAnsi="宋体" w:cs="宋体"/>
                <w:sz w:val="18"/>
                <w:szCs w:val="18"/>
              </w:rPr>
            </w:pPr>
            <w:r w:rsidRPr="00980BC4">
              <w:rPr>
                <w:rFonts w:ascii="宋体" w:eastAsia="宋体" w:hAnsi="宋体" w:cs="宋体"/>
                <w:sz w:val="18"/>
                <w:szCs w:val="18"/>
              </w:rPr>
              <w:t>历史遗留款及税费处置</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15,597,777.82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15,597,777.82</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rPr>
                <w:rFonts w:ascii="宋体" w:eastAsia="宋体" w:hAnsi="宋体" w:cs="宋体"/>
                <w:sz w:val="18"/>
                <w:szCs w:val="18"/>
              </w:rPr>
            </w:pPr>
            <w:r w:rsidRPr="00980BC4">
              <w:rPr>
                <w:rFonts w:ascii="宋体" w:eastAsia="宋体" w:hAnsi="宋体" w:cs="宋体"/>
                <w:sz w:val="18"/>
                <w:szCs w:val="18"/>
              </w:rPr>
              <w:t>逾期债权利息收入</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383,146.00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383,146.00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rPr>
                <w:rFonts w:ascii="宋体" w:eastAsia="宋体" w:hAnsi="宋体" w:cs="宋体"/>
                <w:sz w:val="18"/>
                <w:szCs w:val="18"/>
              </w:rPr>
            </w:pPr>
            <w:r w:rsidRPr="00980BC4">
              <w:rPr>
                <w:rFonts w:ascii="宋体" w:eastAsia="宋体" w:hAnsi="宋体" w:cs="宋体"/>
                <w:sz w:val="18"/>
                <w:szCs w:val="18"/>
              </w:rPr>
              <w:t>罚款净收入</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8,000.00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8,000.00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rPr>
                <w:rFonts w:ascii="宋体" w:eastAsia="宋体" w:hAnsi="宋体" w:cs="宋体"/>
                <w:sz w:val="18"/>
                <w:szCs w:val="18"/>
              </w:rPr>
            </w:pPr>
            <w:r w:rsidRPr="00980BC4">
              <w:rPr>
                <w:rFonts w:ascii="宋体" w:eastAsia="宋体" w:hAnsi="宋体" w:cs="宋体"/>
                <w:sz w:val="18"/>
                <w:szCs w:val="18"/>
              </w:rPr>
              <w:t>押金没收收入</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1,170.00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1,170.00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88,853.00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22,368.33</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88,853.00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D0F69">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16,568,321.42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818,988.33</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D0F69">
            <w:pPr>
              <w:spacing w:line="280" w:lineRule="exact"/>
              <w:jc w:val="right"/>
              <w:rPr>
                <w:rFonts w:ascii="宋体" w:eastAsia="宋体" w:hAnsi="宋体" w:cs="宋体"/>
                <w:sz w:val="18"/>
                <w:szCs w:val="18"/>
              </w:rPr>
            </w:pPr>
            <w:r w:rsidRPr="00980BC4">
              <w:rPr>
                <w:rFonts w:ascii="宋体" w:eastAsia="宋体" w:hAnsi="宋体" w:cs="宋体"/>
                <w:sz w:val="18"/>
                <w:szCs w:val="18"/>
              </w:rPr>
              <w:t>16,568,321.42</w:t>
            </w:r>
          </w:p>
        </w:tc>
      </w:tr>
    </w:tbl>
    <w:p w:rsidR="00F67D6F" w:rsidRPr="00980BC4" w:rsidRDefault="00F67D6F" w:rsidP="00AD0F69">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计入当期损益的政府补助：</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74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071"/>
        <w:gridCol w:w="1305"/>
        <w:gridCol w:w="837"/>
        <w:gridCol w:w="1071"/>
        <w:gridCol w:w="1071"/>
        <w:gridCol w:w="849"/>
        <w:gridCol w:w="1134"/>
        <w:gridCol w:w="1230"/>
        <w:gridCol w:w="1179"/>
      </w:tblGrid>
      <w:tr w:rsidR="00F67D6F" w:rsidRPr="00980BC4" w:rsidTr="0083514B">
        <w:trPr>
          <w:divId w:val="969553885"/>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3076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补助项目</w:t>
            </w:r>
          </w:p>
        </w:tc>
        <w:tc>
          <w:tcPr>
            <w:tcW w:w="130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3076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发放主体</w:t>
            </w:r>
          </w:p>
        </w:tc>
        <w:tc>
          <w:tcPr>
            <w:tcW w:w="83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3076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发放原因</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3076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性质类型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3076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补贴是否影响当年盈亏</w:t>
            </w:r>
          </w:p>
        </w:tc>
        <w:tc>
          <w:tcPr>
            <w:tcW w:w="84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3076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是否特殊补贴</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3076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本期发生金额</w:t>
            </w:r>
          </w:p>
        </w:tc>
        <w:tc>
          <w:tcPr>
            <w:tcW w:w="123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3076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上期发生金额</w:t>
            </w:r>
          </w:p>
        </w:tc>
        <w:tc>
          <w:tcPr>
            <w:tcW w:w="117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73076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与资产相关/与收益相关</w:t>
            </w:r>
          </w:p>
        </w:tc>
      </w:tr>
      <w:tr w:rsidR="00F67D6F" w:rsidRPr="00980BC4" w:rsidTr="0083514B">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市级财政科技项目专项资金</w:t>
            </w:r>
          </w:p>
        </w:tc>
        <w:tc>
          <w:tcPr>
            <w:tcW w:w="13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成都市成华区新经济和科技局</w:t>
            </w:r>
          </w:p>
        </w:tc>
        <w:tc>
          <w:tcPr>
            <w:tcW w:w="83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因研究开发、技术更新及改造等获得的补助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84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r w:rsidRPr="00980BC4">
              <w:rPr>
                <w:rFonts w:ascii="宋体" w:eastAsia="宋体" w:hAnsi="宋体" w:cs="宋体"/>
                <w:sz w:val="18"/>
                <w:szCs w:val="18"/>
              </w:rPr>
              <w:t>300,000.00</w:t>
            </w:r>
          </w:p>
        </w:tc>
        <w:tc>
          <w:tcPr>
            <w:tcW w:w="123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r w:rsidRPr="00980BC4">
              <w:rPr>
                <w:rFonts w:ascii="宋体" w:eastAsia="宋体" w:hAnsi="宋体" w:cs="宋体"/>
                <w:sz w:val="18"/>
                <w:szCs w:val="18"/>
              </w:rPr>
              <w:t>509,300.00</w:t>
            </w:r>
          </w:p>
        </w:tc>
        <w:tc>
          <w:tcPr>
            <w:tcW w:w="117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与收益相关</w:t>
            </w:r>
          </w:p>
        </w:tc>
      </w:tr>
      <w:tr w:rsidR="00F67D6F" w:rsidRPr="00980BC4" w:rsidTr="0083514B">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2022年市级知识产权发展和保护专项资金</w:t>
            </w:r>
          </w:p>
        </w:tc>
        <w:tc>
          <w:tcPr>
            <w:tcW w:w="13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成都市成华区市场监督管理局</w:t>
            </w:r>
          </w:p>
        </w:tc>
        <w:tc>
          <w:tcPr>
            <w:tcW w:w="83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因研究开发、技术更新及改造等获得的补助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84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r w:rsidRPr="00980BC4">
              <w:rPr>
                <w:rFonts w:ascii="宋体" w:eastAsia="宋体" w:hAnsi="宋体" w:cs="宋体"/>
                <w:sz w:val="18"/>
                <w:szCs w:val="18"/>
              </w:rPr>
              <w:t>90,000.00</w:t>
            </w:r>
          </w:p>
        </w:tc>
        <w:tc>
          <w:tcPr>
            <w:tcW w:w="123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与收益相关</w:t>
            </w:r>
          </w:p>
        </w:tc>
      </w:tr>
      <w:tr w:rsidR="00F67D6F" w:rsidRPr="00980BC4" w:rsidTr="0083514B">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稳岗补助</w:t>
            </w:r>
          </w:p>
        </w:tc>
        <w:tc>
          <w:tcPr>
            <w:tcW w:w="13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成都市成华区社保局、成都市就业保险服务管理局、沈阳市社会保险事业服务中心社保基金、成都市高新区税务局</w:t>
            </w:r>
          </w:p>
        </w:tc>
        <w:tc>
          <w:tcPr>
            <w:tcW w:w="83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因承担国家为保障某种公用事业或社会必要产品供应或价格控制职能而获得的补助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84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r w:rsidRPr="00980BC4">
              <w:rPr>
                <w:rFonts w:ascii="宋体" w:eastAsia="宋体" w:hAnsi="宋体" w:cs="宋体"/>
                <w:sz w:val="18"/>
                <w:szCs w:val="18"/>
              </w:rPr>
              <w:t>83,930.29</w:t>
            </w:r>
          </w:p>
        </w:tc>
        <w:tc>
          <w:tcPr>
            <w:tcW w:w="123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与收益相关</w:t>
            </w:r>
          </w:p>
        </w:tc>
      </w:tr>
      <w:tr w:rsidR="00F67D6F" w:rsidRPr="00980BC4" w:rsidTr="0083514B">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一次性留工补助</w:t>
            </w:r>
          </w:p>
        </w:tc>
        <w:tc>
          <w:tcPr>
            <w:tcW w:w="13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广东省社会保险基金管理局</w:t>
            </w:r>
          </w:p>
        </w:tc>
        <w:tc>
          <w:tcPr>
            <w:tcW w:w="83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因承担国家为保障某种公用</w:t>
            </w:r>
            <w:r w:rsidRPr="00980BC4">
              <w:rPr>
                <w:rFonts w:ascii="宋体" w:eastAsia="宋体" w:hAnsi="宋体" w:cs="宋体"/>
                <w:sz w:val="18"/>
                <w:szCs w:val="18"/>
              </w:rPr>
              <w:lastRenderedPageBreak/>
              <w:t>事业或社会必要产品供应或价格控制职能而获得的补助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lastRenderedPageBreak/>
              <w:t>否</w:t>
            </w:r>
          </w:p>
        </w:tc>
        <w:tc>
          <w:tcPr>
            <w:tcW w:w="84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r w:rsidRPr="00980BC4">
              <w:rPr>
                <w:rFonts w:ascii="宋体" w:eastAsia="宋体" w:hAnsi="宋体" w:cs="宋体"/>
                <w:sz w:val="18"/>
                <w:szCs w:val="18"/>
              </w:rPr>
              <w:t>13,715.00</w:t>
            </w:r>
          </w:p>
        </w:tc>
        <w:tc>
          <w:tcPr>
            <w:tcW w:w="123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与收益相关</w:t>
            </w:r>
          </w:p>
        </w:tc>
      </w:tr>
      <w:tr w:rsidR="00F67D6F" w:rsidRPr="00980BC4" w:rsidTr="0083514B">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lastRenderedPageBreak/>
              <w:t>失业基金补贴</w:t>
            </w:r>
          </w:p>
        </w:tc>
        <w:tc>
          <w:tcPr>
            <w:tcW w:w="13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成都市就业服务管理局</w:t>
            </w:r>
          </w:p>
        </w:tc>
        <w:tc>
          <w:tcPr>
            <w:tcW w:w="83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因承担国家为保障某种公用事业或社会必要产品供应或价格控制职能而获得的补助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84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r w:rsidRPr="00980BC4">
              <w:rPr>
                <w:rFonts w:ascii="宋体" w:eastAsia="宋体" w:hAnsi="宋体" w:cs="宋体"/>
                <w:sz w:val="18"/>
                <w:szCs w:val="18"/>
              </w:rPr>
              <w:t>1,729.31</w:t>
            </w:r>
          </w:p>
        </w:tc>
        <w:tc>
          <w:tcPr>
            <w:tcW w:w="123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p>
        </w:tc>
        <w:tc>
          <w:tcPr>
            <w:tcW w:w="117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与收益相关</w:t>
            </w:r>
          </w:p>
        </w:tc>
      </w:tr>
      <w:tr w:rsidR="00F67D6F" w:rsidRPr="00980BC4" w:rsidTr="0083514B">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以工代训补贴</w:t>
            </w:r>
          </w:p>
        </w:tc>
        <w:tc>
          <w:tcPr>
            <w:tcW w:w="13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成都市成华区就业服务管理局、沈阳市人力资源和社会保障局</w:t>
            </w:r>
          </w:p>
        </w:tc>
        <w:tc>
          <w:tcPr>
            <w:tcW w:w="83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因承担国家为保障某种公用事业或社会必要产品供应或价格控制职能而获得的补助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84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p>
        </w:tc>
        <w:tc>
          <w:tcPr>
            <w:tcW w:w="123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r w:rsidRPr="00980BC4">
              <w:rPr>
                <w:rFonts w:ascii="宋体" w:eastAsia="宋体" w:hAnsi="宋体" w:cs="宋体"/>
                <w:sz w:val="18"/>
                <w:szCs w:val="18"/>
              </w:rPr>
              <w:t>222,320.00</w:t>
            </w:r>
          </w:p>
        </w:tc>
        <w:tc>
          <w:tcPr>
            <w:tcW w:w="117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与收益相关</w:t>
            </w:r>
          </w:p>
        </w:tc>
      </w:tr>
      <w:tr w:rsidR="00F67D6F" w:rsidRPr="00980BC4" w:rsidTr="0083514B">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高企奖补</w:t>
            </w:r>
          </w:p>
        </w:tc>
        <w:tc>
          <w:tcPr>
            <w:tcW w:w="13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成都生产力促进中心</w:t>
            </w:r>
          </w:p>
        </w:tc>
        <w:tc>
          <w:tcPr>
            <w:tcW w:w="83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因承担国家为保障某种公用事业或社会必要产品供应或价格控制职能而获得的补助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84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p>
        </w:tc>
        <w:tc>
          <w:tcPr>
            <w:tcW w:w="123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r w:rsidRPr="00980BC4">
              <w:rPr>
                <w:rFonts w:ascii="宋体" w:eastAsia="宋体" w:hAnsi="宋体" w:cs="宋体"/>
                <w:sz w:val="18"/>
                <w:szCs w:val="18"/>
              </w:rPr>
              <w:t>50,000.00</w:t>
            </w:r>
          </w:p>
        </w:tc>
        <w:tc>
          <w:tcPr>
            <w:tcW w:w="117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与收益相关</w:t>
            </w:r>
          </w:p>
        </w:tc>
      </w:tr>
      <w:tr w:rsidR="00F67D6F" w:rsidRPr="00980BC4" w:rsidTr="0083514B">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13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成都市成华区就业服务管理局</w:t>
            </w:r>
          </w:p>
        </w:tc>
        <w:tc>
          <w:tcPr>
            <w:tcW w:w="83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因承担国家为保障某种公用事业或社会必要产品供应或价格控制职能而获得的补助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84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p>
        </w:tc>
        <w:tc>
          <w:tcPr>
            <w:tcW w:w="123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jc w:val="right"/>
              <w:rPr>
                <w:rFonts w:ascii="宋体" w:eastAsia="宋体" w:hAnsi="宋体" w:cs="宋体"/>
                <w:sz w:val="18"/>
                <w:szCs w:val="18"/>
              </w:rPr>
            </w:pPr>
            <w:r w:rsidRPr="00980BC4">
              <w:rPr>
                <w:rFonts w:ascii="宋体" w:eastAsia="宋体" w:hAnsi="宋体" w:cs="宋体"/>
                <w:sz w:val="18"/>
                <w:szCs w:val="18"/>
              </w:rPr>
              <w:t>15,000.00</w:t>
            </w:r>
          </w:p>
        </w:tc>
        <w:tc>
          <w:tcPr>
            <w:tcW w:w="117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73076E">
            <w:pPr>
              <w:spacing w:line="280" w:lineRule="exact"/>
              <w:rPr>
                <w:rFonts w:ascii="宋体" w:eastAsia="宋体" w:hAnsi="宋体" w:cs="宋体"/>
                <w:sz w:val="18"/>
                <w:szCs w:val="18"/>
              </w:rPr>
            </w:pPr>
            <w:r w:rsidRPr="00980BC4">
              <w:rPr>
                <w:rFonts w:ascii="宋体" w:eastAsia="宋体" w:hAnsi="宋体" w:cs="宋体"/>
                <w:sz w:val="18"/>
                <w:szCs w:val="18"/>
              </w:rPr>
              <w:t>与收益相关</w:t>
            </w:r>
          </w:p>
        </w:tc>
      </w:tr>
    </w:tbl>
    <w:p w:rsidR="00F67D6F" w:rsidRPr="00980BC4" w:rsidRDefault="00F67D6F" w:rsidP="001823FF">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17" w:name="_Toc989205"/>
      <w:r w:rsidRPr="00980BC4">
        <w:rPr>
          <w:rFonts w:ascii="仿宋" w:eastAsia="仿宋" w:hAnsi="仿宋" w:cs="Times New Roman"/>
          <w:b/>
          <w:sz w:val="28"/>
          <w:szCs w:val="28"/>
        </w:rPr>
        <w:t>55、营业外支出</w:t>
      </w:r>
      <w:bookmarkEnd w:id="317"/>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23F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23F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23F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23F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计入当期非经常性损益的金额</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rPr>
                <w:rFonts w:ascii="宋体" w:eastAsia="宋体" w:hAnsi="宋体" w:cs="宋体"/>
                <w:sz w:val="18"/>
                <w:szCs w:val="18"/>
              </w:rPr>
            </w:pPr>
            <w:r w:rsidRPr="00980BC4">
              <w:rPr>
                <w:rFonts w:ascii="宋体" w:eastAsia="宋体" w:hAnsi="宋体" w:cs="宋体"/>
                <w:sz w:val="18"/>
                <w:szCs w:val="18"/>
              </w:rPr>
              <w:t>公益性捐赠支出</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157,205.60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60,072.29</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157,205.60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rPr>
                <w:rFonts w:ascii="宋体" w:eastAsia="宋体" w:hAnsi="宋体" w:cs="宋体"/>
                <w:sz w:val="18"/>
                <w:szCs w:val="18"/>
              </w:rPr>
            </w:pPr>
            <w:r w:rsidRPr="00980BC4">
              <w:rPr>
                <w:rFonts w:ascii="宋体" w:eastAsia="宋体" w:hAnsi="宋体" w:cs="宋体"/>
                <w:sz w:val="18"/>
                <w:szCs w:val="18"/>
              </w:rPr>
              <w:t>滞纳金</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60.02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60.02</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rPr>
                <w:rFonts w:ascii="宋体" w:eastAsia="宋体" w:hAnsi="宋体" w:cs="宋体"/>
                <w:sz w:val="18"/>
                <w:szCs w:val="18"/>
              </w:rPr>
            </w:pPr>
            <w:r w:rsidRPr="00980BC4">
              <w:rPr>
                <w:rFonts w:ascii="宋体" w:eastAsia="宋体" w:hAnsi="宋体" w:cs="宋体"/>
                <w:sz w:val="18"/>
                <w:szCs w:val="18"/>
              </w:rPr>
              <w:lastRenderedPageBreak/>
              <w:t>赔偿款</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48,000.00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rPr>
                <w:rFonts w:ascii="宋体" w:eastAsia="宋体" w:hAnsi="宋体" w:cs="宋体"/>
                <w:sz w:val="18"/>
                <w:szCs w:val="18"/>
              </w:rPr>
            </w:pPr>
            <w:r w:rsidRPr="00980BC4">
              <w:rPr>
                <w:rFonts w:ascii="宋体" w:eastAsia="宋体" w:hAnsi="宋体" w:cs="宋体"/>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6,624.06</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0.06</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0.06</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23FF">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157,265.68</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114,696.35</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23FF">
            <w:pPr>
              <w:spacing w:line="280" w:lineRule="exact"/>
              <w:jc w:val="right"/>
              <w:rPr>
                <w:rFonts w:ascii="宋体" w:eastAsia="宋体" w:hAnsi="宋体" w:cs="宋体"/>
                <w:sz w:val="18"/>
                <w:szCs w:val="18"/>
              </w:rPr>
            </w:pPr>
            <w:r w:rsidRPr="00980BC4">
              <w:rPr>
                <w:rFonts w:ascii="宋体" w:eastAsia="宋体" w:hAnsi="宋体" w:cs="宋体"/>
                <w:sz w:val="18"/>
                <w:szCs w:val="18"/>
              </w:rPr>
              <w:t>157,265.68</w:t>
            </w:r>
          </w:p>
        </w:tc>
      </w:tr>
    </w:tbl>
    <w:p w:rsidR="00F67D6F" w:rsidRPr="00980BC4" w:rsidRDefault="00F67D6F" w:rsidP="00354866">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18" w:name="_Toc989206"/>
      <w:r w:rsidRPr="00980BC4">
        <w:rPr>
          <w:rFonts w:ascii="仿宋" w:eastAsia="仿宋" w:hAnsi="仿宋" w:cs="Times New Roman"/>
          <w:b/>
          <w:sz w:val="28"/>
          <w:szCs w:val="28"/>
        </w:rPr>
        <w:t>56、所得税费用</w:t>
      </w:r>
      <w:bookmarkEnd w:id="318"/>
    </w:p>
    <w:p w:rsidR="00F67D6F" w:rsidRPr="00980BC4" w:rsidRDefault="00F67D6F" w:rsidP="00354866">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19" w:name="_Toc989207"/>
      <w:r w:rsidRPr="00980BC4">
        <w:rPr>
          <w:rFonts w:ascii="仿宋" w:eastAsia="仿宋" w:hAnsi="仿宋" w:cs="Times New Roman"/>
          <w:b/>
          <w:sz w:val="28"/>
          <w:szCs w:val="28"/>
        </w:rPr>
        <w:t>（1） 所得税费用表</w:t>
      </w:r>
      <w:bookmarkEnd w:id="319"/>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14,133,599.48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10,920,277.64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-3,485,055.85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369,530.68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10,648,543.63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11,289,808.32</w:t>
            </w:r>
          </w:p>
        </w:tc>
      </w:tr>
    </w:tbl>
    <w:p w:rsidR="00F67D6F" w:rsidRPr="00980BC4" w:rsidRDefault="00F67D6F" w:rsidP="00354866">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20" w:name="_Toc989208"/>
      <w:r w:rsidRPr="00980BC4">
        <w:rPr>
          <w:rFonts w:ascii="仿宋" w:eastAsia="仿宋" w:hAnsi="仿宋" w:cs="Times New Roman"/>
          <w:b/>
          <w:sz w:val="28"/>
          <w:szCs w:val="28"/>
        </w:rPr>
        <w:t>（2） 会计利润与所得税费用调整过程</w:t>
      </w:r>
      <w:bookmarkEnd w:id="32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本期发生额</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129,337,722.26</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32,334,430.56</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-13,033,056.64</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-12,150.85</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-2,831,125.65</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1,528,744.72</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使用前期未确认递延所得税资产的可抵扣亏损的影响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-3,853.33</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本期未确认递延所得税资产的可抵扣暂时性差异或可抵扣亏损的影响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3,988,237.31</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rPr>
                <w:rFonts w:ascii="宋体" w:eastAsia="宋体" w:hAnsi="宋体" w:cs="宋体"/>
                <w:sz w:val="18"/>
                <w:szCs w:val="18"/>
              </w:rPr>
            </w:pPr>
            <w:r w:rsidRPr="00980BC4">
              <w:rPr>
                <w:rFonts w:ascii="宋体" w:eastAsia="宋体" w:hAnsi="宋体" w:cs="宋体"/>
                <w:sz w:val="18"/>
                <w:szCs w:val="18"/>
              </w:rPr>
              <w:t>研发费用加计扣除</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-11,322,682.49</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10,648,543.63</w:t>
            </w:r>
          </w:p>
        </w:tc>
      </w:tr>
    </w:tbl>
    <w:p w:rsidR="00F67D6F" w:rsidRPr="00980BC4" w:rsidRDefault="00F67D6F" w:rsidP="00354866">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21" w:name="_Toc989209"/>
      <w:r w:rsidRPr="00980BC4">
        <w:rPr>
          <w:rFonts w:ascii="仿宋" w:eastAsia="仿宋" w:hAnsi="仿宋" w:cs="Times New Roman"/>
          <w:b/>
          <w:sz w:val="28"/>
          <w:szCs w:val="28"/>
        </w:rPr>
        <w:t>57、现金流量表项目</w:t>
      </w:r>
      <w:bookmarkEnd w:id="321"/>
    </w:p>
    <w:p w:rsidR="00F67D6F" w:rsidRPr="00980BC4" w:rsidRDefault="00F67D6F" w:rsidP="00354866">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22" w:name="_Toc989210"/>
      <w:r w:rsidRPr="00980BC4">
        <w:rPr>
          <w:rFonts w:ascii="仿宋" w:eastAsia="仿宋" w:hAnsi="仿宋" w:cs="Times New Roman"/>
          <w:b/>
          <w:sz w:val="28"/>
          <w:szCs w:val="28"/>
        </w:rPr>
        <w:t>（1） 收到的其他与经营活动有关的现金</w:t>
      </w:r>
      <w:bookmarkEnd w:id="32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4866">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4866">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4866">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rPr>
                <w:rFonts w:ascii="宋体" w:eastAsia="宋体" w:hAnsi="宋体" w:cs="宋体"/>
                <w:sz w:val="18"/>
                <w:szCs w:val="18"/>
              </w:rPr>
            </w:pPr>
            <w:r w:rsidRPr="00980BC4">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jc w:val="right"/>
              <w:rPr>
                <w:rFonts w:ascii="宋体" w:eastAsia="宋体" w:hAnsi="宋体" w:cs="宋体"/>
                <w:sz w:val="18"/>
                <w:szCs w:val="18"/>
              </w:rPr>
            </w:pPr>
            <w:r w:rsidRPr="00980BC4">
              <w:rPr>
                <w:rFonts w:ascii="宋体" w:eastAsia="宋体" w:hAnsi="宋体" w:cs="宋体"/>
                <w:sz w:val="18"/>
                <w:szCs w:val="18"/>
              </w:rPr>
              <w:t>10,596,734.19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jc w:val="right"/>
              <w:rPr>
                <w:rFonts w:ascii="宋体" w:eastAsia="宋体" w:hAnsi="宋体" w:cs="宋体"/>
                <w:sz w:val="18"/>
                <w:szCs w:val="18"/>
              </w:rPr>
            </w:pPr>
            <w:r w:rsidRPr="00980BC4">
              <w:rPr>
                <w:rFonts w:ascii="宋体" w:eastAsia="宋体" w:hAnsi="宋体" w:cs="宋体"/>
                <w:sz w:val="18"/>
                <w:szCs w:val="18"/>
              </w:rPr>
              <w:t>12,268,193.55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rPr>
                <w:rFonts w:ascii="宋体" w:eastAsia="宋体" w:hAnsi="宋体" w:cs="宋体"/>
                <w:sz w:val="18"/>
                <w:szCs w:val="18"/>
              </w:rPr>
            </w:pPr>
            <w:r w:rsidRPr="00980BC4">
              <w:rPr>
                <w:rFonts w:ascii="宋体" w:eastAsia="宋体" w:hAnsi="宋体" w:cs="宋体"/>
                <w:sz w:val="18"/>
                <w:szCs w:val="18"/>
              </w:rPr>
              <w:t>存款利息</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jc w:val="right"/>
              <w:rPr>
                <w:rFonts w:ascii="宋体" w:eastAsia="宋体" w:hAnsi="宋体" w:cs="宋体"/>
                <w:sz w:val="18"/>
                <w:szCs w:val="18"/>
              </w:rPr>
            </w:pPr>
            <w:r w:rsidRPr="00980BC4">
              <w:rPr>
                <w:rFonts w:ascii="宋体" w:eastAsia="宋体" w:hAnsi="宋体" w:cs="宋体"/>
                <w:sz w:val="18"/>
                <w:szCs w:val="18"/>
              </w:rPr>
              <w:t>1,441,621.07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jc w:val="right"/>
              <w:rPr>
                <w:rFonts w:ascii="宋体" w:eastAsia="宋体" w:hAnsi="宋体" w:cs="宋体"/>
                <w:sz w:val="18"/>
                <w:szCs w:val="18"/>
              </w:rPr>
            </w:pPr>
            <w:r w:rsidRPr="00980BC4">
              <w:rPr>
                <w:rFonts w:ascii="宋体" w:eastAsia="宋体" w:hAnsi="宋体" w:cs="宋体"/>
                <w:sz w:val="18"/>
                <w:szCs w:val="18"/>
              </w:rPr>
              <w:t>5,772,257.35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rPr>
                <w:rFonts w:ascii="宋体" w:eastAsia="宋体" w:hAnsi="宋体" w:cs="宋体"/>
                <w:sz w:val="18"/>
                <w:szCs w:val="18"/>
              </w:rPr>
            </w:pPr>
            <w:r w:rsidRPr="00980BC4">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jc w:val="right"/>
              <w:rPr>
                <w:rFonts w:ascii="宋体" w:eastAsia="宋体" w:hAnsi="宋体" w:cs="宋体"/>
                <w:sz w:val="18"/>
                <w:szCs w:val="18"/>
              </w:rPr>
            </w:pPr>
            <w:r w:rsidRPr="00980BC4">
              <w:rPr>
                <w:rFonts w:ascii="宋体" w:eastAsia="宋体" w:hAnsi="宋体" w:cs="宋体"/>
                <w:sz w:val="18"/>
                <w:szCs w:val="18"/>
              </w:rPr>
              <w:t>813,831.56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jc w:val="right"/>
              <w:rPr>
                <w:rFonts w:ascii="宋体" w:eastAsia="宋体" w:hAnsi="宋体" w:cs="宋体"/>
                <w:sz w:val="18"/>
                <w:szCs w:val="18"/>
              </w:rPr>
            </w:pPr>
            <w:r w:rsidRPr="00980BC4">
              <w:rPr>
                <w:rFonts w:ascii="宋体" w:eastAsia="宋体" w:hAnsi="宋体" w:cs="宋体"/>
                <w:sz w:val="18"/>
                <w:szCs w:val="18"/>
              </w:rPr>
              <w:t>121,500.00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jc w:val="right"/>
              <w:rPr>
                <w:rFonts w:ascii="宋体" w:eastAsia="宋体" w:hAnsi="宋体" w:cs="宋体"/>
                <w:sz w:val="18"/>
                <w:szCs w:val="18"/>
              </w:rPr>
            </w:pPr>
            <w:r w:rsidRPr="00980BC4">
              <w:rPr>
                <w:rFonts w:ascii="宋体" w:eastAsia="宋体" w:hAnsi="宋体" w:cs="宋体"/>
                <w:sz w:val="18"/>
                <w:szCs w:val="18"/>
              </w:rPr>
              <w:t>659,040.76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jc w:val="right"/>
              <w:rPr>
                <w:rFonts w:ascii="宋体" w:eastAsia="宋体" w:hAnsi="宋体" w:cs="宋体"/>
                <w:sz w:val="18"/>
                <w:szCs w:val="18"/>
              </w:rPr>
            </w:pPr>
            <w:r w:rsidRPr="00980BC4">
              <w:rPr>
                <w:rFonts w:ascii="宋体" w:eastAsia="宋体" w:hAnsi="宋体" w:cs="宋体"/>
                <w:sz w:val="18"/>
                <w:szCs w:val="18"/>
              </w:rPr>
              <w:t>122,575.49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354866">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jc w:val="right"/>
              <w:rPr>
                <w:rFonts w:ascii="宋体" w:eastAsia="宋体" w:hAnsi="宋体" w:cs="宋体"/>
                <w:sz w:val="18"/>
                <w:szCs w:val="18"/>
              </w:rPr>
            </w:pPr>
            <w:r w:rsidRPr="00980BC4">
              <w:rPr>
                <w:rFonts w:ascii="宋体" w:eastAsia="宋体" w:hAnsi="宋体" w:cs="宋体"/>
                <w:sz w:val="18"/>
                <w:szCs w:val="18"/>
              </w:rPr>
              <w:t>13,511,227.58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354866">
            <w:pPr>
              <w:spacing w:line="280" w:lineRule="exact"/>
              <w:jc w:val="right"/>
              <w:rPr>
                <w:rFonts w:ascii="宋体" w:eastAsia="宋体" w:hAnsi="宋体" w:cs="宋体"/>
                <w:sz w:val="18"/>
                <w:szCs w:val="18"/>
              </w:rPr>
            </w:pPr>
            <w:r w:rsidRPr="00980BC4">
              <w:rPr>
                <w:rFonts w:ascii="宋体" w:eastAsia="宋体" w:hAnsi="宋体" w:cs="宋体"/>
                <w:sz w:val="18"/>
                <w:szCs w:val="18"/>
              </w:rPr>
              <w:t>18,284,526.39</w:t>
            </w:r>
          </w:p>
        </w:tc>
      </w:tr>
    </w:tbl>
    <w:p w:rsidR="00F67D6F" w:rsidRPr="00980BC4" w:rsidRDefault="00F67D6F" w:rsidP="00354866">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23" w:name="_Toc989211"/>
      <w:r w:rsidRPr="00980BC4">
        <w:rPr>
          <w:rFonts w:ascii="仿宋" w:eastAsia="仿宋" w:hAnsi="仿宋" w:cs="Times New Roman"/>
          <w:b/>
          <w:sz w:val="28"/>
          <w:szCs w:val="28"/>
        </w:rPr>
        <w:t>（2） 支付的其他与经营活动有关的现金</w:t>
      </w:r>
      <w:bookmarkEnd w:id="323"/>
    </w:p>
    <w:p w:rsidR="00FC4C18" w:rsidRPr="00980BC4" w:rsidRDefault="00FC4C18" w:rsidP="00F67D6F">
      <w:pPr>
        <w:spacing w:before="40" w:after="40" w:line="240" w:lineRule="exact"/>
        <w:jc w:val="right"/>
        <w:divId w:val="969553885"/>
        <w:rPr>
          <w:rFonts w:ascii="宋体" w:eastAsia="宋体" w:hAnsi="宋体" w:cs="宋体"/>
          <w:sz w:val="18"/>
          <w:szCs w:val="18"/>
        </w:rPr>
      </w:pPr>
    </w:p>
    <w:p w:rsidR="00FC4C18" w:rsidRPr="00980BC4" w:rsidRDefault="00FC4C18" w:rsidP="00F67D6F">
      <w:pPr>
        <w:spacing w:before="40" w:after="40" w:line="240" w:lineRule="exact"/>
        <w:jc w:val="right"/>
        <w:divId w:val="969553885"/>
        <w:rPr>
          <w:rFonts w:ascii="宋体" w:eastAsia="宋体" w:hAnsi="宋体" w:cs="宋体"/>
          <w:sz w:val="18"/>
          <w:szCs w:val="18"/>
        </w:rPr>
      </w:pP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费用及备用金支出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70,767,880.33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46,613,747.39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88,400.00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1,642,407.16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30,981.48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380,321.38</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捐赠支出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157,205.60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60,072.29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71,044,467.41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48,696,548.22</w:t>
            </w:r>
          </w:p>
        </w:tc>
      </w:tr>
    </w:tbl>
    <w:p w:rsidR="00F67D6F" w:rsidRPr="00980BC4" w:rsidRDefault="00F67D6F"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24" w:name="_Toc989212"/>
      <w:r w:rsidRPr="00980BC4">
        <w:rPr>
          <w:rFonts w:ascii="仿宋" w:eastAsia="仿宋" w:hAnsi="仿宋" w:cs="Times New Roman"/>
          <w:b/>
          <w:sz w:val="28"/>
          <w:szCs w:val="28"/>
        </w:rPr>
        <w:t>（3） 收到的其他与投资活动有关的现金</w:t>
      </w:r>
      <w:bookmarkEnd w:id="324"/>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收到融资租赁款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850,000.00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850,000.00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850,000.00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850,000.00</w:t>
            </w:r>
          </w:p>
        </w:tc>
      </w:tr>
    </w:tbl>
    <w:p w:rsidR="00F67D6F" w:rsidRPr="00980BC4" w:rsidRDefault="00F67D6F" w:rsidP="00F67D6F">
      <w:pPr>
        <w:divId w:val="969553885"/>
        <w:rPr>
          <w:sz w:val="18"/>
          <w:szCs w:val="18"/>
        </w:rPr>
      </w:pPr>
    </w:p>
    <w:p w:rsidR="00F67D6F" w:rsidRPr="00980BC4" w:rsidRDefault="00F67D6F"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25" w:name="_Toc989214"/>
      <w:r w:rsidRPr="00980BC4">
        <w:rPr>
          <w:rFonts w:ascii="仿宋" w:eastAsia="仿宋" w:hAnsi="仿宋" w:cs="Times New Roman"/>
          <w:b/>
          <w:sz w:val="28"/>
          <w:szCs w:val="28"/>
        </w:rPr>
        <w:t>（</w:t>
      </w:r>
      <w:r w:rsidR="00FC4C18" w:rsidRPr="00980BC4">
        <w:rPr>
          <w:rFonts w:ascii="仿宋" w:eastAsia="仿宋" w:hAnsi="仿宋" w:cs="Times New Roman" w:hint="eastAsia"/>
          <w:b/>
          <w:sz w:val="28"/>
          <w:szCs w:val="28"/>
        </w:rPr>
        <w:t>4</w:t>
      </w:r>
      <w:r w:rsidRPr="00980BC4">
        <w:rPr>
          <w:rFonts w:ascii="仿宋" w:eastAsia="仿宋" w:hAnsi="仿宋" w:cs="Times New Roman"/>
          <w:b/>
          <w:sz w:val="28"/>
          <w:szCs w:val="28"/>
        </w:rPr>
        <w:t>） 收到的其他与筹资活动有关的现金</w:t>
      </w:r>
      <w:bookmarkEnd w:id="325"/>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股权激励回购款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2,319,187.99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21,337,728.00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55,200.00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2,374,387.99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21,337,728.00</w:t>
            </w:r>
          </w:p>
        </w:tc>
      </w:tr>
    </w:tbl>
    <w:p w:rsidR="00F67D6F" w:rsidRPr="00980BC4" w:rsidRDefault="00F67D6F"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26" w:name="_Toc989215"/>
      <w:r w:rsidRPr="00980BC4">
        <w:rPr>
          <w:rFonts w:ascii="仿宋" w:eastAsia="仿宋" w:hAnsi="仿宋" w:cs="Times New Roman"/>
          <w:b/>
          <w:sz w:val="28"/>
          <w:szCs w:val="28"/>
        </w:rPr>
        <w:t>（</w:t>
      </w:r>
      <w:r w:rsidR="00FC4C18" w:rsidRPr="00980BC4">
        <w:rPr>
          <w:rFonts w:ascii="仿宋" w:eastAsia="仿宋" w:hAnsi="仿宋" w:cs="Times New Roman" w:hint="eastAsia"/>
          <w:b/>
          <w:sz w:val="28"/>
          <w:szCs w:val="28"/>
        </w:rPr>
        <w:t>5</w:t>
      </w:r>
      <w:r w:rsidRPr="00980BC4">
        <w:rPr>
          <w:rFonts w:ascii="仿宋" w:eastAsia="仿宋" w:hAnsi="仿宋" w:cs="Times New Roman"/>
          <w:b/>
          <w:sz w:val="28"/>
          <w:szCs w:val="28"/>
        </w:rPr>
        <w:t>） 支付的其他与筹资活动有关的现金</w:t>
      </w:r>
      <w:bookmarkEnd w:id="32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租赁支出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4,310,065.34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子公司注销退还</w:t>
            </w:r>
            <w:r w:rsidR="008A7691">
              <w:rPr>
                <w:rFonts w:ascii="宋体" w:eastAsia="宋体" w:hAnsi="宋体" w:cs="宋体" w:hint="eastAsia"/>
                <w:sz w:val="18"/>
                <w:szCs w:val="18"/>
              </w:rPr>
              <w:t>少数股东</w:t>
            </w:r>
            <w:r w:rsidRPr="00980BC4">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859,400.46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支付租赁负债的本金和利息</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885,593.80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698,038.40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购买少数股东股权款项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68,336,000.00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6,055,059.60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69,034,038.40</w:t>
            </w:r>
          </w:p>
        </w:tc>
      </w:tr>
    </w:tbl>
    <w:p w:rsidR="00F67D6F" w:rsidRPr="00980BC4" w:rsidRDefault="00F67D6F"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27" w:name="_Toc989216"/>
      <w:r w:rsidRPr="00980BC4">
        <w:rPr>
          <w:rFonts w:ascii="仿宋" w:eastAsia="仿宋" w:hAnsi="仿宋" w:cs="Times New Roman"/>
          <w:b/>
          <w:sz w:val="28"/>
          <w:szCs w:val="28"/>
        </w:rPr>
        <w:t>58、现金流量表补充资料</w:t>
      </w:r>
      <w:bookmarkEnd w:id="327"/>
    </w:p>
    <w:p w:rsidR="00F67D6F" w:rsidRPr="00980BC4" w:rsidRDefault="00F67D6F"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28" w:name="_Toc989217"/>
      <w:r w:rsidRPr="00980BC4">
        <w:rPr>
          <w:rFonts w:ascii="仿宋" w:eastAsia="仿宋" w:hAnsi="仿宋" w:cs="Times New Roman"/>
          <w:b/>
          <w:sz w:val="28"/>
          <w:szCs w:val="28"/>
        </w:rPr>
        <w:t>（1） 现金流量表补充资料</w:t>
      </w:r>
      <w:bookmarkEnd w:id="328"/>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5211"/>
        <w:gridCol w:w="2552"/>
        <w:gridCol w:w="1876"/>
      </w:tblGrid>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补充资料</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本期金额</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上期金额</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1．将净利润调节为经营活动现金流量</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300" w:lineRule="exact"/>
            </w:pP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300" w:lineRule="exact"/>
            </w:pP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净利润</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118,689,178.63</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39,350,038.90</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加：资产减值准备</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4,187,718.17</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57,668,942.23</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ind w:firstLineChars="100" w:firstLine="180"/>
              <w:rPr>
                <w:rFonts w:ascii="宋体" w:eastAsia="宋体" w:hAnsi="宋体" w:cs="宋体"/>
                <w:sz w:val="18"/>
                <w:szCs w:val="18"/>
              </w:rPr>
            </w:pPr>
            <w:r w:rsidRPr="00980BC4">
              <w:rPr>
                <w:rFonts w:ascii="宋体" w:eastAsia="宋体" w:hAnsi="宋体" w:cs="宋体"/>
                <w:sz w:val="18"/>
                <w:szCs w:val="18"/>
              </w:rPr>
              <w:t>信用减值损失</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8,354,005.24</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3,283,357.49</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固定资产折旧、油气资产折耗、生产性生物资产折旧</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7,030,930.21</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4,638,292.00</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使用权资产折旧</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4,178,471.28</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2,540,490.50</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lastRenderedPageBreak/>
              <w:t>无形资产摊销</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5,318,781.87</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4,783,007.72</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长期待摊费用摊销</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745,070.67</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处置固定资产、无形资产和其他长期资产的损失（收益以“－”号填列）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-17,193.76</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40,613.46</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固定资产报废损失（收益以“－”号填列）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6,624.06</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公允价值变动损失（收益以“－”号填列）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2,995,137.67</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1,959,208.59</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财务费用（收益以“－”号填列）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2,848,316.98</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1,767,304.34</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投资损失（收益以“－”号填列）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-17,382,015.27</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-29,400,281.08</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递延所得税资产减少（增加以“－”号填列）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-4,129,007.38</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861,416.19</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递延所得税负债增加（减少以“－”号填列）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643,951.53</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-491,885.50</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存货的减少（增加以“－”号填列）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-36,582,622.69</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-32,172,927.19</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经营性应收项目的减少（增加以“－”号填列）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-128,349,736.65</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10,088,367.50</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经营性应付项目的增加（减少以“－”号填列）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8A7691" w:rsidP="00FC4C18">
            <w:pPr>
              <w:spacing w:line="300" w:lineRule="exact"/>
              <w:jc w:val="right"/>
              <w:rPr>
                <w:rFonts w:ascii="宋体" w:eastAsia="宋体" w:hAnsi="宋体" w:cs="宋体"/>
                <w:sz w:val="18"/>
                <w:szCs w:val="18"/>
              </w:rPr>
            </w:pPr>
            <w:r w:rsidRPr="00AD3204">
              <w:rPr>
                <w:rFonts w:ascii="宋体" w:eastAsia="宋体" w:hAnsi="宋体" w:cs="宋体"/>
                <w:sz w:val="18"/>
                <w:szCs w:val="18"/>
              </w:rPr>
              <w:t>-32,695,412.95</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43,300,707.84</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ind w:firstLineChars="300" w:firstLine="540"/>
              <w:rPr>
                <w:rFonts w:ascii="宋体" w:eastAsia="宋体" w:hAnsi="宋体" w:cs="宋体"/>
                <w:sz w:val="18"/>
                <w:szCs w:val="18"/>
              </w:rPr>
            </w:pPr>
            <w:r w:rsidRPr="00980BC4">
              <w:rPr>
                <w:rFonts w:ascii="宋体" w:eastAsia="宋体" w:hAnsi="宋体" w:cs="宋体"/>
                <w:sz w:val="18"/>
                <w:szCs w:val="18"/>
              </w:rPr>
              <w:t>专项储备的增加（减少以“－”号填列）</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969,268.40</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986,486.21</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其他</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10,128,809.55</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11,174,799.96</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经营活动产生的现金流量净额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8A7691" w:rsidP="00FC4C18">
            <w:pPr>
              <w:spacing w:line="300" w:lineRule="exact"/>
              <w:jc w:val="right"/>
              <w:rPr>
                <w:rFonts w:ascii="宋体" w:eastAsia="宋体" w:hAnsi="宋体" w:cs="宋体"/>
                <w:sz w:val="18"/>
                <w:szCs w:val="18"/>
              </w:rPr>
            </w:pPr>
            <w:r w:rsidRPr="00AD3204">
              <w:rPr>
                <w:rFonts w:ascii="宋体" w:eastAsia="宋体" w:hAnsi="宋体" w:cs="宋体"/>
                <w:sz w:val="18"/>
                <w:szCs w:val="18"/>
              </w:rPr>
              <w:t>-53,066,348.50</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120,384,563.22</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2．不涉及现金收支的重大投资和筹资活动</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300" w:lineRule="exact"/>
            </w:pP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300" w:lineRule="exact"/>
            </w:pP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债务转为资本</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一年内到期的可转换公司债券</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融资租入固定资产</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3．现金及现金等价物净变动情况：</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300" w:lineRule="exact"/>
            </w:pP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300" w:lineRule="exact"/>
            </w:pP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现金的期末余额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94,345,379.71</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69,505,499.46</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减：现金的期初余额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69,505,499.46</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461,031,156.87</w:t>
            </w: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加：现金等价物的期末余额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减：现金等价物的期初余额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p>
        </w:tc>
      </w:tr>
      <w:tr w:rsidR="00F67D6F" w:rsidRPr="00980BC4" w:rsidTr="00FC4C18">
        <w:trPr>
          <w:divId w:val="969553885"/>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100" w:firstLine="180"/>
              <w:rPr>
                <w:rFonts w:ascii="宋体" w:eastAsia="宋体" w:hAnsi="宋体" w:cs="宋体"/>
                <w:sz w:val="18"/>
                <w:szCs w:val="18"/>
              </w:rPr>
            </w:pPr>
            <w:r w:rsidRPr="00980BC4">
              <w:rPr>
                <w:rFonts w:ascii="宋体" w:eastAsia="宋体" w:hAnsi="宋体" w:cs="宋体"/>
                <w:sz w:val="18"/>
                <w:szCs w:val="18"/>
              </w:rPr>
              <w:t>现金及现金等价物净增加额</w:t>
            </w:r>
          </w:p>
        </w:tc>
        <w:tc>
          <w:tcPr>
            <w:tcW w:w="25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24,839,880.25</w:t>
            </w:r>
          </w:p>
        </w:tc>
        <w:tc>
          <w:tcPr>
            <w:tcW w:w="1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-391,525,657.41</w:t>
            </w:r>
          </w:p>
        </w:tc>
      </w:tr>
    </w:tbl>
    <w:p w:rsidR="00F67D6F" w:rsidRPr="00980BC4" w:rsidRDefault="00F67D6F"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29" w:name="_Toc989218"/>
      <w:r w:rsidRPr="00980BC4">
        <w:rPr>
          <w:rFonts w:ascii="仿宋" w:eastAsia="仿宋" w:hAnsi="仿宋" w:cs="Times New Roman"/>
          <w:b/>
          <w:sz w:val="28"/>
          <w:szCs w:val="28"/>
        </w:rPr>
        <w:t>（2） 本期支付的取得子公司的现金净额</w:t>
      </w:r>
      <w:bookmarkEnd w:id="329"/>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280" w:lineRule="exact"/>
            </w:pP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本期发生的企业合并于本期支付的现金或现金等价物</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82,000,000.00</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280" w:lineRule="exact"/>
            </w:pP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减：购买日子公司持有的现金及现金等价物</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8A7691" w:rsidP="00FC4C18">
            <w:pPr>
              <w:spacing w:line="280" w:lineRule="exact"/>
              <w:jc w:val="right"/>
              <w:rPr>
                <w:rFonts w:ascii="宋体" w:eastAsia="宋体" w:hAnsi="宋体" w:cs="宋体"/>
                <w:sz w:val="18"/>
                <w:szCs w:val="18"/>
              </w:rPr>
            </w:pPr>
            <w:r w:rsidRPr="00D24731">
              <w:rPr>
                <w:rFonts w:ascii="宋体" w:eastAsia="宋体" w:hAnsi="宋体" w:cs="宋体"/>
                <w:sz w:val="18"/>
                <w:szCs w:val="18"/>
              </w:rPr>
              <w:t>40,001,932.08</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280" w:lineRule="exact"/>
            </w:pP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280" w:lineRule="exact"/>
            </w:pP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取得子公司支付的现金净额</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8A7691" w:rsidP="00FC4C18">
            <w:pPr>
              <w:spacing w:line="280" w:lineRule="exact"/>
              <w:jc w:val="right"/>
              <w:rPr>
                <w:rFonts w:ascii="宋体" w:eastAsia="宋体" w:hAnsi="宋体" w:cs="宋体"/>
                <w:sz w:val="18"/>
                <w:szCs w:val="18"/>
              </w:rPr>
            </w:pPr>
            <w:r w:rsidRPr="00D24731">
              <w:rPr>
                <w:rFonts w:ascii="宋体" w:eastAsia="宋体" w:hAnsi="宋体" w:cs="宋体"/>
                <w:sz w:val="18"/>
                <w:szCs w:val="18"/>
              </w:rPr>
              <w:t>41,998,067.92</w:t>
            </w:r>
          </w:p>
        </w:tc>
      </w:tr>
    </w:tbl>
    <w:p w:rsidR="00FC4C18" w:rsidRPr="00980BC4" w:rsidRDefault="00FC4C18"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30" w:name="_Toc989220"/>
    </w:p>
    <w:p w:rsidR="00F67D6F" w:rsidRPr="00980BC4" w:rsidRDefault="00F67D6F"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lastRenderedPageBreak/>
        <w:t>（</w:t>
      </w:r>
      <w:r w:rsidR="00FC4C18" w:rsidRPr="00980BC4">
        <w:rPr>
          <w:rFonts w:ascii="仿宋" w:eastAsia="仿宋" w:hAnsi="仿宋" w:cs="Times New Roman" w:hint="eastAsia"/>
          <w:b/>
          <w:sz w:val="28"/>
          <w:szCs w:val="28"/>
        </w:rPr>
        <w:t>3</w:t>
      </w:r>
      <w:r w:rsidRPr="00980BC4">
        <w:rPr>
          <w:rFonts w:ascii="仿宋" w:eastAsia="仿宋" w:hAnsi="仿宋" w:cs="Times New Roman"/>
          <w:b/>
          <w:sz w:val="28"/>
          <w:szCs w:val="28"/>
        </w:rPr>
        <w:t>） 现金和现金等价物的构成</w:t>
      </w:r>
      <w:bookmarkEnd w:id="33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510"/>
        <w:gridCol w:w="2916"/>
        <w:gridCol w:w="3213"/>
      </w:tblGrid>
      <w:tr w:rsidR="00F67D6F" w:rsidRPr="00980BC4" w:rsidTr="00FC4C18">
        <w:trPr>
          <w:divId w:val="969553885"/>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91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C4C18">
        <w:trPr>
          <w:divId w:val="969553885"/>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一、现金</w:t>
            </w:r>
          </w:p>
        </w:tc>
        <w:tc>
          <w:tcPr>
            <w:tcW w:w="291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94,345,379.71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69,505,499.46</w:t>
            </w:r>
          </w:p>
        </w:tc>
      </w:tr>
      <w:tr w:rsidR="00F67D6F" w:rsidRPr="00980BC4" w:rsidTr="00FC4C18">
        <w:trPr>
          <w:divId w:val="969553885"/>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其中：库存现金</w:t>
            </w:r>
          </w:p>
        </w:tc>
        <w:tc>
          <w:tcPr>
            <w:tcW w:w="291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155,756.04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60,041.29</w:t>
            </w:r>
          </w:p>
        </w:tc>
      </w:tr>
      <w:tr w:rsidR="00F67D6F" w:rsidRPr="00980BC4" w:rsidTr="00FC4C18">
        <w:trPr>
          <w:divId w:val="969553885"/>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可随时用于支付的银行存款</w:t>
            </w:r>
          </w:p>
        </w:tc>
        <w:tc>
          <w:tcPr>
            <w:tcW w:w="291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94,162,641.68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69,418,097.49</w:t>
            </w:r>
          </w:p>
        </w:tc>
      </w:tr>
      <w:tr w:rsidR="00F67D6F" w:rsidRPr="00980BC4" w:rsidTr="00FC4C18">
        <w:trPr>
          <w:divId w:val="969553885"/>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ind w:firstLineChars="300" w:firstLine="540"/>
              <w:rPr>
                <w:rFonts w:ascii="宋体" w:eastAsia="宋体" w:hAnsi="宋体" w:cs="宋体"/>
                <w:sz w:val="18"/>
                <w:szCs w:val="18"/>
              </w:rPr>
            </w:pPr>
            <w:r w:rsidRPr="00980BC4">
              <w:rPr>
                <w:rFonts w:ascii="宋体" w:eastAsia="宋体" w:hAnsi="宋体" w:cs="宋体"/>
                <w:sz w:val="18"/>
                <w:szCs w:val="18"/>
              </w:rPr>
              <w:t>可随时用于支付的其他货币资金</w:t>
            </w:r>
          </w:p>
        </w:tc>
        <w:tc>
          <w:tcPr>
            <w:tcW w:w="291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26,981.99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27,360.68</w:t>
            </w:r>
          </w:p>
        </w:tc>
      </w:tr>
      <w:tr w:rsidR="00F67D6F" w:rsidRPr="00980BC4" w:rsidTr="00FC4C18">
        <w:trPr>
          <w:divId w:val="969553885"/>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300" w:lineRule="exact"/>
              <w:rPr>
                <w:rFonts w:ascii="宋体" w:eastAsia="宋体" w:hAnsi="宋体" w:cs="宋体"/>
                <w:sz w:val="18"/>
                <w:szCs w:val="18"/>
              </w:rPr>
            </w:pPr>
            <w:r w:rsidRPr="00980BC4">
              <w:rPr>
                <w:rFonts w:ascii="宋体" w:eastAsia="宋体" w:hAnsi="宋体" w:cs="宋体"/>
                <w:sz w:val="18"/>
                <w:szCs w:val="18"/>
              </w:rPr>
              <w:t>三、期末现金及现金等价物余额</w:t>
            </w:r>
          </w:p>
        </w:tc>
        <w:tc>
          <w:tcPr>
            <w:tcW w:w="291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94,345,379.71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300" w:lineRule="exact"/>
              <w:jc w:val="right"/>
              <w:rPr>
                <w:rFonts w:ascii="宋体" w:eastAsia="宋体" w:hAnsi="宋体" w:cs="宋体"/>
                <w:sz w:val="18"/>
                <w:szCs w:val="18"/>
              </w:rPr>
            </w:pPr>
            <w:r w:rsidRPr="00980BC4">
              <w:rPr>
                <w:rFonts w:ascii="宋体" w:eastAsia="宋体" w:hAnsi="宋体" w:cs="宋体"/>
                <w:sz w:val="18"/>
                <w:szCs w:val="18"/>
              </w:rPr>
              <w:t>69,505,499.46</w:t>
            </w:r>
          </w:p>
        </w:tc>
      </w:tr>
    </w:tbl>
    <w:p w:rsidR="00F67D6F" w:rsidRPr="00980BC4" w:rsidRDefault="00F67D6F"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31" w:name="_Toc989221"/>
      <w:r w:rsidRPr="00980BC4">
        <w:rPr>
          <w:rFonts w:ascii="仿宋" w:eastAsia="仿宋" w:hAnsi="仿宋" w:cs="Times New Roman"/>
          <w:b/>
          <w:sz w:val="28"/>
          <w:szCs w:val="28"/>
        </w:rPr>
        <w:t>59、所有权或使用权受到限制的资产</w:t>
      </w:r>
      <w:bookmarkEnd w:id="33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受限原因</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47,294,365.16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票据保证金、定期存款</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14,135,492.56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银行贷款额度抵押（期末无借款）</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1,169,174.46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银行贷款额度抵押（期末无借款）</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22,577,561.64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rPr>
                <w:rFonts w:ascii="宋体" w:eastAsia="宋体" w:hAnsi="宋体" w:cs="宋体"/>
                <w:sz w:val="18"/>
                <w:szCs w:val="18"/>
              </w:rPr>
            </w:pPr>
            <w:r w:rsidRPr="00980BC4">
              <w:rPr>
                <w:rFonts w:ascii="宋体" w:eastAsia="宋体" w:hAnsi="宋体" w:cs="宋体"/>
                <w:sz w:val="18"/>
                <w:szCs w:val="18"/>
              </w:rPr>
              <w:t>银行贷款额度抵押（期末无借款）</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C4C18">
            <w:pPr>
              <w:spacing w:line="280" w:lineRule="exact"/>
              <w:jc w:val="right"/>
              <w:rPr>
                <w:rFonts w:ascii="宋体" w:eastAsia="宋体" w:hAnsi="宋体" w:cs="宋体"/>
                <w:sz w:val="18"/>
                <w:szCs w:val="18"/>
              </w:rPr>
            </w:pPr>
            <w:r w:rsidRPr="00980BC4">
              <w:rPr>
                <w:rFonts w:ascii="宋体" w:eastAsia="宋体" w:hAnsi="宋体" w:cs="宋体"/>
                <w:sz w:val="18"/>
                <w:szCs w:val="18"/>
              </w:rPr>
              <w:t>85,176,593.82</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C4C18">
            <w:pPr>
              <w:spacing w:line="280" w:lineRule="exact"/>
            </w:pPr>
          </w:p>
        </w:tc>
      </w:tr>
    </w:tbl>
    <w:p w:rsidR="00F67D6F" w:rsidRPr="00980BC4" w:rsidRDefault="00F67D6F"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32" w:name="_Toc989222"/>
      <w:r w:rsidRPr="00980BC4">
        <w:rPr>
          <w:rFonts w:ascii="仿宋" w:eastAsia="仿宋" w:hAnsi="仿宋" w:cs="Times New Roman"/>
          <w:b/>
          <w:sz w:val="28"/>
          <w:szCs w:val="28"/>
        </w:rPr>
        <w:t>60、外币货币性项目</w:t>
      </w:r>
      <w:bookmarkEnd w:id="332"/>
    </w:p>
    <w:p w:rsidR="00F67D6F" w:rsidRPr="00980BC4" w:rsidRDefault="00F67D6F" w:rsidP="00FC4C1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33" w:name="_Toc989223"/>
      <w:r w:rsidRPr="00980BC4">
        <w:rPr>
          <w:rFonts w:ascii="仿宋" w:eastAsia="仿宋" w:hAnsi="仿宋" w:cs="Times New Roman"/>
          <w:b/>
          <w:sz w:val="28"/>
          <w:szCs w:val="28"/>
        </w:rPr>
        <w:t>（1） 外币货币性项目</w:t>
      </w:r>
      <w:bookmarkEnd w:id="333"/>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期末折算人民币余额</w:t>
            </w: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40,691.29</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6.9642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283,382.62</w:t>
            </w: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ind w:firstLineChars="300" w:firstLine="540"/>
              <w:rPr>
                <w:rFonts w:ascii="宋体" w:eastAsia="宋体" w:hAnsi="宋体" w:cs="宋体"/>
                <w:sz w:val="18"/>
                <w:szCs w:val="18"/>
              </w:rPr>
            </w:pPr>
            <w:r w:rsidRPr="00980BC4">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ind w:firstLineChars="300" w:firstLine="540"/>
              <w:rPr>
                <w:rFonts w:ascii="宋体" w:eastAsia="宋体" w:hAnsi="宋体" w:cs="宋体"/>
                <w:sz w:val="18"/>
                <w:szCs w:val="18"/>
              </w:rPr>
            </w:pPr>
            <w:r w:rsidRPr="00980BC4">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ind w:firstLineChars="300" w:firstLine="540"/>
              <w:rPr>
                <w:rFonts w:ascii="宋体" w:eastAsia="宋体" w:hAnsi="宋体" w:cs="宋体"/>
                <w:sz w:val="18"/>
                <w:szCs w:val="18"/>
              </w:rPr>
            </w:pPr>
            <w:r w:rsidRPr="00980BC4">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ind w:firstLineChars="300" w:firstLine="540"/>
              <w:rPr>
                <w:rFonts w:ascii="宋体" w:eastAsia="宋体" w:hAnsi="宋体" w:cs="宋体"/>
                <w:sz w:val="18"/>
                <w:szCs w:val="18"/>
              </w:rPr>
            </w:pPr>
            <w:r w:rsidRPr="00980BC4">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ind w:firstLineChars="300" w:firstLine="540"/>
              <w:rPr>
                <w:rFonts w:ascii="宋体" w:eastAsia="宋体" w:hAnsi="宋体" w:cs="宋体"/>
                <w:sz w:val="18"/>
                <w:szCs w:val="18"/>
              </w:rPr>
            </w:pPr>
            <w:r w:rsidRPr="00980BC4">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r w:rsidR="00F67D6F" w:rsidRPr="00980BC4" w:rsidTr="00FC4C18">
        <w:trPr>
          <w:divId w:val="969553885"/>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ind w:firstLineChars="300" w:firstLine="540"/>
              <w:rPr>
                <w:rFonts w:ascii="宋体" w:eastAsia="宋体" w:hAnsi="宋体" w:cs="宋体"/>
                <w:sz w:val="18"/>
                <w:szCs w:val="18"/>
              </w:rPr>
            </w:pPr>
            <w:r w:rsidRPr="00980BC4">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bl>
    <w:p w:rsidR="00F67D6F" w:rsidRPr="00980BC4" w:rsidRDefault="00F67D6F" w:rsidP="00056873">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34" w:name="_Toc989224"/>
      <w:r w:rsidRPr="00980BC4">
        <w:rPr>
          <w:rFonts w:ascii="仿宋" w:eastAsia="仿宋" w:hAnsi="仿宋" w:cs="Times New Roman"/>
          <w:b/>
          <w:sz w:val="28"/>
          <w:szCs w:val="28"/>
        </w:rPr>
        <w:t>（2） 境外经营实体说明，包括对于重要的境外经营实体，应披露其境外主要经营地、记账本位币及选择依据，记账本位币发生变化的还应披露原因。</w:t>
      </w:r>
      <w:bookmarkEnd w:id="334"/>
    </w:p>
    <w:p w:rsidR="00F67D6F" w:rsidRPr="00980BC4" w:rsidRDefault="00F67D6F" w:rsidP="00056873">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lastRenderedPageBreak/>
        <w:t>□适用</w:t>
      </w:r>
      <w:r w:rsidR="00056873"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056873">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35" w:name="_Toc989225"/>
      <w:r w:rsidRPr="00980BC4">
        <w:rPr>
          <w:rFonts w:ascii="仿宋" w:eastAsia="仿宋" w:hAnsi="仿宋" w:cs="Times New Roman"/>
          <w:b/>
          <w:sz w:val="28"/>
          <w:szCs w:val="28"/>
        </w:rPr>
        <w:t>61、政府补助</w:t>
      </w:r>
      <w:bookmarkEnd w:id="335"/>
    </w:p>
    <w:p w:rsidR="00F67D6F" w:rsidRPr="00980BC4" w:rsidRDefault="00F67D6F" w:rsidP="00056873">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36" w:name="_Toc989226"/>
      <w:r w:rsidRPr="00980BC4">
        <w:rPr>
          <w:rFonts w:ascii="仿宋" w:eastAsia="仿宋" w:hAnsi="仿宋" w:cs="Times New Roman"/>
          <w:b/>
          <w:sz w:val="28"/>
          <w:szCs w:val="28"/>
        </w:rPr>
        <w:t>（1） 政府补助基本情况</w:t>
      </w:r>
      <w:bookmarkEnd w:id="336"/>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085"/>
        <w:gridCol w:w="2268"/>
        <w:gridCol w:w="2126"/>
        <w:gridCol w:w="2160"/>
      </w:tblGrid>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260A26">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种类</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260A26">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260A26">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列报项目</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260A26">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计入当期损益的金额</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市战略新兴产品项目、省成果转化项目-资产部分</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32,993.52</w:t>
            </w: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递延收益</w:t>
            </w: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53,004.28</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军品增值税免退税</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6,417,282.51</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四川省中小企业专项资金</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500,000.00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精益项目补助</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300,000.00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2020年第一批省级科技计划</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160,000.00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2022年第二批省级科技计划</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800,000.00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支持新经济发展扶持资金</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700,000.00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辽宁省“专精特新”企业补助</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300,000.00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企业技术中心补助</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200,000.00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2021年第三批国家专精特新“小巨人”奖励项目</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200,000.00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省级工业发展应急资金（成华区新经济和科技局）省级产值增加奖励</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100,000.00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市级财政科技项目专项资金</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300,000.00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2022年市级知识产权发展和保护专项资金</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90,000.00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稳岗补助</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83,930.29</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一次性留工补助</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13,715.00</w:t>
            </w:r>
          </w:p>
        </w:tc>
      </w:tr>
      <w:tr w:rsidR="00F67D6F" w:rsidRPr="00980BC4" w:rsidTr="00260A26">
        <w:trPr>
          <w:divId w:val="969553885"/>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r w:rsidRPr="00980BC4">
              <w:rPr>
                <w:rFonts w:ascii="宋体" w:eastAsia="宋体" w:hAnsi="宋体" w:cs="宋体"/>
                <w:sz w:val="18"/>
                <w:szCs w:val="18"/>
              </w:rPr>
              <w:t>失业基金补贴</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260A26">
            <w:pPr>
              <w:spacing w:line="300" w:lineRule="exact"/>
              <w:jc w:val="right"/>
              <w:rPr>
                <w:rFonts w:ascii="宋体" w:eastAsia="宋体" w:hAnsi="宋体" w:cs="宋体"/>
                <w:sz w:val="18"/>
                <w:szCs w:val="18"/>
              </w:rPr>
            </w:pPr>
            <w:r w:rsidRPr="00980BC4">
              <w:rPr>
                <w:rFonts w:ascii="宋体" w:eastAsia="宋体" w:hAnsi="宋体" w:cs="宋体"/>
                <w:sz w:val="18"/>
                <w:szCs w:val="18"/>
              </w:rPr>
              <w:t>1,729.31</w:t>
            </w:r>
          </w:p>
        </w:tc>
      </w:tr>
    </w:tbl>
    <w:p w:rsidR="00F67D6F" w:rsidRPr="00980BC4" w:rsidRDefault="00F67D6F" w:rsidP="00260A26">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37" w:name="_Toc989227"/>
      <w:r w:rsidRPr="00980BC4">
        <w:rPr>
          <w:rFonts w:ascii="仿宋" w:eastAsia="仿宋" w:hAnsi="仿宋" w:cs="Times New Roman"/>
          <w:b/>
          <w:sz w:val="28"/>
          <w:szCs w:val="28"/>
        </w:rPr>
        <w:t>（2） 政府补助退回情况</w:t>
      </w:r>
      <w:bookmarkEnd w:id="337"/>
    </w:p>
    <w:p w:rsidR="00F67D6F" w:rsidRPr="00980BC4" w:rsidRDefault="00F67D6F" w:rsidP="00260A26">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□适用</w:t>
      </w:r>
      <w:r w:rsidR="00260A26"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A56CB0">
      <w:pPr>
        <w:pStyle w:val="2"/>
        <w:spacing w:before="0" w:after="0" w:line="560" w:lineRule="exact"/>
        <w:ind w:firstLineChars="200" w:firstLine="562"/>
        <w:divId w:val="969553885"/>
        <w:rPr>
          <w:rFonts w:ascii="宋体" w:eastAsia="宋体" w:hAnsi="宋体" w:cs="宋体"/>
          <w:b/>
          <w:bCs/>
          <w:sz w:val="28"/>
          <w:szCs w:val="28"/>
        </w:rPr>
      </w:pPr>
      <w:bookmarkStart w:id="338" w:name="_Toc989228"/>
      <w:r w:rsidRPr="00980BC4">
        <w:rPr>
          <w:rFonts w:ascii="宋体" w:eastAsia="宋体" w:hAnsi="宋体" w:cs="宋体"/>
          <w:b/>
          <w:bCs/>
          <w:sz w:val="28"/>
          <w:szCs w:val="28"/>
        </w:rPr>
        <w:t>八、合并范围的变更</w:t>
      </w:r>
      <w:bookmarkEnd w:id="338"/>
    </w:p>
    <w:p w:rsidR="00F67D6F" w:rsidRPr="00980BC4" w:rsidRDefault="00F67D6F" w:rsidP="00A56CB0">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39" w:name="_Toc989229"/>
      <w:r w:rsidRPr="00980BC4">
        <w:rPr>
          <w:rFonts w:ascii="仿宋" w:eastAsia="仿宋" w:hAnsi="仿宋" w:cs="Times New Roman"/>
          <w:b/>
          <w:sz w:val="28"/>
          <w:szCs w:val="28"/>
        </w:rPr>
        <w:t>1、非同一控制下企业合并</w:t>
      </w:r>
      <w:bookmarkEnd w:id="339"/>
    </w:p>
    <w:p w:rsidR="00F67D6F" w:rsidRPr="00980BC4" w:rsidRDefault="00F67D6F" w:rsidP="00A56CB0">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40" w:name="_Toc989230"/>
      <w:r w:rsidRPr="00980BC4">
        <w:rPr>
          <w:rFonts w:ascii="仿宋" w:eastAsia="仿宋" w:hAnsi="仿宋" w:cs="Times New Roman"/>
          <w:b/>
          <w:sz w:val="28"/>
          <w:szCs w:val="28"/>
        </w:rPr>
        <w:t>（1） 本期发生的非同一控制下企业合并</w:t>
      </w:r>
      <w:bookmarkEnd w:id="34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071"/>
        <w:gridCol w:w="1071"/>
        <w:gridCol w:w="1071"/>
        <w:gridCol w:w="1071"/>
        <w:gridCol w:w="1071"/>
        <w:gridCol w:w="1071"/>
        <w:gridCol w:w="1071"/>
        <w:gridCol w:w="1071"/>
        <w:gridCol w:w="1071"/>
      </w:tblGrid>
      <w:tr w:rsidR="00F67D6F" w:rsidRPr="00980BC4" w:rsidTr="00F67D6F">
        <w:trPr>
          <w:divId w:val="969553885"/>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56CB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被购买方名称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56CB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股权取得时点</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56CB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股权取得成本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56CB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股权取得比例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56CB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股权取得方式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56CB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购买日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56CB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购买日的确定依据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56CB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购买日至期末被购买方的收入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56CB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购买日至期末被购买方的净利润</w:t>
            </w:r>
          </w:p>
        </w:tc>
      </w:tr>
      <w:tr w:rsidR="00F67D6F" w:rsidRPr="00980BC4" w:rsidTr="00F67D6F">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56CB0">
            <w:pPr>
              <w:spacing w:line="280" w:lineRule="exact"/>
              <w:rPr>
                <w:rFonts w:ascii="宋体" w:eastAsia="宋体" w:hAnsi="宋体" w:cs="宋体"/>
                <w:sz w:val="18"/>
                <w:szCs w:val="18"/>
              </w:rPr>
            </w:pPr>
            <w:r w:rsidRPr="00980BC4">
              <w:rPr>
                <w:rFonts w:ascii="宋体" w:eastAsia="宋体" w:hAnsi="宋体" w:cs="宋体"/>
                <w:sz w:val="18"/>
                <w:szCs w:val="18"/>
              </w:rPr>
              <w:t>沈阳非晶金属材料制造有限公司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56CB0">
            <w:pPr>
              <w:spacing w:line="280" w:lineRule="exact"/>
              <w:rPr>
                <w:rFonts w:ascii="宋体" w:eastAsia="宋体" w:hAnsi="宋体" w:cs="宋体"/>
                <w:sz w:val="18"/>
                <w:szCs w:val="18"/>
              </w:rPr>
            </w:pPr>
            <w:r w:rsidRPr="00980BC4">
              <w:rPr>
                <w:rFonts w:ascii="宋体" w:eastAsia="宋体" w:hAnsi="宋体" w:cs="宋体"/>
                <w:sz w:val="18"/>
                <w:szCs w:val="18"/>
              </w:rPr>
              <w:t>2022年07月25日</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56CB0">
            <w:pPr>
              <w:spacing w:line="280" w:lineRule="exact"/>
              <w:jc w:val="right"/>
              <w:rPr>
                <w:rFonts w:ascii="宋体" w:eastAsia="宋体" w:hAnsi="宋体" w:cs="宋体"/>
                <w:sz w:val="18"/>
                <w:szCs w:val="18"/>
              </w:rPr>
            </w:pPr>
            <w:r w:rsidRPr="00980BC4">
              <w:rPr>
                <w:rFonts w:ascii="宋体" w:eastAsia="宋体" w:hAnsi="宋体" w:cs="宋体"/>
                <w:sz w:val="18"/>
                <w:szCs w:val="18"/>
              </w:rPr>
              <w:t>102,000,000.00</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56CB0">
            <w:pPr>
              <w:spacing w:line="280" w:lineRule="exact"/>
              <w:jc w:val="right"/>
              <w:rPr>
                <w:rFonts w:ascii="宋体" w:eastAsia="宋体" w:hAnsi="宋体" w:cs="宋体"/>
                <w:sz w:val="18"/>
                <w:szCs w:val="18"/>
              </w:rPr>
            </w:pPr>
            <w:r w:rsidRPr="00980BC4">
              <w:rPr>
                <w:rFonts w:ascii="宋体" w:eastAsia="宋体" w:hAnsi="宋体" w:cs="宋体"/>
                <w:sz w:val="18"/>
                <w:szCs w:val="18"/>
              </w:rPr>
              <w:t>56.67%</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56CB0">
            <w:pPr>
              <w:spacing w:line="280" w:lineRule="exact"/>
              <w:rPr>
                <w:rFonts w:ascii="宋体" w:eastAsia="宋体" w:hAnsi="宋体" w:cs="宋体"/>
                <w:sz w:val="18"/>
                <w:szCs w:val="18"/>
              </w:rPr>
            </w:pPr>
            <w:r w:rsidRPr="00980BC4">
              <w:rPr>
                <w:rFonts w:ascii="宋体" w:eastAsia="宋体" w:hAnsi="宋体" w:cs="宋体"/>
                <w:sz w:val="18"/>
                <w:szCs w:val="18"/>
              </w:rPr>
              <w:t>收购及增资</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56CB0">
            <w:pPr>
              <w:spacing w:line="280" w:lineRule="exact"/>
              <w:rPr>
                <w:rFonts w:ascii="宋体" w:eastAsia="宋体" w:hAnsi="宋体" w:cs="宋体"/>
                <w:sz w:val="18"/>
                <w:szCs w:val="18"/>
              </w:rPr>
            </w:pPr>
            <w:r w:rsidRPr="00980BC4">
              <w:rPr>
                <w:rFonts w:ascii="宋体" w:eastAsia="宋体" w:hAnsi="宋体" w:cs="宋体"/>
                <w:sz w:val="18"/>
                <w:szCs w:val="18"/>
              </w:rPr>
              <w:t>2022年07月25日</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56CB0">
            <w:pPr>
              <w:spacing w:line="280" w:lineRule="exact"/>
              <w:rPr>
                <w:rFonts w:ascii="宋体" w:eastAsia="宋体" w:hAnsi="宋体" w:cs="宋体"/>
                <w:sz w:val="18"/>
                <w:szCs w:val="18"/>
              </w:rPr>
            </w:pPr>
            <w:r w:rsidRPr="00980BC4">
              <w:rPr>
                <w:rFonts w:ascii="宋体" w:eastAsia="宋体" w:hAnsi="宋体" w:cs="宋体"/>
                <w:sz w:val="18"/>
                <w:szCs w:val="18"/>
              </w:rPr>
              <w:t>股权交割</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56CB0">
            <w:pPr>
              <w:spacing w:line="280" w:lineRule="exact"/>
              <w:jc w:val="right"/>
              <w:rPr>
                <w:rFonts w:ascii="宋体" w:eastAsia="宋体" w:hAnsi="宋体" w:cs="宋体"/>
                <w:sz w:val="18"/>
                <w:szCs w:val="18"/>
              </w:rPr>
            </w:pPr>
            <w:r w:rsidRPr="00980BC4">
              <w:rPr>
                <w:rFonts w:ascii="宋体" w:eastAsia="宋体" w:hAnsi="宋体" w:cs="宋体"/>
                <w:sz w:val="18"/>
                <w:szCs w:val="18"/>
              </w:rPr>
              <w:t>15,185,043.02</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56CB0">
            <w:pPr>
              <w:spacing w:line="280" w:lineRule="exact"/>
              <w:jc w:val="right"/>
              <w:rPr>
                <w:rFonts w:ascii="宋体" w:eastAsia="宋体" w:hAnsi="宋体" w:cs="宋体"/>
                <w:sz w:val="18"/>
                <w:szCs w:val="18"/>
              </w:rPr>
            </w:pPr>
            <w:r w:rsidRPr="00980BC4">
              <w:rPr>
                <w:rFonts w:ascii="宋体" w:eastAsia="宋体" w:hAnsi="宋体" w:cs="宋体"/>
                <w:sz w:val="18"/>
                <w:szCs w:val="18"/>
              </w:rPr>
              <w:t>-7,778,571.61</w:t>
            </w:r>
          </w:p>
        </w:tc>
      </w:tr>
    </w:tbl>
    <w:p w:rsidR="00F67D6F" w:rsidRPr="00980BC4" w:rsidRDefault="00F67D6F" w:rsidP="00B7436F">
      <w:pPr>
        <w:pStyle w:val="a3"/>
        <w:spacing w:before="0" w:beforeAutospacing="0" w:after="0" w:afterAutospacing="0" w:line="54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lastRenderedPageBreak/>
        <w:t>说明：</w:t>
      </w:r>
    </w:p>
    <w:p w:rsidR="00E060E5" w:rsidRPr="00980BC4" w:rsidRDefault="00E060E5" w:rsidP="00E060E5">
      <w:pPr>
        <w:pStyle w:val="a3"/>
        <w:spacing w:before="0" w:beforeAutospacing="0" w:after="0" w:afterAutospacing="0" w:line="540" w:lineRule="exact"/>
        <w:ind w:firstLine="482"/>
        <w:jc w:val="both"/>
        <w:divId w:val="969553885"/>
        <w:rPr>
          <w:rFonts w:ascii="仿宋" w:eastAsia="仿宋" w:hAnsi="仿宋" w:cs="Times New Roman"/>
          <w:sz w:val="28"/>
          <w:szCs w:val="28"/>
        </w:rPr>
      </w:pPr>
      <w:bookmarkStart w:id="341" w:name="_Toc989231"/>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7</w:t>
      </w:r>
      <w:r w:rsidRPr="00980BC4">
        <w:rPr>
          <w:rFonts w:ascii="仿宋" w:eastAsia="仿宋" w:hAnsi="仿宋" w:cs="Times New Roman" w:hint="eastAsia"/>
          <w:sz w:val="28"/>
          <w:szCs w:val="28"/>
        </w:rPr>
        <w:t>月，甘化科工公司与郝宏伟签署股权转让协议，甘化科工以</w:t>
      </w:r>
      <w:r w:rsidRPr="00980BC4">
        <w:rPr>
          <w:rFonts w:ascii="仿宋" w:eastAsia="仿宋" w:hAnsi="仿宋" w:cs="Times New Roman"/>
          <w:sz w:val="28"/>
          <w:szCs w:val="28"/>
        </w:rPr>
        <w:t>4,200</w:t>
      </w:r>
      <w:r w:rsidRPr="00980BC4">
        <w:rPr>
          <w:rFonts w:ascii="仿宋" w:eastAsia="仿宋" w:hAnsi="仿宋" w:cs="Times New Roman" w:hint="eastAsia"/>
          <w:sz w:val="28"/>
          <w:szCs w:val="28"/>
        </w:rPr>
        <w:t>万元受让郝宏伟持有的福建将乐卓越金属材料有限公司（以下简称“福建卓越”）</w:t>
      </w:r>
      <w:r w:rsidRPr="00980BC4">
        <w:rPr>
          <w:rFonts w:ascii="仿宋" w:eastAsia="仿宋" w:hAnsi="仿宋" w:cs="Times New Roman"/>
          <w:sz w:val="28"/>
          <w:szCs w:val="28"/>
        </w:rPr>
        <w:t>100%</w:t>
      </w:r>
      <w:r w:rsidRPr="00980BC4">
        <w:rPr>
          <w:rFonts w:ascii="仿宋" w:eastAsia="仿宋" w:hAnsi="仿宋" w:cs="Times New Roman" w:hint="eastAsia"/>
          <w:sz w:val="28"/>
          <w:szCs w:val="28"/>
        </w:rPr>
        <w:t>股权；福建卓越成立于</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5</w:t>
      </w:r>
      <w:r w:rsidRPr="00980BC4">
        <w:rPr>
          <w:rFonts w:ascii="仿宋" w:eastAsia="仿宋" w:hAnsi="仿宋" w:cs="Times New Roman" w:hint="eastAsia"/>
          <w:sz w:val="28"/>
          <w:szCs w:val="28"/>
        </w:rPr>
        <w:t>月，于</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7</w:t>
      </w:r>
      <w:r w:rsidRPr="00980BC4">
        <w:rPr>
          <w:rFonts w:ascii="仿宋" w:eastAsia="仿宋" w:hAnsi="仿宋" w:cs="Times New Roman" w:hint="eastAsia"/>
          <w:sz w:val="28"/>
          <w:szCs w:val="28"/>
        </w:rPr>
        <w:t>月以</w:t>
      </w:r>
      <w:r w:rsidRPr="00980BC4">
        <w:rPr>
          <w:rFonts w:ascii="仿宋" w:eastAsia="仿宋" w:hAnsi="仿宋" w:cs="Times New Roman"/>
          <w:sz w:val="28"/>
          <w:szCs w:val="28"/>
        </w:rPr>
        <w:t>1,050</w:t>
      </w:r>
      <w:r w:rsidRPr="00980BC4">
        <w:rPr>
          <w:rFonts w:ascii="仿宋" w:eastAsia="仿宋" w:hAnsi="仿宋" w:cs="Times New Roman" w:hint="eastAsia"/>
          <w:sz w:val="28"/>
          <w:szCs w:val="28"/>
        </w:rPr>
        <w:t>万元受让三明超越科技有限公司持有的沈阳非晶</w:t>
      </w:r>
      <w:r w:rsidRPr="00980BC4">
        <w:rPr>
          <w:rFonts w:ascii="仿宋" w:eastAsia="仿宋" w:hAnsi="仿宋" w:cs="Times New Roman"/>
          <w:sz w:val="28"/>
          <w:szCs w:val="28"/>
        </w:rPr>
        <w:t>35%</w:t>
      </w:r>
      <w:r w:rsidRPr="00980BC4">
        <w:rPr>
          <w:rFonts w:ascii="仿宋" w:eastAsia="仿宋" w:hAnsi="仿宋" w:cs="Times New Roman" w:hint="eastAsia"/>
          <w:sz w:val="28"/>
          <w:szCs w:val="28"/>
        </w:rPr>
        <w:t>股权。本次股权转让后甘化科工公司通过福建卓越间接持有沈阳非晶</w:t>
      </w:r>
      <w:r w:rsidRPr="00980BC4">
        <w:rPr>
          <w:rFonts w:ascii="仿宋" w:eastAsia="仿宋" w:hAnsi="仿宋" w:cs="Times New Roman"/>
          <w:sz w:val="28"/>
          <w:szCs w:val="28"/>
        </w:rPr>
        <w:t>35%</w:t>
      </w:r>
      <w:r w:rsidRPr="00980BC4">
        <w:rPr>
          <w:rFonts w:ascii="仿宋" w:eastAsia="仿宋" w:hAnsi="仿宋" w:cs="Times New Roman" w:hint="eastAsia"/>
          <w:sz w:val="28"/>
          <w:szCs w:val="28"/>
        </w:rPr>
        <w:t>股权。</w:t>
      </w:r>
    </w:p>
    <w:p w:rsidR="00E060E5" w:rsidRDefault="00E060E5" w:rsidP="00E060E5">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7</w:t>
      </w:r>
      <w:r w:rsidRPr="00980BC4">
        <w:rPr>
          <w:rFonts w:ascii="仿宋" w:eastAsia="仿宋" w:hAnsi="仿宋" w:cs="Times New Roman" w:hint="eastAsia"/>
          <w:sz w:val="28"/>
          <w:szCs w:val="28"/>
        </w:rPr>
        <w:t>月，甘化科工公司与福建卓越等沈阳非晶全体股东签署增资协议，约定甘化科工公司出资</w:t>
      </w:r>
      <w:r w:rsidRPr="00980BC4">
        <w:rPr>
          <w:rFonts w:ascii="仿宋" w:eastAsia="仿宋" w:hAnsi="仿宋" w:cs="Times New Roman"/>
          <w:sz w:val="28"/>
          <w:szCs w:val="28"/>
        </w:rPr>
        <w:t>6,000</w:t>
      </w:r>
      <w:r w:rsidRPr="00980BC4">
        <w:rPr>
          <w:rFonts w:ascii="仿宋" w:eastAsia="仿宋" w:hAnsi="仿宋" w:cs="Times New Roman" w:hint="eastAsia"/>
          <w:sz w:val="28"/>
          <w:szCs w:val="28"/>
        </w:rPr>
        <w:t>万元对沈阳非晶增资</w:t>
      </w:r>
      <w:r w:rsidRPr="00980BC4">
        <w:rPr>
          <w:rFonts w:ascii="仿宋" w:eastAsia="仿宋" w:hAnsi="仿宋" w:cs="Times New Roman"/>
          <w:sz w:val="28"/>
          <w:szCs w:val="28"/>
        </w:rPr>
        <w:t>1,500</w:t>
      </w:r>
      <w:r w:rsidRPr="00980BC4">
        <w:rPr>
          <w:rFonts w:ascii="仿宋" w:eastAsia="仿宋" w:hAnsi="仿宋" w:cs="Times New Roman" w:hint="eastAsia"/>
          <w:sz w:val="28"/>
          <w:szCs w:val="28"/>
        </w:rPr>
        <w:t>万元股份，投资额超过认缴资本的</w:t>
      </w:r>
      <w:r w:rsidRPr="00980BC4">
        <w:rPr>
          <w:rFonts w:ascii="仿宋" w:eastAsia="仿宋" w:hAnsi="仿宋" w:cs="Times New Roman"/>
          <w:sz w:val="28"/>
          <w:szCs w:val="28"/>
        </w:rPr>
        <w:t>4,500</w:t>
      </w:r>
      <w:r w:rsidRPr="00980BC4">
        <w:rPr>
          <w:rFonts w:ascii="仿宋" w:eastAsia="仿宋" w:hAnsi="仿宋" w:cs="Times New Roman" w:hint="eastAsia"/>
          <w:sz w:val="28"/>
          <w:szCs w:val="28"/>
        </w:rPr>
        <w:t>万元计入资本公积。本次增资后甘化科工直接持有沈阳非晶</w:t>
      </w:r>
      <w:r w:rsidRPr="00980BC4">
        <w:rPr>
          <w:rFonts w:ascii="仿宋" w:eastAsia="仿宋" w:hAnsi="仿宋" w:cs="Times New Roman"/>
          <w:sz w:val="28"/>
          <w:szCs w:val="28"/>
        </w:rPr>
        <w:t>33.34%</w:t>
      </w:r>
      <w:r w:rsidRPr="00980BC4">
        <w:rPr>
          <w:rFonts w:ascii="仿宋" w:eastAsia="仿宋" w:hAnsi="仿宋" w:cs="Times New Roman" w:hint="eastAsia"/>
          <w:sz w:val="28"/>
          <w:szCs w:val="28"/>
        </w:rPr>
        <w:t>股权、通过福建将乐间接持有沈阳非晶</w:t>
      </w:r>
      <w:r w:rsidRPr="00980BC4">
        <w:rPr>
          <w:rFonts w:ascii="仿宋" w:eastAsia="仿宋" w:hAnsi="仿宋" w:cs="Times New Roman"/>
          <w:sz w:val="28"/>
          <w:szCs w:val="28"/>
        </w:rPr>
        <w:t>23.33%</w:t>
      </w:r>
      <w:r w:rsidRPr="00980BC4">
        <w:rPr>
          <w:rFonts w:ascii="仿宋" w:eastAsia="仿宋" w:hAnsi="仿宋" w:cs="Times New Roman" w:hint="eastAsia"/>
          <w:sz w:val="28"/>
          <w:szCs w:val="28"/>
        </w:rPr>
        <w:t>股权，合计持有沈阳非晶</w:t>
      </w:r>
      <w:r w:rsidRPr="00980BC4">
        <w:rPr>
          <w:rFonts w:ascii="仿宋" w:eastAsia="仿宋" w:hAnsi="仿宋" w:cs="Times New Roman"/>
          <w:sz w:val="28"/>
          <w:szCs w:val="28"/>
        </w:rPr>
        <w:t>56.67%</w:t>
      </w:r>
      <w:r w:rsidRPr="00980BC4">
        <w:rPr>
          <w:rFonts w:ascii="仿宋" w:eastAsia="仿宋" w:hAnsi="仿宋" w:cs="Times New Roman" w:hint="eastAsia"/>
          <w:sz w:val="28"/>
          <w:szCs w:val="28"/>
        </w:rPr>
        <w:t>股权，对沈阳非晶达到实际控制。</w:t>
      </w:r>
    </w:p>
    <w:p w:rsidR="00E060E5" w:rsidRPr="001402D0" w:rsidRDefault="00E060E5" w:rsidP="00E060E5">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1402D0">
        <w:rPr>
          <w:rFonts w:ascii="仿宋" w:eastAsia="仿宋" w:hAnsi="仿宋" w:cs="Times New Roman" w:hint="eastAsia"/>
          <w:sz w:val="28"/>
          <w:szCs w:val="28"/>
        </w:rPr>
        <w:t>本期收购沈阳非晶的业绩承诺情况：2022年7月，甘化科工公司与郝宏伟关于福建将乐卓越金属材料有限公司之股权转让协议中约定，沈阳非晶前实际控制人郝宏伟承诺，2022年7月1日至2025年6月为利润保障期，在利润保障期内，沈阳非晶经审定的三年合计税后保障期调整净利润与研发费用之和不低于5,100万元。若未实现业绩承诺，则甘化科工或福建卓越有权要求郝宏伟和/或三明超越以沈阳非晶的股权无权转让至甘化科工和/或福建卓越进行补偿，补偿股权数额=4,200万元/X-35%，X=保障期调整净利润/5,100万元*12,000万元，其中保障期调整净利润为实际扣非后净利润与研发费用*（1-所得税税率）与国拨研发经费之和，补偿股权数额上限为郝宏伟直接或间接持有的股份数。</w:t>
      </w:r>
    </w:p>
    <w:p w:rsidR="00E060E5" w:rsidRPr="00980BC4" w:rsidRDefault="00E060E5" w:rsidP="00E060E5">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1402D0">
        <w:rPr>
          <w:rFonts w:ascii="仿宋" w:eastAsia="仿宋" w:hAnsi="仿宋" w:cs="Times New Roman" w:hint="eastAsia"/>
          <w:sz w:val="28"/>
          <w:szCs w:val="28"/>
        </w:rPr>
        <w:t>根据沈阳非晶2022年审定数据及中联资产评估集团（湖北）有限公司出具的沈阳非晶商誉减值测试评估报告中预测的沈阳非晶2023年至2025年上半年财务数据，预计利润保障期内净利润与研发费用之和高于业绩承诺金额，不存在未确认的或有对价。</w:t>
      </w:r>
    </w:p>
    <w:p w:rsidR="00F67D6F" w:rsidRPr="00980BC4" w:rsidRDefault="00F67D6F" w:rsidP="00B7436F">
      <w:pPr>
        <w:pStyle w:val="a3"/>
        <w:spacing w:before="0" w:beforeAutospacing="0" w:after="0" w:afterAutospacing="0" w:line="54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lastRenderedPageBreak/>
        <w:t>（2） 合并成本及商誉</w:t>
      </w:r>
      <w:bookmarkEnd w:id="341"/>
      <w:r w:rsidR="00A56CB0" w:rsidRPr="00980BC4">
        <w:rPr>
          <w:rFonts w:ascii="仿宋" w:eastAsia="仿宋" w:hAnsi="仿宋" w:cs="Times New Roman"/>
          <w:b/>
          <w:sz w:val="28"/>
          <w:szCs w:val="28"/>
        </w:rPr>
        <w:tab/>
      </w: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合并成本</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center"/>
              <w:rPr>
                <w:rFonts w:ascii="宋体" w:eastAsia="宋体" w:hAnsi="宋体" w:cs="宋体"/>
                <w:sz w:val="18"/>
                <w:szCs w:val="18"/>
              </w:rPr>
            </w:pPr>
          </w:p>
        </w:tc>
      </w:tr>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--现金</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102,000,000.00</w:t>
            </w:r>
          </w:p>
        </w:tc>
      </w:tr>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--非现金资产的公允价值</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--发行或承担的债务的公允价值</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--发行的权益性证券的公允价值</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--或有对价的公允价值</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--购买日之前持有的股权于购买日的公允价值</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--其他</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合并成本合计</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102,000,000.00</w:t>
            </w:r>
          </w:p>
        </w:tc>
      </w:tr>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减：取得的可辨认净资产公允价值份额</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33,638,291.36</w:t>
            </w:r>
          </w:p>
        </w:tc>
      </w:tr>
      <w:tr w:rsidR="00F67D6F" w:rsidRPr="00980BC4" w:rsidTr="00852D1C">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商誉/合并成本小于取得的可辨认净资产公允价值份额的金额</w:t>
            </w:r>
          </w:p>
        </w:tc>
        <w:tc>
          <w:tcPr>
            <w:tcW w:w="481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68,361,708.64</w:t>
            </w:r>
          </w:p>
        </w:tc>
      </w:tr>
    </w:tbl>
    <w:p w:rsidR="00852D1C" w:rsidRPr="00980BC4" w:rsidRDefault="00852D1C" w:rsidP="00852D1C">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42" w:name="_Toc989232"/>
      <w:r w:rsidRPr="00980BC4">
        <w:rPr>
          <w:rFonts w:ascii="仿宋" w:eastAsia="仿宋" w:hAnsi="仿宋" w:cs="Times New Roman"/>
          <w:b/>
          <w:sz w:val="28"/>
          <w:szCs w:val="28"/>
        </w:rPr>
        <w:t>合并成本公允价值的确定方法、或有对价及其变动的说明：</w:t>
      </w:r>
    </w:p>
    <w:p w:rsidR="00852D1C" w:rsidRPr="00980BC4" w:rsidRDefault="00852D1C" w:rsidP="00852D1C">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无形资产参考购买日评估价值，评估价值与账面价值差异微小，按照账面价值确定其公允价值。除无形资产外合并日净资产主要由货币资金、短期借款、存货、短期债权债务、应付职工薪酬等构成，剩余资产负债按照账面价值确定其公允价值。</w:t>
      </w:r>
    </w:p>
    <w:p w:rsidR="00F67D6F" w:rsidRPr="00980BC4" w:rsidRDefault="00F67D6F" w:rsidP="00A56CB0">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（3） 被购买方于购买日可辨认资产、负债</w:t>
      </w:r>
      <w:bookmarkEnd w:id="34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00" w:lineRule="exact"/>
            </w:pP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center"/>
              <w:rPr>
                <w:rFonts w:ascii="宋体" w:eastAsia="宋体" w:hAnsi="宋体" w:cs="宋体"/>
                <w:sz w:val="18"/>
                <w:szCs w:val="18"/>
              </w:rPr>
            </w:pPr>
            <w:r w:rsidRPr="00980BC4">
              <w:rPr>
                <w:rFonts w:ascii="宋体" w:eastAsia="宋体" w:hAnsi="宋体" w:cs="宋体"/>
                <w:sz w:val="18"/>
                <w:szCs w:val="18"/>
              </w:rPr>
              <w:t>沈阳非晶</w:t>
            </w:r>
          </w:p>
        </w:tc>
      </w:tr>
      <w:tr w:rsidR="00F67D6F" w:rsidRPr="00980BC4" w:rsidTr="00F67D6F">
        <w:trPr>
          <w:divId w:val="969553885"/>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购买日公允价值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购买日账面价值</w:t>
            </w:r>
          </w:p>
        </w:tc>
      </w:tr>
      <w:tr w:rsidR="008A7691"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A7691" w:rsidRPr="00980BC4" w:rsidRDefault="008A7691"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资产：</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D24731">
              <w:rPr>
                <w:rFonts w:ascii="宋体" w:eastAsia="宋体" w:hAnsi="宋体" w:cs="宋体"/>
                <w:sz w:val="18"/>
                <w:szCs w:val="18"/>
              </w:rPr>
              <w:t>71,361,145.69</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5D1A0E">
              <w:rPr>
                <w:rFonts w:ascii="宋体" w:eastAsia="宋体" w:hAnsi="宋体" w:cs="宋体"/>
                <w:sz w:val="18"/>
                <w:szCs w:val="18"/>
              </w:rPr>
              <w:t>71,361,145.69</w:t>
            </w:r>
          </w:p>
        </w:tc>
      </w:tr>
      <w:tr w:rsidR="008A7691"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A7691" w:rsidRPr="00980BC4" w:rsidRDefault="008A7691"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D24731">
              <w:rPr>
                <w:rFonts w:ascii="宋体" w:eastAsia="宋体" w:hAnsi="宋体" w:cs="宋体"/>
                <w:sz w:val="18"/>
                <w:szCs w:val="18"/>
              </w:rPr>
              <w:t>40,001,932.08</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D24731">
              <w:rPr>
                <w:rFonts w:ascii="宋体" w:eastAsia="宋体" w:hAnsi="宋体" w:cs="宋体"/>
                <w:sz w:val="18"/>
                <w:szCs w:val="18"/>
              </w:rPr>
              <w:t>40,001,932.08</w:t>
            </w:r>
          </w:p>
        </w:tc>
      </w:tr>
      <w:tr w:rsidR="008A7691"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A7691" w:rsidRPr="00980BC4" w:rsidRDefault="008A7691"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应收款项</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980BC4">
              <w:rPr>
                <w:rFonts w:ascii="宋体" w:eastAsia="宋体" w:hAnsi="宋体" w:cs="宋体"/>
                <w:sz w:val="18"/>
                <w:szCs w:val="18"/>
              </w:rPr>
              <w:t>2,117,173.00</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980BC4">
              <w:rPr>
                <w:rFonts w:ascii="宋体" w:eastAsia="宋体" w:hAnsi="宋体" w:cs="宋体"/>
                <w:sz w:val="18"/>
                <w:szCs w:val="18"/>
              </w:rPr>
              <w:t>2,117,173.00</w:t>
            </w:r>
          </w:p>
        </w:tc>
      </w:tr>
      <w:tr w:rsidR="008A7691"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A7691" w:rsidRPr="00980BC4" w:rsidRDefault="008A7691"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980BC4">
              <w:rPr>
                <w:rFonts w:ascii="宋体" w:eastAsia="宋体" w:hAnsi="宋体" w:cs="宋体"/>
                <w:sz w:val="18"/>
                <w:szCs w:val="18"/>
              </w:rPr>
              <w:t>12,680,923.12</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980BC4">
              <w:rPr>
                <w:rFonts w:ascii="宋体" w:eastAsia="宋体" w:hAnsi="宋体" w:cs="宋体"/>
                <w:sz w:val="18"/>
                <w:szCs w:val="18"/>
              </w:rPr>
              <w:t>12,680,923.12</w:t>
            </w:r>
          </w:p>
        </w:tc>
      </w:tr>
      <w:tr w:rsidR="008A7691"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A7691" w:rsidRPr="00980BC4" w:rsidRDefault="008A7691"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980BC4">
              <w:rPr>
                <w:rFonts w:ascii="宋体" w:eastAsia="宋体" w:hAnsi="宋体" w:cs="宋体"/>
                <w:sz w:val="18"/>
                <w:szCs w:val="18"/>
              </w:rPr>
              <w:t>2,555,517.19</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980BC4">
              <w:rPr>
                <w:rFonts w:ascii="宋体" w:eastAsia="宋体" w:hAnsi="宋体" w:cs="宋体"/>
                <w:sz w:val="18"/>
                <w:szCs w:val="18"/>
              </w:rPr>
              <w:t>2,555,517.19</w:t>
            </w:r>
          </w:p>
        </w:tc>
      </w:tr>
      <w:tr w:rsidR="008A7691"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A7691" w:rsidRPr="00980BC4" w:rsidRDefault="008A7691"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980BC4">
              <w:rPr>
                <w:rFonts w:ascii="宋体" w:eastAsia="宋体" w:hAnsi="宋体" w:cs="宋体"/>
                <w:sz w:val="18"/>
                <w:szCs w:val="18"/>
              </w:rPr>
              <w:t>7,772,200.50</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980BC4">
              <w:rPr>
                <w:rFonts w:ascii="宋体" w:eastAsia="宋体" w:hAnsi="宋体" w:cs="宋体"/>
                <w:sz w:val="18"/>
                <w:szCs w:val="18"/>
              </w:rPr>
              <w:t>7,772,200.50</w:t>
            </w:r>
          </w:p>
        </w:tc>
      </w:tr>
      <w:tr w:rsidR="008A7691"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A837CA">
            <w:pPr>
              <w:spacing w:line="300" w:lineRule="exact"/>
              <w:rPr>
                <w:rFonts w:ascii="宋体" w:eastAsia="宋体" w:hAnsi="宋体" w:cs="宋体"/>
                <w:sz w:val="18"/>
                <w:szCs w:val="18"/>
              </w:rPr>
            </w:pPr>
            <w:r w:rsidRPr="00980BC4">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D24731">
              <w:rPr>
                <w:rFonts w:ascii="宋体" w:eastAsia="宋体" w:hAnsi="宋体" w:cs="宋体"/>
                <w:sz w:val="18"/>
                <w:szCs w:val="18"/>
              </w:rPr>
              <w:t>200,000.00</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D24731">
              <w:rPr>
                <w:rFonts w:ascii="宋体" w:eastAsia="宋体" w:hAnsi="宋体" w:cs="宋体"/>
                <w:sz w:val="18"/>
                <w:szCs w:val="18"/>
              </w:rPr>
              <w:t>200,000.00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72,882.77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72,882.77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294,615.00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294,615.00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511,179.22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511,179.22</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2,000,000.00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2,000,000.00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3,063,218.39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3,063,218.39</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lastRenderedPageBreak/>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91,504.42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91,504.42</w:t>
            </w:r>
          </w:p>
        </w:tc>
      </w:tr>
      <w:tr w:rsidR="008A7691"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A7691" w:rsidRPr="00980BC4" w:rsidRDefault="008A7691"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负债：</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D24731">
              <w:rPr>
                <w:rFonts w:ascii="宋体" w:eastAsia="宋体" w:hAnsi="宋体" w:cs="宋体"/>
                <w:sz w:val="18"/>
                <w:szCs w:val="18"/>
              </w:rPr>
              <w:t>32,002,946.72</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5D1A0E">
              <w:rPr>
                <w:rFonts w:ascii="宋体" w:eastAsia="宋体" w:hAnsi="宋体" w:cs="宋体"/>
                <w:sz w:val="18"/>
                <w:szCs w:val="18"/>
              </w:rPr>
              <w:t>32,002,946.72</w:t>
            </w:r>
          </w:p>
        </w:tc>
      </w:tr>
      <w:tr w:rsidR="008A7691"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A7691" w:rsidRPr="00980BC4" w:rsidRDefault="008A7691"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借款</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980BC4">
              <w:rPr>
                <w:rFonts w:ascii="宋体" w:eastAsia="宋体" w:hAnsi="宋体" w:cs="宋体"/>
                <w:sz w:val="18"/>
                <w:szCs w:val="18"/>
              </w:rPr>
              <w:t>4,004,611.80</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980BC4">
              <w:rPr>
                <w:rFonts w:ascii="宋体" w:eastAsia="宋体" w:hAnsi="宋体" w:cs="宋体"/>
                <w:sz w:val="18"/>
                <w:szCs w:val="18"/>
              </w:rPr>
              <w:t>4,004,611.80</w:t>
            </w:r>
          </w:p>
        </w:tc>
      </w:tr>
      <w:tr w:rsidR="008A7691"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8A7691" w:rsidRPr="00980BC4" w:rsidRDefault="008A7691"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应付款项</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D24731">
              <w:rPr>
                <w:rFonts w:ascii="宋体" w:eastAsia="宋体" w:hAnsi="宋体" w:cs="宋体"/>
                <w:sz w:val="18"/>
                <w:szCs w:val="18"/>
              </w:rPr>
              <w:t>9,560,779.45</w:t>
            </w:r>
          </w:p>
        </w:tc>
        <w:tc>
          <w:tcPr>
            <w:tcW w:w="3213" w:type="dxa"/>
            <w:tcBorders>
              <w:top w:val="single" w:sz="2" w:space="0" w:color="auto"/>
              <w:left w:val="single" w:sz="2" w:space="0" w:color="auto"/>
              <w:bottom w:val="single" w:sz="2" w:space="0" w:color="auto"/>
              <w:right w:val="single" w:sz="2" w:space="0" w:color="auto"/>
            </w:tcBorders>
            <w:vAlign w:val="center"/>
          </w:tcPr>
          <w:p w:rsidR="008A7691" w:rsidRPr="00980BC4" w:rsidRDefault="008A7691" w:rsidP="00264B53">
            <w:pPr>
              <w:spacing w:line="300" w:lineRule="exact"/>
              <w:jc w:val="right"/>
              <w:rPr>
                <w:rFonts w:ascii="宋体" w:eastAsia="宋体" w:hAnsi="宋体" w:cs="宋体"/>
                <w:sz w:val="18"/>
                <w:szCs w:val="18"/>
              </w:rPr>
            </w:pPr>
            <w:r w:rsidRPr="005D1A0E">
              <w:rPr>
                <w:rFonts w:ascii="宋体" w:eastAsia="宋体" w:hAnsi="宋体" w:cs="宋体"/>
                <w:sz w:val="18"/>
                <w:szCs w:val="18"/>
              </w:rPr>
              <w:t>9,560,779.45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150,000.00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150,000.00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1,449.23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1,449.23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18,286,106.24</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18,286,106.24</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净资产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39,358,198.97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39,358,198.97</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减：少数股东权益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17,053,907.61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17,053,907.61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取得的净资产</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22,304,291.36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22,304,291.36</w:t>
            </w:r>
          </w:p>
        </w:tc>
      </w:tr>
    </w:tbl>
    <w:p w:rsidR="009F33B7" w:rsidRDefault="008A7691" w:rsidP="00A56CB0">
      <w:pPr>
        <w:pStyle w:val="a3"/>
        <w:spacing w:before="0" w:beforeAutospacing="0" w:after="0" w:afterAutospacing="0" w:line="560" w:lineRule="exact"/>
        <w:ind w:firstLine="480"/>
        <w:jc w:val="both"/>
        <w:divId w:val="969553885"/>
        <w:rPr>
          <w:rFonts w:ascii="仿宋" w:eastAsia="仿宋" w:hAnsi="仿宋" w:cs="Times New Roman"/>
          <w:sz w:val="28"/>
          <w:szCs w:val="28"/>
        </w:rPr>
      </w:pPr>
      <w:bookmarkStart w:id="343" w:name="_Toc989233"/>
      <w:r w:rsidRPr="00D24731">
        <w:rPr>
          <w:rFonts w:ascii="仿宋" w:eastAsia="仿宋" w:hAnsi="仿宋" w:cs="Times New Roman" w:hint="eastAsia"/>
          <w:b/>
          <w:sz w:val="28"/>
          <w:szCs w:val="28"/>
        </w:rPr>
        <w:t>说明：</w:t>
      </w:r>
      <w:r w:rsidRPr="008A7691">
        <w:rPr>
          <w:rFonts w:ascii="仿宋" w:eastAsia="仿宋" w:hAnsi="仿宋" w:cs="Times New Roman" w:hint="eastAsia"/>
          <w:sz w:val="28"/>
          <w:szCs w:val="28"/>
        </w:rPr>
        <w:t>上表所列取得的净资产22,304,291.36元于“六、合并范围的变更之1.非同一控制下企业合并、（2）合并成本及商誉”中取得的可辨认净资产公允价值份额33,638,291.36元差异11,334,000.00元，</w:t>
      </w:r>
      <w:r w:rsidR="009F33B7" w:rsidRPr="00694FF0">
        <w:rPr>
          <w:rFonts w:ascii="仿宋" w:eastAsia="仿宋" w:hAnsi="仿宋" w:cs="Times New Roman" w:hint="eastAsia"/>
          <w:sz w:val="28"/>
          <w:szCs w:val="28"/>
        </w:rPr>
        <w:t>系计算商誉及甘化科工享有的可辨认净资产公允价值份额时将甘化科工对沈阳非晶已认缴暂未出资的20,000,000.00元视为已出资。</w:t>
      </w:r>
    </w:p>
    <w:p w:rsidR="00F67D6F" w:rsidRPr="00980BC4" w:rsidRDefault="00F67D6F" w:rsidP="00A56CB0">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（4） 购买日之前持有的股权按照公允价值重新计量产生的利得或损失</w:t>
      </w:r>
      <w:bookmarkEnd w:id="343"/>
    </w:p>
    <w:p w:rsidR="00F67D6F" w:rsidRPr="00980BC4" w:rsidRDefault="00F67D6F" w:rsidP="00A56CB0">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是否存在通过多次交易分步实现企业合并且在报告期内取得控制权的交易</w:t>
      </w:r>
    </w:p>
    <w:p w:rsidR="00F67D6F" w:rsidRPr="00980BC4" w:rsidRDefault="00F67D6F" w:rsidP="00A56CB0">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□是</w:t>
      </w:r>
      <w:r w:rsidR="00A56CB0"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否</w:t>
      </w:r>
    </w:p>
    <w:p w:rsidR="00F67D6F" w:rsidRPr="00980BC4" w:rsidRDefault="00F67D6F" w:rsidP="00A56CB0">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44" w:name="_Toc989234"/>
      <w:r w:rsidRPr="00980BC4">
        <w:rPr>
          <w:rFonts w:ascii="仿宋" w:eastAsia="仿宋" w:hAnsi="仿宋" w:cs="Times New Roman"/>
          <w:b/>
          <w:sz w:val="28"/>
          <w:szCs w:val="28"/>
        </w:rPr>
        <w:t>2、处置子公司</w:t>
      </w:r>
      <w:bookmarkEnd w:id="344"/>
    </w:p>
    <w:p w:rsidR="00F67D6F" w:rsidRPr="00980BC4" w:rsidRDefault="00F67D6F" w:rsidP="00A56CB0">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是否存在单次处置对子公司投资即丧失控制权的情形</w:t>
      </w:r>
    </w:p>
    <w:p w:rsidR="00A8241F" w:rsidRDefault="00F67D6F" w:rsidP="00A8241F">
      <w:pPr>
        <w:pStyle w:val="a3"/>
        <w:widowControl w:val="0"/>
        <w:spacing w:before="0" w:beforeAutospacing="0" w:after="0" w:afterAutospacing="0" w:line="560" w:lineRule="exact"/>
        <w:ind w:firstLine="482"/>
        <w:jc w:val="both"/>
        <w:divId w:val="969553885"/>
        <w:rPr>
          <w:rFonts w:ascii="仿宋" w:eastAsia="仿宋" w:hAnsi="仿宋" w:cs="Times New Roman"/>
          <w:sz w:val="28"/>
          <w:szCs w:val="28"/>
        </w:rPr>
      </w:pPr>
      <w:r w:rsidRPr="00980BC4">
        <w:rPr>
          <w:rFonts w:ascii="仿宋" w:eastAsia="仿宋" w:hAnsi="仿宋" w:cs="Times New Roman"/>
          <w:sz w:val="28"/>
          <w:szCs w:val="28"/>
        </w:rPr>
        <w:t>□是</w:t>
      </w:r>
      <w:r w:rsidR="00A56CB0"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否</w:t>
      </w:r>
    </w:p>
    <w:p w:rsidR="00F67D6F" w:rsidRPr="00980BC4" w:rsidRDefault="00F67D6F" w:rsidP="00A8241F">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t>是否存在通过多次交易分步处置对子公司投资且在本期丧失控制权的情形</w:t>
      </w:r>
    </w:p>
    <w:p w:rsidR="00F67D6F" w:rsidRPr="00980BC4" w:rsidRDefault="00F67D6F" w:rsidP="00A56CB0">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□是</w:t>
      </w:r>
      <w:r w:rsidR="00A56CB0"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否</w:t>
      </w:r>
    </w:p>
    <w:p w:rsidR="0020409C" w:rsidRPr="00980BC4" w:rsidRDefault="00F67D6F" w:rsidP="0020409C">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bookmarkStart w:id="345" w:name="_Toc989235"/>
      <w:r w:rsidRPr="00980BC4">
        <w:rPr>
          <w:rFonts w:ascii="仿宋" w:eastAsia="仿宋" w:hAnsi="仿宋" w:cs="Times New Roman"/>
          <w:b/>
          <w:sz w:val="28"/>
          <w:szCs w:val="28"/>
        </w:rPr>
        <w:t>3、其他原因的合并范围变动</w:t>
      </w:r>
      <w:bookmarkEnd w:id="345"/>
    </w:p>
    <w:p w:rsidR="00F67D6F" w:rsidRPr="00980BC4" w:rsidRDefault="00F67D6F" w:rsidP="0020409C">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t>说明其他原因导致的合并范围变动（如，新设子公司、清算子公司等）</w:t>
      </w:r>
      <w:r w:rsidRPr="00980BC4">
        <w:rPr>
          <w:rFonts w:ascii="仿宋" w:eastAsia="仿宋" w:hAnsi="仿宋" w:cs="Times New Roman"/>
          <w:b/>
          <w:sz w:val="28"/>
          <w:szCs w:val="28"/>
        </w:rPr>
        <w:lastRenderedPageBreak/>
        <w:t>及其相关情况：</w:t>
      </w:r>
    </w:p>
    <w:p w:rsidR="00F67D6F" w:rsidRPr="00980BC4" w:rsidRDefault="00F67D6F" w:rsidP="0020409C">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升华电源子公司上海多普思电源有限责任公司于本期注销，自</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11</w:t>
      </w:r>
      <w:r w:rsidRPr="00980BC4">
        <w:rPr>
          <w:rFonts w:ascii="仿宋" w:eastAsia="仿宋" w:hAnsi="仿宋" w:cs="Times New Roman" w:hint="eastAsia"/>
          <w:sz w:val="28"/>
          <w:szCs w:val="28"/>
        </w:rPr>
        <w:t>月起不纳入合并。</w:t>
      </w:r>
    </w:p>
    <w:p w:rsidR="00F67D6F" w:rsidRPr="00980BC4" w:rsidRDefault="00F67D6F" w:rsidP="00A837CA">
      <w:pPr>
        <w:pStyle w:val="2"/>
        <w:spacing w:before="0" w:after="0" w:line="560" w:lineRule="exact"/>
        <w:ind w:firstLineChars="200" w:firstLine="562"/>
        <w:divId w:val="969553885"/>
        <w:rPr>
          <w:rFonts w:ascii="宋体" w:eastAsia="宋体" w:hAnsi="宋体" w:cs="宋体"/>
          <w:b/>
          <w:bCs/>
          <w:sz w:val="28"/>
          <w:szCs w:val="28"/>
        </w:rPr>
      </w:pPr>
      <w:bookmarkStart w:id="346" w:name="_Toc989236"/>
      <w:r w:rsidRPr="00980BC4">
        <w:rPr>
          <w:rFonts w:ascii="宋体" w:eastAsia="宋体" w:hAnsi="宋体" w:cs="宋体"/>
          <w:b/>
          <w:bCs/>
          <w:sz w:val="28"/>
          <w:szCs w:val="28"/>
        </w:rPr>
        <w:t>九、在其他主体中的权益</w:t>
      </w:r>
      <w:bookmarkEnd w:id="346"/>
    </w:p>
    <w:p w:rsidR="00F67D6F" w:rsidRPr="00980BC4" w:rsidRDefault="00F67D6F" w:rsidP="00A837CA">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bookmarkStart w:id="347" w:name="_Toc989237"/>
      <w:r w:rsidRPr="00980BC4">
        <w:rPr>
          <w:rFonts w:ascii="仿宋" w:eastAsia="仿宋" w:hAnsi="仿宋" w:cs="Times New Roman"/>
          <w:b/>
          <w:sz w:val="28"/>
          <w:szCs w:val="28"/>
        </w:rPr>
        <w:t>1、在子公司中的权益</w:t>
      </w:r>
      <w:bookmarkEnd w:id="347"/>
    </w:p>
    <w:p w:rsidR="00F67D6F" w:rsidRPr="00980BC4" w:rsidRDefault="00F67D6F" w:rsidP="00A837CA">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bookmarkStart w:id="348" w:name="_Toc989238"/>
      <w:r w:rsidRPr="00980BC4">
        <w:rPr>
          <w:rFonts w:ascii="仿宋" w:eastAsia="仿宋" w:hAnsi="仿宋" w:cs="Times New Roman"/>
          <w:b/>
          <w:sz w:val="28"/>
          <w:szCs w:val="28"/>
        </w:rPr>
        <w:t>（1） 企业集团的构成</w:t>
      </w:r>
      <w:bookmarkEnd w:id="348"/>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943"/>
        <w:gridCol w:w="1276"/>
        <w:gridCol w:w="992"/>
        <w:gridCol w:w="1134"/>
        <w:gridCol w:w="993"/>
        <w:gridCol w:w="924"/>
        <w:gridCol w:w="1377"/>
      </w:tblGrid>
      <w:tr w:rsidR="00F67D6F" w:rsidRPr="00980BC4" w:rsidTr="00A837CA">
        <w:trPr>
          <w:divId w:val="969553885"/>
          <w:trHeight w:val="240"/>
        </w:trPr>
        <w:tc>
          <w:tcPr>
            <w:tcW w:w="294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子公司名称</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主要经营地</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注册地</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业务性质</w:t>
            </w:r>
          </w:p>
        </w:tc>
        <w:tc>
          <w:tcPr>
            <w:tcW w:w="19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取得方式</w:t>
            </w:r>
          </w:p>
        </w:tc>
      </w:tr>
      <w:tr w:rsidR="00F67D6F" w:rsidRPr="00980BC4" w:rsidTr="00A837CA">
        <w:trPr>
          <w:divId w:val="969553885"/>
          <w:trHeight w:val="240"/>
        </w:trPr>
        <w:tc>
          <w:tcPr>
            <w:tcW w:w="294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20" w:lineRule="exact"/>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2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2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20" w:lineRule="exact"/>
            </w:pP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直接</w:t>
            </w:r>
          </w:p>
        </w:tc>
        <w:tc>
          <w:tcPr>
            <w:tcW w:w="92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20" w:lineRule="exact"/>
            </w:pPr>
          </w:p>
        </w:tc>
      </w:tr>
      <w:tr w:rsidR="00F67D6F" w:rsidRPr="00980BC4" w:rsidTr="00A837CA">
        <w:trPr>
          <w:divId w:val="969553885"/>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四川升华电源科技有限公司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成都</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成都</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工业</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92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非同一控制下企业合并</w:t>
            </w:r>
          </w:p>
        </w:tc>
      </w:tr>
      <w:tr w:rsidR="00F67D6F" w:rsidRPr="00980BC4" w:rsidTr="00A837CA">
        <w:trPr>
          <w:divId w:val="969553885"/>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沈阳含能金属材料制造有限公司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沈阳</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沈阳</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工业</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90.00%</w:t>
            </w:r>
          </w:p>
        </w:tc>
        <w:tc>
          <w:tcPr>
            <w:tcW w:w="92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非同一控制下企业合并</w:t>
            </w:r>
          </w:p>
        </w:tc>
      </w:tr>
      <w:tr w:rsidR="00F67D6F" w:rsidRPr="00980BC4" w:rsidTr="00A837CA">
        <w:trPr>
          <w:divId w:val="969553885"/>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沈阳非晶金属材料制造有限公司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沈阳</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沈阳</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工业</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33.34%</w:t>
            </w:r>
          </w:p>
        </w:tc>
        <w:tc>
          <w:tcPr>
            <w:tcW w:w="92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23.33%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非同一控制下企业合并</w:t>
            </w:r>
          </w:p>
        </w:tc>
      </w:tr>
      <w:tr w:rsidR="00F67D6F" w:rsidRPr="00980BC4" w:rsidTr="00A837CA">
        <w:trPr>
          <w:divId w:val="969553885"/>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汇德国际投资有限公司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香港</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香港</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投资、技术进出口</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92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投资设立</w:t>
            </w:r>
          </w:p>
        </w:tc>
      </w:tr>
      <w:tr w:rsidR="00F67D6F" w:rsidRPr="00980BC4" w:rsidTr="00A837CA">
        <w:trPr>
          <w:divId w:val="969553885"/>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江门德钰隽龚股权投资合伙企业（有限合伙）</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江门</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江门</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投资</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89.90%</w:t>
            </w:r>
          </w:p>
        </w:tc>
        <w:tc>
          <w:tcPr>
            <w:tcW w:w="92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投资设立</w:t>
            </w:r>
          </w:p>
        </w:tc>
      </w:tr>
      <w:tr w:rsidR="00F67D6F" w:rsidRPr="00980BC4" w:rsidTr="00A837CA">
        <w:trPr>
          <w:divId w:val="969553885"/>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四川甘华电源科技有限公司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成都</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成都</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研发</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92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投资设立</w:t>
            </w:r>
          </w:p>
        </w:tc>
      </w:tr>
      <w:tr w:rsidR="00F67D6F" w:rsidRPr="00980BC4" w:rsidTr="00A837CA">
        <w:trPr>
          <w:divId w:val="969553885"/>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江门甘科物业管理有限公司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江门</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江门</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物业</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92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投资设立</w:t>
            </w:r>
          </w:p>
        </w:tc>
      </w:tr>
      <w:tr w:rsidR="00F67D6F" w:rsidRPr="00980BC4" w:rsidTr="00A837CA">
        <w:trPr>
          <w:divId w:val="969553885"/>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福建将乐卓越金属材料有限公司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将乐</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将乐</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销售</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92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非同一控制下企业合并</w:t>
            </w:r>
          </w:p>
        </w:tc>
      </w:tr>
      <w:tr w:rsidR="00F67D6F" w:rsidRPr="00980BC4" w:rsidTr="00A837CA">
        <w:trPr>
          <w:divId w:val="969553885"/>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深圳升华源科技有限公司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深圳</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深圳</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研发</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92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95.00%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非同一控制下企业合并</w:t>
            </w:r>
          </w:p>
        </w:tc>
      </w:tr>
      <w:tr w:rsidR="00F67D6F" w:rsidRPr="00980BC4" w:rsidTr="00A837CA">
        <w:trPr>
          <w:divId w:val="969553885"/>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四川德芯源电子科技有限公司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成都</w:t>
            </w:r>
          </w:p>
        </w:tc>
        <w:tc>
          <w:tcPr>
            <w:tcW w:w="99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成都</w:t>
            </w:r>
          </w:p>
        </w:tc>
        <w:tc>
          <w:tcPr>
            <w:tcW w:w="11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研发</w:t>
            </w:r>
          </w:p>
        </w:tc>
        <w:tc>
          <w:tcPr>
            <w:tcW w:w="9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92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51.00%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投资设立</w:t>
            </w:r>
          </w:p>
        </w:tc>
      </w:tr>
    </w:tbl>
    <w:p w:rsidR="00F67D6F" w:rsidRPr="00980BC4" w:rsidRDefault="00F67D6F" w:rsidP="00A837CA">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bookmarkStart w:id="349" w:name="_Toc989239"/>
      <w:r w:rsidRPr="00980BC4">
        <w:rPr>
          <w:rFonts w:ascii="仿宋" w:eastAsia="仿宋" w:hAnsi="仿宋" w:cs="Times New Roman"/>
          <w:b/>
          <w:sz w:val="28"/>
          <w:szCs w:val="28"/>
        </w:rPr>
        <w:t>（2） 重要的非全资子公司</w:t>
      </w:r>
      <w:bookmarkEnd w:id="349"/>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27"/>
        <w:gridCol w:w="1843"/>
        <w:gridCol w:w="1559"/>
        <w:gridCol w:w="1559"/>
        <w:gridCol w:w="1451"/>
      </w:tblGrid>
      <w:tr w:rsidR="00F67D6F" w:rsidRPr="00980BC4" w:rsidTr="00A837CA">
        <w:trPr>
          <w:divId w:val="969553885"/>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子公司名称</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少数股东持股比例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本期归属于少数股东的损益</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本期向少数股东宣告分派的股利</w:t>
            </w:r>
          </w:p>
        </w:tc>
        <w:tc>
          <w:tcPr>
            <w:tcW w:w="145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期末少数股东权益余额</w:t>
            </w:r>
          </w:p>
        </w:tc>
      </w:tr>
      <w:tr w:rsidR="00F67D6F" w:rsidRPr="00980BC4" w:rsidTr="00A837CA">
        <w:trPr>
          <w:divId w:val="969553885"/>
          <w:trHeight w:val="240"/>
        </w:trPr>
        <w:tc>
          <w:tcPr>
            <w:tcW w:w="32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沈阳含能金属材料制造有限公司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2,871,952.92</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11,643,559.39</w:t>
            </w:r>
          </w:p>
        </w:tc>
      </w:tr>
      <w:tr w:rsidR="00F67D6F" w:rsidRPr="00980BC4" w:rsidTr="00A837CA">
        <w:trPr>
          <w:divId w:val="969553885"/>
          <w:trHeight w:val="240"/>
        </w:trPr>
        <w:tc>
          <w:tcPr>
            <w:tcW w:w="32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rPr>
                <w:rFonts w:ascii="宋体" w:eastAsia="宋体" w:hAnsi="宋体" w:cs="宋体"/>
                <w:sz w:val="18"/>
                <w:szCs w:val="18"/>
              </w:rPr>
            </w:pPr>
            <w:r w:rsidRPr="00980BC4">
              <w:rPr>
                <w:rFonts w:ascii="宋体" w:eastAsia="宋体" w:hAnsi="宋体" w:cs="宋体"/>
                <w:sz w:val="18"/>
                <w:szCs w:val="18"/>
              </w:rPr>
              <w:t>沈阳非晶金属材料制造有限公司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43.33%</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-3,370,455.08</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20" w:lineRule="exact"/>
              <w:jc w:val="right"/>
              <w:rPr>
                <w:rFonts w:ascii="宋体" w:eastAsia="宋体" w:hAnsi="宋体" w:cs="宋体"/>
                <w:sz w:val="18"/>
                <w:szCs w:val="18"/>
              </w:rPr>
            </w:pPr>
            <w:r w:rsidRPr="00980BC4">
              <w:rPr>
                <w:rFonts w:ascii="宋体" w:eastAsia="宋体" w:hAnsi="宋体" w:cs="宋体"/>
                <w:sz w:val="18"/>
                <w:szCs w:val="18"/>
              </w:rPr>
              <w:t>22,389,658.69</w:t>
            </w:r>
          </w:p>
        </w:tc>
      </w:tr>
    </w:tbl>
    <w:p w:rsidR="00F67D6F" w:rsidRPr="00980BC4" w:rsidRDefault="00F67D6F" w:rsidP="00A837CA">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bookmarkStart w:id="350" w:name="_Toc989240"/>
      <w:r w:rsidRPr="00980BC4">
        <w:rPr>
          <w:rFonts w:ascii="仿宋" w:eastAsia="仿宋" w:hAnsi="仿宋" w:cs="Times New Roman"/>
          <w:b/>
          <w:sz w:val="28"/>
          <w:szCs w:val="28"/>
        </w:rPr>
        <w:t>（3） 重要非全资子公司的主要财务信息</w:t>
      </w:r>
      <w:bookmarkEnd w:id="350"/>
    </w:p>
    <w:p w:rsidR="00A837CA" w:rsidRPr="00980BC4" w:rsidRDefault="00A837CA" w:rsidP="00F67D6F">
      <w:pPr>
        <w:spacing w:before="40" w:after="40" w:line="240" w:lineRule="exact"/>
        <w:jc w:val="right"/>
        <w:divId w:val="969553885"/>
        <w:rPr>
          <w:rFonts w:ascii="宋体" w:eastAsia="宋体" w:hAnsi="宋体" w:cs="宋体"/>
          <w:sz w:val="18"/>
          <w:szCs w:val="18"/>
        </w:rPr>
      </w:pPr>
    </w:p>
    <w:p w:rsidR="00A837CA" w:rsidRPr="00980BC4" w:rsidRDefault="00A837CA" w:rsidP="00F67D6F">
      <w:pPr>
        <w:spacing w:before="40" w:after="40" w:line="240" w:lineRule="exact"/>
        <w:jc w:val="right"/>
        <w:divId w:val="969553885"/>
        <w:rPr>
          <w:rFonts w:ascii="宋体" w:eastAsia="宋体" w:hAnsi="宋体" w:cs="宋体"/>
          <w:sz w:val="18"/>
          <w:szCs w:val="18"/>
        </w:rPr>
      </w:pPr>
    </w:p>
    <w:p w:rsidR="00A837CA" w:rsidRPr="00980BC4" w:rsidRDefault="00A837CA" w:rsidP="00F67D6F">
      <w:pPr>
        <w:spacing w:before="40" w:after="40" w:line="240" w:lineRule="exact"/>
        <w:jc w:val="right"/>
        <w:divId w:val="969553885"/>
        <w:rPr>
          <w:rFonts w:ascii="宋体" w:eastAsia="宋体" w:hAnsi="宋体" w:cs="宋体"/>
          <w:sz w:val="18"/>
          <w:szCs w:val="18"/>
        </w:rPr>
      </w:pP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741"/>
        <w:gridCol w:w="741"/>
        <w:gridCol w:w="741"/>
        <w:gridCol w:w="741"/>
        <w:gridCol w:w="741"/>
        <w:gridCol w:w="741"/>
        <w:gridCol w:w="744"/>
        <w:gridCol w:w="741"/>
        <w:gridCol w:w="741"/>
        <w:gridCol w:w="741"/>
        <w:gridCol w:w="741"/>
        <w:gridCol w:w="741"/>
        <w:gridCol w:w="744"/>
      </w:tblGrid>
      <w:tr w:rsidR="00F67D6F" w:rsidRPr="00980BC4" w:rsidTr="00F67D6F">
        <w:trPr>
          <w:divId w:val="969553885"/>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lastRenderedPageBreak/>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负债合计</w:t>
            </w:r>
          </w:p>
        </w:tc>
      </w:tr>
      <w:tr w:rsidR="00F67D6F" w:rsidRPr="00980BC4" w:rsidTr="00F67D6F">
        <w:trPr>
          <w:divId w:val="969553885"/>
          <w:trHeight w:val="240"/>
        </w:trPr>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沈阳含能金属材料制造有限公司</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141,618,657.12</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10,856,273.87</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152,474,930.99</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35,314,693.89</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117,900.94</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35,432,594.83</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152,171,374.47</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11,408,112.25</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163,579,486.72</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77,646,782.48</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116,805.90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77,763,588.38</w:t>
            </w:r>
          </w:p>
        </w:tc>
      </w:tr>
      <w:tr w:rsidR="00F67D6F" w:rsidRPr="00980BC4" w:rsidTr="00F67D6F">
        <w:trPr>
          <w:divId w:val="969553885"/>
          <w:trHeight w:val="240"/>
        </w:trPr>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rPr>
                <w:rFonts w:ascii="宋体" w:eastAsia="宋体" w:hAnsi="宋体" w:cs="宋体"/>
                <w:sz w:val="18"/>
                <w:szCs w:val="18"/>
              </w:rPr>
            </w:pPr>
            <w:r w:rsidRPr="00980BC4">
              <w:rPr>
                <w:rFonts w:ascii="宋体" w:eastAsia="宋体" w:hAnsi="宋体" w:cs="宋体"/>
                <w:sz w:val="18"/>
                <w:szCs w:val="18"/>
              </w:rPr>
              <w:t>沈阳非晶金属材料制造有限公司</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25,560,348.25</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17,607,862.30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43,168,210.55</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11,495,792.60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11,495,792.60</w:t>
            </w: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p>
        </w:tc>
      </w:tr>
    </w:tbl>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071"/>
        <w:gridCol w:w="1071"/>
        <w:gridCol w:w="1071"/>
        <w:gridCol w:w="1071"/>
        <w:gridCol w:w="1071"/>
        <w:gridCol w:w="1071"/>
        <w:gridCol w:w="1071"/>
        <w:gridCol w:w="1071"/>
        <w:gridCol w:w="1071"/>
      </w:tblGrid>
      <w:tr w:rsidR="00F67D6F" w:rsidRPr="00980BC4" w:rsidTr="00F67D6F">
        <w:trPr>
          <w:divId w:val="969553885"/>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经营活动现金流量</w:t>
            </w:r>
          </w:p>
        </w:tc>
      </w:tr>
      <w:tr w:rsidR="00F67D6F" w:rsidRPr="00980BC4" w:rsidTr="00F67D6F">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沈阳含能金属材料制造有限公司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121,407,212.55</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29,338,992.15</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29,338,992.15</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25,710,070.69</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127,673,977.36</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35,103,165.86</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35,103,165.86</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8,696,893.47</w:t>
            </w:r>
          </w:p>
        </w:tc>
      </w:tr>
      <w:tr w:rsidR="00F67D6F" w:rsidRPr="00980BC4" w:rsidTr="00F67D6F">
        <w:trPr>
          <w:divId w:val="969553885"/>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沈阳非晶金属材料制造有限公司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15,185,043.02</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-7,778,571.61</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-7,778,571.61</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-19,922,901.55</w:t>
            </w: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bl>
    <w:p w:rsidR="00F67D6F" w:rsidRPr="00980BC4" w:rsidRDefault="00F67D6F" w:rsidP="00A837CA">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bookmarkStart w:id="351" w:name="_Toc989241"/>
      <w:r w:rsidRPr="00980BC4">
        <w:rPr>
          <w:rFonts w:ascii="仿宋" w:eastAsia="仿宋" w:hAnsi="仿宋" w:cs="Times New Roman"/>
          <w:b/>
          <w:sz w:val="28"/>
          <w:szCs w:val="28"/>
        </w:rPr>
        <w:t>2、在合营安排或联营企业中的权益</w:t>
      </w:r>
      <w:bookmarkEnd w:id="351"/>
    </w:p>
    <w:p w:rsidR="00F67D6F" w:rsidRPr="00980BC4" w:rsidRDefault="00F67D6F" w:rsidP="00A837CA">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bookmarkStart w:id="352" w:name="_Toc989242"/>
      <w:r w:rsidRPr="00980BC4">
        <w:rPr>
          <w:rFonts w:ascii="仿宋" w:eastAsia="仿宋" w:hAnsi="仿宋" w:cs="Times New Roman"/>
          <w:b/>
          <w:sz w:val="28"/>
          <w:szCs w:val="28"/>
        </w:rPr>
        <w:t>（1） 重要的合营企业或联营企业</w:t>
      </w:r>
      <w:bookmarkEnd w:id="35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377"/>
        <w:gridCol w:w="1377"/>
        <w:gridCol w:w="1377"/>
        <w:gridCol w:w="1377"/>
        <w:gridCol w:w="1377"/>
      </w:tblGrid>
      <w:tr w:rsidR="00F67D6F" w:rsidRPr="00980BC4" w:rsidTr="00F67D6F">
        <w:trPr>
          <w:divId w:val="969553885"/>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对合营企业或联营企业投资的会计处理方法</w:t>
            </w:r>
          </w:p>
        </w:tc>
      </w:tr>
      <w:tr w:rsidR="00F67D6F" w:rsidRPr="00980BC4" w:rsidTr="00F67D6F">
        <w:trPr>
          <w:divId w:val="969553885"/>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00" w:lineRule="exact"/>
            </w:pP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合营企业</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p>
        </w:tc>
      </w:tr>
      <w:tr w:rsidR="00A837CA" w:rsidRPr="00980BC4" w:rsidTr="005117A4">
        <w:trPr>
          <w:divId w:val="969553885"/>
          <w:trHeight w:val="240"/>
        </w:trPr>
        <w:tc>
          <w:tcPr>
            <w:tcW w:w="9639" w:type="dxa"/>
            <w:gridSpan w:val="7"/>
            <w:tcBorders>
              <w:top w:val="single" w:sz="2" w:space="0" w:color="auto"/>
              <w:left w:val="single" w:sz="2" w:space="0" w:color="auto"/>
              <w:bottom w:val="single" w:sz="2" w:space="0" w:color="auto"/>
              <w:right w:val="single" w:sz="2" w:space="0" w:color="auto"/>
            </w:tcBorders>
            <w:vAlign w:val="center"/>
          </w:tcPr>
          <w:p w:rsidR="00A837CA" w:rsidRPr="00980BC4" w:rsidRDefault="00A837CA" w:rsidP="00A837CA">
            <w:pPr>
              <w:spacing w:line="300" w:lineRule="exact"/>
              <w:rPr>
                <w:rFonts w:ascii="宋体" w:eastAsia="宋体" w:hAnsi="宋体" w:cs="宋体"/>
                <w:sz w:val="18"/>
                <w:szCs w:val="18"/>
              </w:rPr>
            </w:pPr>
            <w:r w:rsidRPr="00980BC4">
              <w:rPr>
                <w:rFonts w:ascii="宋体" w:eastAsia="宋体" w:hAnsi="宋体" w:cs="宋体"/>
                <w:sz w:val="18"/>
                <w:szCs w:val="18"/>
              </w:rPr>
              <w:t>无</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联营企业</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苏州锴威特半导体股份有限公司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苏州</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苏州</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集成电路开发与销售</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19.10%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权益法</w:t>
            </w:r>
          </w:p>
        </w:tc>
      </w:tr>
    </w:tbl>
    <w:p w:rsidR="00F67D6F" w:rsidRPr="00980BC4" w:rsidRDefault="00F67D6F" w:rsidP="00A837CA">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bookmarkStart w:id="353" w:name="_Toc989243"/>
      <w:r w:rsidRPr="00980BC4">
        <w:rPr>
          <w:rFonts w:ascii="仿宋" w:eastAsia="仿宋" w:hAnsi="仿宋" w:cs="Times New Roman"/>
          <w:b/>
          <w:sz w:val="28"/>
          <w:szCs w:val="28"/>
        </w:rPr>
        <w:t>（2） 重要联营企业的主要财务信息</w:t>
      </w:r>
      <w:bookmarkEnd w:id="353"/>
    </w:p>
    <w:p w:rsidR="00A837CA" w:rsidRPr="00980BC4" w:rsidRDefault="00A837CA" w:rsidP="00F67D6F">
      <w:pPr>
        <w:spacing w:before="40" w:after="40" w:line="240" w:lineRule="exact"/>
        <w:jc w:val="right"/>
        <w:divId w:val="969553885"/>
        <w:rPr>
          <w:rFonts w:ascii="宋体" w:eastAsia="宋体" w:hAnsi="宋体" w:cs="宋体"/>
          <w:sz w:val="18"/>
          <w:szCs w:val="18"/>
        </w:rPr>
      </w:pPr>
    </w:p>
    <w:p w:rsidR="00A837CA" w:rsidRPr="00980BC4" w:rsidRDefault="00A837CA" w:rsidP="00F67D6F">
      <w:pPr>
        <w:spacing w:before="40" w:after="40" w:line="240" w:lineRule="exact"/>
        <w:jc w:val="right"/>
        <w:divId w:val="969553885"/>
        <w:rPr>
          <w:rFonts w:ascii="宋体" w:eastAsia="宋体" w:hAnsi="宋体" w:cs="宋体"/>
          <w:sz w:val="18"/>
          <w:szCs w:val="18"/>
        </w:rPr>
      </w:pP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132"/>
        <w:gridCol w:w="3294"/>
      </w:tblGrid>
      <w:tr w:rsidR="00F67D6F" w:rsidRPr="00980BC4" w:rsidTr="00E060E5">
        <w:trPr>
          <w:divId w:val="969553885"/>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00" w:lineRule="exact"/>
            </w:pPr>
          </w:p>
        </w:tc>
        <w:tc>
          <w:tcPr>
            <w:tcW w:w="313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期末余额/本期发生额</w:t>
            </w:r>
          </w:p>
        </w:tc>
        <w:tc>
          <w:tcPr>
            <w:tcW w:w="329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期初余额/上期发生额</w:t>
            </w:r>
          </w:p>
        </w:tc>
      </w:tr>
      <w:tr w:rsidR="00F67D6F" w:rsidRPr="00980BC4" w:rsidTr="00E060E5">
        <w:trPr>
          <w:divId w:val="969553885"/>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line="300" w:lineRule="exact"/>
            </w:pP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center"/>
              <w:rPr>
                <w:rFonts w:ascii="宋体" w:eastAsia="宋体" w:hAnsi="宋体" w:cs="宋体"/>
                <w:sz w:val="18"/>
                <w:szCs w:val="18"/>
              </w:rPr>
            </w:pPr>
            <w:r w:rsidRPr="00980BC4">
              <w:rPr>
                <w:rFonts w:ascii="宋体" w:eastAsia="宋体" w:hAnsi="宋体" w:cs="宋体"/>
                <w:sz w:val="18"/>
                <w:szCs w:val="18"/>
              </w:rPr>
              <w:t>锴威特公司</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rPr>
                <w:rFonts w:ascii="宋体" w:eastAsia="宋体" w:hAnsi="宋体" w:cs="宋体"/>
                <w:sz w:val="18"/>
                <w:szCs w:val="18"/>
              </w:rPr>
            </w:pPr>
            <w:r w:rsidRPr="00980BC4">
              <w:rPr>
                <w:rFonts w:ascii="宋体" w:eastAsia="宋体" w:hAnsi="宋体" w:cs="宋体"/>
                <w:sz w:val="18"/>
                <w:szCs w:val="18"/>
              </w:rPr>
              <w:t xml:space="preserve">                 锴威特公司</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流动资产</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322,210,755.32</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318,398,814.86</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非流动资产</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121,828,527.73</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78,361,879.13</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资产合计</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444,039,283.05</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396,760,693.99</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流动负债</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103,285,802.63</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108,391,661.27</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非流动负债</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1,027,603.28</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9,756,671.15</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负债合计</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104,313,405.91</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118,148,332.42</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少数股东权益</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归属于母公司股东权益</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339,725,877.14</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278,612,361.57</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按持股比例计算的净资产份额</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64,887,642.53</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53,214,961.06</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调整事项</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--商誉</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E060E5" w:rsidP="00A837CA">
            <w:pPr>
              <w:spacing w:line="300" w:lineRule="exact"/>
              <w:jc w:val="right"/>
              <w:rPr>
                <w:rFonts w:ascii="宋体" w:eastAsia="宋体" w:hAnsi="宋体" w:cs="宋体"/>
                <w:sz w:val="18"/>
                <w:szCs w:val="18"/>
              </w:rPr>
            </w:pPr>
            <w:r w:rsidRPr="001402D0">
              <w:rPr>
                <w:rFonts w:ascii="宋体" w:eastAsia="宋体" w:hAnsi="宋体" w:cs="宋体"/>
                <w:sz w:val="18"/>
                <w:szCs w:val="18"/>
              </w:rPr>
              <w:t>79,606,376.37</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83,607,534.55</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--内部交易未实现利润</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--其他</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对联营企业权益投资的账面价值</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E060E5" w:rsidP="00A837CA">
            <w:pPr>
              <w:spacing w:line="300" w:lineRule="exact"/>
              <w:jc w:val="right"/>
              <w:rPr>
                <w:rFonts w:ascii="宋体" w:eastAsia="宋体" w:hAnsi="宋体" w:cs="宋体"/>
                <w:sz w:val="18"/>
                <w:szCs w:val="18"/>
              </w:rPr>
            </w:pPr>
            <w:r w:rsidRPr="001402D0">
              <w:rPr>
                <w:rFonts w:ascii="宋体" w:eastAsia="宋体" w:hAnsi="宋体" w:cs="宋体"/>
                <w:sz w:val="18"/>
                <w:szCs w:val="18"/>
              </w:rPr>
              <w:t>144,494,018.90</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136,822,495.61</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存在公开报价的联营企业权益投资的公允价值</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营业收入</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235,381,937.61</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209,728,901.39</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净利润</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61,113,515.57</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48,477,167.92</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终止经营的净利润</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其他综合收益</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综合收益总额</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61,113,515.57</w:t>
            </w: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r w:rsidRPr="00980BC4">
              <w:rPr>
                <w:rFonts w:ascii="宋体" w:eastAsia="宋体" w:hAnsi="宋体" w:cs="宋体"/>
                <w:sz w:val="18"/>
                <w:szCs w:val="18"/>
              </w:rPr>
              <w:t>48,477,167.92</w:t>
            </w:r>
          </w:p>
        </w:tc>
      </w:tr>
      <w:tr w:rsidR="00F67D6F" w:rsidRPr="00980BC4" w:rsidTr="00E060E5">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A837CA">
            <w:pPr>
              <w:spacing w:before="40" w:after="40" w:line="300" w:lineRule="exact"/>
              <w:rPr>
                <w:rFonts w:ascii="宋体" w:eastAsia="宋体" w:hAnsi="宋体" w:cs="宋体"/>
                <w:sz w:val="18"/>
                <w:szCs w:val="18"/>
              </w:rPr>
            </w:pPr>
            <w:r w:rsidRPr="00980BC4">
              <w:rPr>
                <w:rFonts w:ascii="宋体" w:eastAsia="宋体" w:hAnsi="宋体" w:cs="宋体"/>
                <w:sz w:val="18"/>
                <w:szCs w:val="18"/>
              </w:rPr>
              <w:t>本年度收到的来自联营企业的股利</w:t>
            </w:r>
          </w:p>
        </w:tc>
        <w:tc>
          <w:tcPr>
            <w:tcW w:w="313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c>
          <w:tcPr>
            <w:tcW w:w="329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A837CA">
            <w:pPr>
              <w:spacing w:line="300" w:lineRule="exact"/>
              <w:jc w:val="right"/>
              <w:rPr>
                <w:rFonts w:ascii="宋体" w:eastAsia="宋体" w:hAnsi="宋体" w:cs="宋体"/>
                <w:sz w:val="18"/>
                <w:szCs w:val="18"/>
              </w:rPr>
            </w:pPr>
          </w:p>
        </w:tc>
      </w:tr>
    </w:tbl>
    <w:p w:rsidR="00F67D6F" w:rsidRPr="00980BC4" w:rsidRDefault="00F67D6F" w:rsidP="00A837CA">
      <w:pPr>
        <w:pStyle w:val="a3"/>
        <w:widowControl w:val="0"/>
        <w:spacing w:before="0" w:beforeAutospacing="0" w:after="0" w:afterAutospacing="0" w:line="560" w:lineRule="exact"/>
        <w:ind w:firstLine="482"/>
        <w:jc w:val="both"/>
        <w:divId w:val="969553885"/>
        <w:rPr>
          <w:rFonts w:ascii="仿宋" w:eastAsia="仿宋" w:hAnsi="仿宋" w:cs="Times New Roman"/>
          <w:b/>
          <w:sz w:val="28"/>
          <w:szCs w:val="28"/>
        </w:rPr>
      </w:pPr>
      <w:bookmarkStart w:id="354" w:name="_Toc989244"/>
      <w:r w:rsidRPr="00980BC4">
        <w:rPr>
          <w:rFonts w:ascii="仿宋" w:eastAsia="仿宋" w:hAnsi="仿宋" w:cs="Times New Roman"/>
          <w:b/>
          <w:sz w:val="28"/>
          <w:szCs w:val="28"/>
        </w:rPr>
        <w:t>（3） 不重要的合营企业和联营企业的汇总财务信息</w:t>
      </w:r>
      <w:bookmarkEnd w:id="354"/>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期初余额/上期发生额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19,945,158.30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21,768,832.33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-1,823,674.03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-7,028,614.30</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-1,823,674.03</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-7,028,614.30</w:t>
            </w:r>
          </w:p>
        </w:tc>
      </w:tr>
    </w:tbl>
    <w:p w:rsidR="00F67D6F" w:rsidRPr="00980BC4" w:rsidRDefault="00F67D6F" w:rsidP="00476082">
      <w:pPr>
        <w:pStyle w:val="2"/>
        <w:keepLines w:val="0"/>
        <w:spacing w:before="0" w:after="0" w:line="540" w:lineRule="exact"/>
        <w:ind w:firstLineChars="200" w:firstLine="562"/>
        <w:divId w:val="969553885"/>
        <w:rPr>
          <w:rFonts w:ascii="宋体" w:eastAsia="宋体" w:hAnsi="宋体" w:cs="宋体"/>
          <w:b/>
          <w:bCs/>
          <w:sz w:val="28"/>
          <w:szCs w:val="28"/>
        </w:rPr>
      </w:pPr>
      <w:bookmarkStart w:id="355" w:name="_Toc989245"/>
      <w:r w:rsidRPr="00980BC4">
        <w:rPr>
          <w:rFonts w:ascii="宋体" w:eastAsia="宋体" w:hAnsi="宋体" w:cs="宋体"/>
          <w:b/>
          <w:bCs/>
          <w:sz w:val="28"/>
          <w:szCs w:val="28"/>
        </w:rPr>
        <w:lastRenderedPageBreak/>
        <w:t>十、与金融工具相关的风险</w:t>
      </w:r>
      <w:bookmarkEnd w:id="355"/>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本公司与金融工具相关的风险源于本公司在经营过程中所确认的各类金融资产和金融负债，包括：信用风险、流动性风险和市场风险。</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与金融工具相关的各类风险的管理目标和政策的制度由本公司管理层负责。经营管理层通过职能部门负责日常的风险管理（例如本公司信用管理部对公司发生的赊销业务进行逐笔进行审核）。本公司内部审计部门对公司风险管理的政策和程序的执行情况进行日常监督，并且将有关发现及时报告给本公司审计委员会。</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本公司风险管理的总体目标是在不过度影响公司竞争力和应变力的情况下，制定尽可能降低各类与金融工具相关风险的风险管理政策。</w:t>
      </w:r>
    </w:p>
    <w:p w:rsidR="00F67D6F" w:rsidRPr="00980BC4" w:rsidRDefault="00FA07A0" w:rsidP="00B7436F">
      <w:pPr>
        <w:widowControl/>
        <w:spacing w:line="540" w:lineRule="exact"/>
        <w:ind w:left="720"/>
        <w:divId w:val="969553885"/>
        <w:rPr>
          <w:rFonts w:ascii="仿宋" w:eastAsia="仿宋" w:hAnsi="仿宋" w:cs="宋体"/>
          <w:b/>
          <w:sz w:val="28"/>
          <w:szCs w:val="28"/>
        </w:rPr>
      </w:pPr>
      <w:r w:rsidRPr="00980BC4">
        <w:rPr>
          <w:rFonts w:ascii="仿宋" w:eastAsia="仿宋" w:hAnsi="仿宋" w:hint="eastAsia"/>
          <w:b/>
          <w:sz w:val="28"/>
          <w:szCs w:val="28"/>
        </w:rPr>
        <w:t>1、</w:t>
      </w:r>
      <w:r w:rsidR="00F67D6F" w:rsidRPr="00980BC4">
        <w:rPr>
          <w:rFonts w:ascii="仿宋" w:eastAsia="仿宋" w:hAnsi="仿宋" w:hint="eastAsia"/>
          <w:b/>
          <w:sz w:val="28"/>
          <w:szCs w:val="28"/>
        </w:rPr>
        <w:t>信用风险</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信用风险，是指金融工具的一方未能履行义务从而导致另一方发生财务损失的风险。本公司的信用风险主要产生于货币资金、应收票据、应收账款、其他应收款以及长期应收款等，这些金融资产的信用风险源自交易对手违约，最大的风险敞口等于这些工具的账面金额。</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本公司货币资金主要存放于商业银行等金融机构，本公司认为这些商业银行具备较高信誉和资产状况，存在较低的信用风险。</w:t>
      </w:r>
    </w:p>
    <w:p w:rsidR="00F67D6F" w:rsidRPr="00980BC4" w:rsidRDefault="00F67D6F" w:rsidP="00A8241F">
      <w:pPr>
        <w:pStyle w:val="a3"/>
        <w:widowControl w:val="0"/>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对于应收票据、应收账款、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476082" w:rsidRDefault="00F67D6F" w:rsidP="00476082">
      <w:pPr>
        <w:pStyle w:val="a3"/>
        <w:widowControl w:val="0"/>
        <w:spacing w:before="0" w:beforeAutospacing="0" w:after="0" w:afterAutospacing="0" w:line="540" w:lineRule="exact"/>
        <w:ind w:firstLine="482"/>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w:t>
      </w:r>
      <w:r w:rsidRPr="00980BC4">
        <w:rPr>
          <w:rFonts w:ascii="仿宋" w:eastAsia="仿宋" w:hAnsi="仿宋" w:cs="Times New Roman"/>
          <w:b/>
          <w:sz w:val="28"/>
          <w:szCs w:val="28"/>
        </w:rPr>
        <w:t>1</w:t>
      </w:r>
      <w:r w:rsidRPr="00980BC4">
        <w:rPr>
          <w:rFonts w:ascii="仿宋" w:eastAsia="仿宋" w:hAnsi="仿宋" w:cs="Times New Roman" w:hint="eastAsia"/>
          <w:b/>
          <w:sz w:val="28"/>
          <w:szCs w:val="28"/>
        </w:rPr>
        <w:t>）信用风险显著增加判断标准</w:t>
      </w:r>
    </w:p>
    <w:p w:rsidR="00F67D6F" w:rsidRPr="00980BC4" w:rsidRDefault="00F67D6F" w:rsidP="00476082">
      <w:pPr>
        <w:pStyle w:val="a3"/>
        <w:widowControl w:val="0"/>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本公司在每个资产负债表日评估相关金融工具的信用风险自初始确认后是</w:t>
      </w:r>
      <w:r w:rsidRPr="00980BC4">
        <w:rPr>
          <w:rFonts w:ascii="仿宋" w:eastAsia="仿宋" w:hAnsi="仿宋" w:cs="Times New Roman" w:hint="eastAsia"/>
          <w:sz w:val="28"/>
          <w:szCs w:val="28"/>
        </w:rPr>
        <w:lastRenderedPageBreak/>
        <w:t>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w:t>
      </w:r>
      <w:r w:rsidRPr="00980BC4">
        <w:rPr>
          <w:rFonts w:ascii="仿宋" w:eastAsia="仿宋" w:hAnsi="仿宋" w:cs="Times New Roman"/>
          <w:b/>
          <w:sz w:val="28"/>
          <w:szCs w:val="28"/>
        </w:rPr>
        <w:t>2</w:t>
      </w:r>
      <w:r w:rsidRPr="00980BC4">
        <w:rPr>
          <w:rFonts w:ascii="仿宋" w:eastAsia="仿宋" w:hAnsi="仿宋" w:cs="Times New Roman" w:hint="eastAsia"/>
          <w:b/>
          <w:sz w:val="28"/>
          <w:szCs w:val="28"/>
        </w:rPr>
        <w:t>）已发生信用减值资产的定义</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为确定是否发生信用减值，本公司所采用的界定标准，与内部针对相关金融工具的信用风险管理目标保持一致</w:t>
      </w:r>
      <w:r w:rsidRPr="00980BC4">
        <w:rPr>
          <w:rFonts w:ascii="仿宋" w:eastAsia="仿宋" w:hAnsi="仿宋" w:cs="Times New Roman"/>
          <w:sz w:val="28"/>
          <w:szCs w:val="28"/>
        </w:rPr>
        <w:t>,</w:t>
      </w:r>
      <w:r w:rsidRPr="00980BC4">
        <w:rPr>
          <w:rFonts w:ascii="仿宋" w:eastAsia="仿宋" w:hAnsi="仿宋" w:cs="Times New Roman" w:hint="eastAsia"/>
          <w:sz w:val="28"/>
          <w:szCs w:val="28"/>
        </w:rPr>
        <w:t>同时考虑定量、定性指标。</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金融资产发生信用减值，有可能是多个事件的共同作用所致，未必是可单独识别的事件所致。</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w:t>
      </w:r>
      <w:r w:rsidRPr="00980BC4">
        <w:rPr>
          <w:rFonts w:ascii="仿宋" w:eastAsia="仿宋" w:hAnsi="仿宋" w:cs="Times New Roman"/>
          <w:b/>
          <w:sz w:val="28"/>
          <w:szCs w:val="28"/>
        </w:rPr>
        <w:t>3</w:t>
      </w:r>
      <w:r w:rsidRPr="00980BC4">
        <w:rPr>
          <w:rFonts w:ascii="仿宋" w:eastAsia="仿宋" w:hAnsi="仿宋" w:cs="Times New Roman" w:hint="eastAsia"/>
          <w:b/>
          <w:sz w:val="28"/>
          <w:szCs w:val="28"/>
        </w:rPr>
        <w:t>）预期信用损失计量的参数</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根据信用风险是否发生显著增加以及是否已发生信用减值，本公司对不同的资产分别以</w:t>
      </w:r>
      <w:r w:rsidRPr="00980BC4">
        <w:rPr>
          <w:rFonts w:ascii="仿宋" w:eastAsia="仿宋" w:hAnsi="仿宋" w:cs="Times New Roman"/>
          <w:sz w:val="28"/>
          <w:szCs w:val="28"/>
        </w:rPr>
        <w:t xml:space="preserve">12 </w:t>
      </w:r>
      <w:r w:rsidRPr="00980BC4">
        <w:rPr>
          <w:rFonts w:ascii="仿宋" w:eastAsia="仿宋" w:hAnsi="仿宋" w:cs="Times New Roman" w:hint="eastAsia"/>
          <w:sz w:val="28"/>
          <w:szCs w:val="28"/>
        </w:rPr>
        <w:t>个月或整个存续期的预期信用损失计量减值准备。预期信用损失计量的关键参数包括违约概率、违约损失率和违约风险敞口。本公司考</w:t>
      </w:r>
      <w:r w:rsidRPr="00980BC4">
        <w:rPr>
          <w:rFonts w:ascii="仿宋" w:eastAsia="仿宋" w:hAnsi="仿宋" w:cs="Times New Roman" w:hint="eastAsia"/>
          <w:sz w:val="28"/>
          <w:szCs w:val="28"/>
        </w:rPr>
        <w:lastRenderedPageBreak/>
        <w:t>虑历史统计数据</w:t>
      </w:r>
      <w:r w:rsidRPr="00980BC4">
        <w:rPr>
          <w:rFonts w:ascii="仿宋" w:eastAsia="仿宋" w:hAnsi="仿宋" w:cs="Times New Roman"/>
          <w:sz w:val="28"/>
          <w:szCs w:val="28"/>
        </w:rPr>
        <w:t>(</w:t>
      </w:r>
      <w:r w:rsidRPr="00980BC4">
        <w:rPr>
          <w:rFonts w:ascii="仿宋" w:eastAsia="仿宋" w:hAnsi="仿宋" w:cs="Times New Roman" w:hint="eastAsia"/>
          <w:sz w:val="28"/>
          <w:szCs w:val="28"/>
        </w:rPr>
        <w:t>如交易对手评级、担保方式及抵质押物类别、还款方式等</w:t>
      </w:r>
      <w:r w:rsidRPr="00980BC4">
        <w:rPr>
          <w:rFonts w:ascii="仿宋" w:eastAsia="仿宋" w:hAnsi="仿宋" w:cs="Times New Roman"/>
          <w:sz w:val="28"/>
          <w:szCs w:val="28"/>
        </w:rPr>
        <w:t>)</w:t>
      </w:r>
      <w:r w:rsidRPr="00980BC4">
        <w:rPr>
          <w:rFonts w:ascii="仿宋" w:eastAsia="仿宋" w:hAnsi="仿宋" w:cs="Times New Roman" w:hint="eastAsia"/>
          <w:sz w:val="28"/>
          <w:szCs w:val="28"/>
        </w:rPr>
        <w:t>的定量分析及前瞻性信息，建立违约概率、违约损失率及违约风险敞口模型。</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相关定义如下：</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违约概率是指债务人在未来</w:t>
      </w:r>
      <w:r w:rsidRPr="00980BC4">
        <w:rPr>
          <w:rFonts w:ascii="仿宋" w:eastAsia="仿宋" w:hAnsi="仿宋" w:cs="Times New Roman"/>
          <w:sz w:val="28"/>
          <w:szCs w:val="28"/>
        </w:rPr>
        <w:t xml:space="preserve"> 12</w:t>
      </w:r>
      <w:r w:rsidRPr="00980BC4">
        <w:rPr>
          <w:rFonts w:ascii="仿宋" w:eastAsia="仿宋" w:hAnsi="仿宋" w:cs="Times New Roman" w:hint="eastAsia"/>
          <w:sz w:val="28"/>
          <w:szCs w:val="28"/>
        </w:rPr>
        <w:t>个月或在整个剩余存续期，无法履行其偿付义务的可能性。</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违约损失率是指本公司对违约风险暴露发生损失程度作出的预期。根据交易对手的类型、追索的方式和优先级，以及担保品的不同，违约损失率也有所不同。违约损失率为违约发生时风险敞口损失的百分比，以未来</w:t>
      </w:r>
      <w:r w:rsidRPr="00980BC4">
        <w:rPr>
          <w:rFonts w:ascii="仿宋" w:eastAsia="仿宋" w:hAnsi="仿宋" w:cs="Times New Roman"/>
          <w:sz w:val="28"/>
          <w:szCs w:val="28"/>
        </w:rPr>
        <w:t>12</w:t>
      </w:r>
      <w:r w:rsidRPr="00980BC4">
        <w:rPr>
          <w:rFonts w:ascii="仿宋" w:eastAsia="仿宋" w:hAnsi="仿宋" w:cs="Times New Roman" w:hint="eastAsia"/>
          <w:sz w:val="28"/>
          <w:szCs w:val="28"/>
        </w:rPr>
        <w:t>个月内或整个存续期为基准进行计算；</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违约风险敞口是指，在未来</w:t>
      </w:r>
      <w:r w:rsidRPr="00980BC4">
        <w:rPr>
          <w:rFonts w:ascii="仿宋" w:eastAsia="仿宋" w:hAnsi="仿宋" w:cs="Times New Roman"/>
          <w:sz w:val="28"/>
          <w:szCs w:val="28"/>
        </w:rPr>
        <w:t xml:space="preserve"> 12 </w:t>
      </w:r>
      <w:r w:rsidRPr="00980BC4">
        <w:rPr>
          <w:rFonts w:ascii="仿宋" w:eastAsia="仿宋" w:hAnsi="仿宋" w:cs="Times New Roman" w:hint="eastAsia"/>
          <w:sz w:val="28"/>
          <w:szCs w:val="28"/>
        </w:rPr>
        <w:t>个月或在整个剩余存续期中，在违约发生时，本公司应被偿付的金额。前瞻性信息信用风险显著增加的评估及预期信用损失的计算均涉及前瞻性信息。本公司通过进行历史数据分析，识别出影响各业务类型信用风险及预期信用损失的关键经济指标。</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本公司所承受的最大信用风险敞口为资产负债表中每项金融资产的账面金额。本公司没有提供任何其他可能令本公司承受信用风险的担保。</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本公司应收账款中，前五大客户的应收账款占本公司应收账款总额的</w:t>
      </w:r>
      <w:r w:rsidRPr="00980BC4">
        <w:rPr>
          <w:rFonts w:ascii="仿宋" w:eastAsia="仿宋" w:hAnsi="仿宋" w:cs="Times New Roman"/>
          <w:sz w:val="28"/>
          <w:szCs w:val="28"/>
        </w:rPr>
        <w:t>73.98%</w:t>
      </w:r>
      <w:r w:rsidRPr="00980BC4">
        <w:rPr>
          <w:rFonts w:ascii="仿宋" w:eastAsia="仿宋" w:hAnsi="仿宋" w:cs="Times New Roman" w:hint="eastAsia"/>
          <w:sz w:val="28"/>
          <w:szCs w:val="28"/>
        </w:rPr>
        <w:t>（比较期：</w:t>
      </w:r>
      <w:r w:rsidRPr="00980BC4">
        <w:rPr>
          <w:rFonts w:ascii="仿宋" w:eastAsia="仿宋" w:hAnsi="仿宋" w:cs="Times New Roman"/>
          <w:sz w:val="28"/>
          <w:szCs w:val="28"/>
        </w:rPr>
        <w:t>82.19%</w:t>
      </w:r>
      <w:r w:rsidRPr="00980BC4">
        <w:rPr>
          <w:rFonts w:ascii="仿宋" w:eastAsia="仿宋" w:hAnsi="仿宋" w:cs="Times New Roman" w:hint="eastAsia"/>
          <w:sz w:val="28"/>
          <w:szCs w:val="28"/>
        </w:rPr>
        <w:t>）；本公司其他应收款中，欠款金额前五大公司的其他应收款占本公司其他应收款总额的</w:t>
      </w:r>
      <w:r w:rsidRPr="00980BC4">
        <w:rPr>
          <w:rFonts w:ascii="仿宋" w:eastAsia="仿宋" w:hAnsi="仿宋" w:cs="Times New Roman"/>
          <w:sz w:val="28"/>
          <w:szCs w:val="28"/>
        </w:rPr>
        <w:t>85.16%</w:t>
      </w:r>
      <w:r w:rsidRPr="00980BC4">
        <w:rPr>
          <w:rFonts w:ascii="仿宋" w:eastAsia="仿宋" w:hAnsi="仿宋" w:cs="Times New Roman" w:hint="eastAsia"/>
          <w:sz w:val="28"/>
          <w:szCs w:val="28"/>
        </w:rPr>
        <w:t>（比较：</w:t>
      </w:r>
      <w:r w:rsidRPr="00980BC4">
        <w:rPr>
          <w:rFonts w:ascii="仿宋" w:eastAsia="仿宋" w:hAnsi="仿宋" w:cs="Times New Roman"/>
          <w:sz w:val="28"/>
          <w:szCs w:val="28"/>
        </w:rPr>
        <w:t>86.21%</w:t>
      </w:r>
      <w:r w:rsidRPr="00980BC4">
        <w:rPr>
          <w:rFonts w:ascii="仿宋" w:eastAsia="仿宋" w:hAnsi="仿宋" w:cs="Times New Roman" w:hint="eastAsia"/>
          <w:sz w:val="28"/>
          <w:szCs w:val="28"/>
        </w:rPr>
        <w:t>）。</w:t>
      </w:r>
    </w:p>
    <w:p w:rsidR="00F67D6F" w:rsidRPr="00980BC4" w:rsidRDefault="00FA07A0" w:rsidP="00B7436F">
      <w:pPr>
        <w:widowControl/>
        <w:spacing w:line="540" w:lineRule="exact"/>
        <w:ind w:left="720"/>
        <w:divId w:val="969553885"/>
        <w:rPr>
          <w:rFonts w:ascii="仿宋" w:eastAsia="仿宋" w:hAnsi="仿宋" w:cs="宋体"/>
          <w:b/>
          <w:sz w:val="28"/>
          <w:szCs w:val="28"/>
        </w:rPr>
      </w:pPr>
      <w:r w:rsidRPr="00980BC4">
        <w:rPr>
          <w:rFonts w:ascii="仿宋" w:eastAsia="仿宋" w:hAnsi="仿宋" w:cs="Times New Roman" w:hint="eastAsia"/>
          <w:b/>
          <w:sz w:val="28"/>
          <w:szCs w:val="28"/>
        </w:rPr>
        <w:t>2、</w:t>
      </w:r>
      <w:r w:rsidR="00F67D6F" w:rsidRPr="00980BC4">
        <w:rPr>
          <w:rFonts w:ascii="仿宋" w:eastAsia="仿宋" w:hAnsi="仿宋" w:cs="Times New Roman" w:hint="eastAsia"/>
          <w:b/>
          <w:sz w:val="28"/>
          <w:szCs w:val="28"/>
        </w:rPr>
        <w:t>流动性风险</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流动性风险，是指企业在履行以交付现金或其他金融资产的方式结算的义务时发生资金短缺的风险。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rsidR="00476082" w:rsidRDefault="00FA07A0" w:rsidP="00476082">
      <w:pPr>
        <w:spacing w:line="540" w:lineRule="exact"/>
        <w:ind w:left="720"/>
        <w:divId w:val="969553885"/>
        <w:rPr>
          <w:rFonts w:ascii="仿宋" w:eastAsia="仿宋" w:hAnsi="仿宋" w:cs="Times New Roman"/>
          <w:b/>
          <w:sz w:val="28"/>
          <w:szCs w:val="28"/>
        </w:rPr>
      </w:pPr>
      <w:r w:rsidRPr="00980BC4">
        <w:rPr>
          <w:rFonts w:ascii="仿宋" w:eastAsia="仿宋" w:hAnsi="仿宋" w:cs="Times New Roman" w:hint="eastAsia"/>
          <w:b/>
          <w:sz w:val="28"/>
          <w:szCs w:val="28"/>
        </w:rPr>
        <w:t>3、</w:t>
      </w:r>
      <w:r w:rsidR="00F67D6F" w:rsidRPr="00980BC4">
        <w:rPr>
          <w:rFonts w:ascii="仿宋" w:eastAsia="仿宋" w:hAnsi="仿宋" w:cs="Times New Roman" w:hint="eastAsia"/>
          <w:b/>
          <w:sz w:val="28"/>
          <w:szCs w:val="28"/>
        </w:rPr>
        <w:t>市场风险</w:t>
      </w:r>
    </w:p>
    <w:p w:rsidR="00F67D6F" w:rsidRPr="00980BC4" w:rsidRDefault="00F67D6F" w:rsidP="00476082">
      <w:pPr>
        <w:spacing w:line="540" w:lineRule="exact"/>
        <w:ind w:left="720"/>
        <w:divId w:val="969553885"/>
        <w:rPr>
          <w:rFonts w:ascii="仿宋" w:eastAsia="仿宋" w:hAnsi="仿宋" w:cs="Times New Roman"/>
          <w:b/>
          <w:sz w:val="28"/>
          <w:szCs w:val="28"/>
        </w:rPr>
      </w:pPr>
      <w:r w:rsidRPr="00980BC4">
        <w:rPr>
          <w:rFonts w:ascii="仿宋" w:eastAsia="仿宋" w:hAnsi="仿宋" w:cs="Times New Roman" w:hint="eastAsia"/>
          <w:b/>
          <w:sz w:val="28"/>
          <w:szCs w:val="28"/>
        </w:rPr>
        <w:lastRenderedPageBreak/>
        <w:t>（</w:t>
      </w:r>
      <w:r w:rsidRPr="00980BC4">
        <w:rPr>
          <w:rFonts w:ascii="仿宋" w:eastAsia="仿宋" w:hAnsi="仿宋" w:cs="Times New Roman"/>
          <w:b/>
          <w:sz w:val="28"/>
          <w:szCs w:val="28"/>
        </w:rPr>
        <w:t>1</w:t>
      </w:r>
      <w:r w:rsidRPr="00980BC4">
        <w:rPr>
          <w:rFonts w:ascii="仿宋" w:eastAsia="仿宋" w:hAnsi="仿宋" w:cs="Times New Roman" w:hint="eastAsia"/>
          <w:b/>
          <w:sz w:val="28"/>
          <w:szCs w:val="28"/>
        </w:rPr>
        <w:t>）外汇风险</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外汇风险是指金融工具的公允价值或未来现金流量因外汇汇率变动而发生波动的风险。本公司目前无经常性经营业务涉及外币收入与外币支出。</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b/>
          <w:sz w:val="28"/>
          <w:szCs w:val="28"/>
        </w:rPr>
      </w:pPr>
      <w:r w:rsidRPr="00980BC4">
        <w:rPr>
          <w:rFonts w:ascii="仿宋" w:eastAsia="仿宋" w:hAnsi="仿宋" w:cs="Times New Roman" w:hint="eastAsia"/>
          <w:b/>
          <w:sz w:val="28"/>
          <w:szCs w:val="28"/>
        </w:rPr>
        <w:t>（</w:t>
      </w:r>
      <w:r w:rsidRPr="00980BC4">
        <w:rPr>
          <w:rFonts w:ascii="仿宋" w:eastAsia="仿宋" w:hAnsi="仿宋" w:cs="Times New Roman"/>
          <w:b/>
          <w:sz w:val="28"/>
          <w:szCs w:val="28"/>
        </w:rPr>
        <w:t>2</w:t>
      </w:r>
      <w:r w:rsidRPr="00980BC4">
        <w:rPr>
          <w:rFonts w:ascii="仿宋" w:eastAsia="仿宋" w:hAnsi="仿宋" w:cs="Times New Roman" w:hint="eastAsia"/>
          <w:b/>
          <w:sz w:val="28"/>
          <w:szCs w:val="28"/>
        </w:rPr>
        <w:t>）利率风险</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的利率风险主要产生于长期银行借款、应付债券等长期带息债务。浮动利率的金融负债使本公司面临现金流量利率风险，固定利率的金融负债使本公司面临公允价值利率风险。本公司根据当时的市场环境来决定固定利率及浮动利率合同的相对比例。</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截止</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31</w:t>
      </w:r>
      <w:r w:rsidRPr="00980BC4">
        <w:rPr>
          <w:rFonts w:ascii="仿宋" w:eastAsia="仿宋" w:hAnsi="仿宋" w:cs="Times New Roman" w:hint="eastAsia"/>
          <w:sz w:val="28"/>
          <w:szCs w:val="28"/>
        </w:rPr>
        <w:t>日，本公司无带息债务。</w:t>
      </w:r>
      <w:r w:rsidRPr="00980BC4">
        <w:rPr>
          <w:rStyle w:val="a5"/>
          <w:rFonts w:ascii="Times New Roman" w:eastAsia="仿宋" w:hAnsi="Times New Roman" w:cs="Times New Roman"/>
          <w:sz w:val="28"/>
          <w:szCs w:val="28"/>
        </w:rPr>
        <w:t> </w:t>
      </w:r>
    </w:p>
    <w:p w:rsidR="00F67D6F" w:rsidRPr="00980BC4" w:rsidRDefault="00F67D6F" w:rsidP="00B7436F">
      <w:pPr>
        <w:pStyle w:val="2"/>
        <w:spacing w:before="0" w:after="0" w:line="540" w:lineRule="exact"/>
        <w:ind w:firstLineChars="200" w:firstLine="562"/>
        <w:divId w:val="969553885"/>
        <w:rPr>
          <w:rFonts w:ascii="宋体" w:eastAsia="宋体" w:hAnsi="宋体" w:cs="宋体"/>
          <w:b/>
          <w:bCs/>
          <w:sz w:val="28"/>
          <w:szCs w:val="28"/>
        </w:rPr>
      </w:pPr>
      <w:bookmarkStart w:id="356" w:name="_Toc989246"/>
      <w:r w:rsidRPr="00980BC4">
        <w:rPr>
          <w:rFonts w:ascii="宋体" w:eastAsia="宋体" w:hAnsi="宋体" w:cs="宋体"/>
          <w:b/>
          <w:bCs/>
          <w:sz w:val="28"/>
          <w:szCs w:val="28"/>
        </w:rPr>
        <w:t>十一、公允价值的披露</w:t>
      </w:r>
      <w:bookmarkEnd w:id="356"/>
    </w:p>
    <w:p w:rsidR="00F67D6F" w:rsidRPr="00980BC4" w:rsidRDefault="00F67D6F" w:rsidP="00B7436F">
      <w:pPr>
        <w:pStyle w:val="a3"/>
        <w:spacing w:before="0" w:beforeAutospacing="0" w:after="0" w:afterAutospacing="0" w:line="540" w:lineRule="exact"/>
        <w:ind w:firstLine="480"/>
        <w:jc w:val="both"/>
        <w:divId w:val="969553885"/>
        <w:rPr>
          <w:rFonts w:ascii="仿宋" w:eastAsia="仿宋" w:hAnsi="仿宋" w:cs="Times New Roman"/>
          <w:b/>
          <w:sz w:val="28"/>
          <w:szCs w:val="28"/>
        </w:rPr>
      </w:pPr>
      <w:bookmarkStart w:id="357" w:name="_Toc989247"/>
      <w:r w:rsidRPr="00980BC4">
        <w:rPr>
          <w:rFonts w:ascii="仿宋" w:eastAsia="仿宋" w:hAnsi="仿宋" w:cs="Times New Roman"/>
          <w:b/>
          <w:sz w:val="28"/>
          <w:szCs w:val="28"/>
        </w:rPr>
        <w:t>1、以公允价值计量的资产和负债的期末公允价值</w:t>
      </w:r>
      <w:bookmarkEnd w:id="357"/>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660"/>
        <w:gridCol w:w="1559"/>
        <w:gridCol w:w="1985"/>
        <w:gridCol w:w="1701"/>
        <w:gridCol w:w="1734"/>
      </w:tblGrid>
      <w:tr w:rsidR="00F67D6F" w:rsidRPr="00980BC4" w:rsidTr="00FA07A0">
        <w:trPr>
          <w:divId w:val="969553885"/>
          <w:trHeight w:val="240"/>
        </w:trPr>
        <w:tc>
          <w:tcPr>
            <w:tcW w:w="26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697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期末公允价值</w:t>
            </w:r>
          </w:p>
        </w:tc>
      </w:tr>
      <w:tr w:rsidR="00F67D6F" w:rsidRPr="00980BC4" w:rsidTr="00FA07A0">
        <w:trPr>
          <w:divId w:val="969553885"/>
          <w:trHeight w:val="240"/>
        </w:trPr>
        <w:tc>
          <w:tcPr>
            <w:tcW w:w="266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line="280" w:lineRule="exact"/>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第一层次公允价值计量</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第二层次公允价值计量</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第三层次公允价值计量</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r>
      <w:tr w:rsidR="00F67D6F" w:rsidRPr="00980BC4" w:rsidTr="00FA07A0">
        <w:trPr>
          <w:divId w:val="969553885"/>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rPr>
                <w:rFonts w:ascii="宋体" w:eastAsia="宋体" w:hAnsi="宋体" w:cs="宋体"/>
                <w:sz w:val="18"/>
                <w:szCs w:val="18"/>
              </w:rPr>
            </w:pPr>
            <w:r w:rsidRPr="00980BC4">
              <w:rPr>
                <w:rFonts w:ascii="宋体" w:eastAsia="宋体" w:hAnsi="宋体" w:cs="宋体"/>
                <w:sz w:val="18"/>
                <w:szCs w:val="18"/>
              </w:rPr>
              <w:t>一、持续的公允价值计量</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r>
      <w:tr w:rsidR="00F67D6F" w:rsidRPr="00980BC4" w:rsidTr="00FA07A0">
        <w:trPr>
          <w:divId w:val="969553885"/>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rPr>
                <w:rFonts w:ascii="宋体" w:eastAsia="宋体" w:hAnsi="宋体" w:cs="宋体"/>
                <w:sz w:val="18"/>
                <w:szCs w:val="18"/>
              </w:rPr>
            </w:pPr>
            <w:r w:rsidRPr="00980BC4">
              <w:rPr>
                <w:rFonts w:ascii="宋体" w:eastAsia="宋体" w:hAnsi="宋体" w:cs="宋体"/>
                <w:sz w:val="18"/>
                <w:szCs w:val="18"/>
              </w:rPr>
              <w:t>（一）交易性金融资产</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434.00</w:t>
            </w:r>
          </w:p>
        </w:tc>
        <w:tc>
          <w:tcPr>
            <w:tcW w:w="19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434.00</w:t>
            </w:r>
          </w:p>
        </w:tc>
      </w:tr>
      <w:tr w:rsidR="00F67D6F" w:rsidRPr="00980BC4" w:rsidTr="00FA07A0">
        <w:trPr>
          <w:divId w:val="969553885"/>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rPr>
                <w:rFonts w:ascii="宋体" w:eastAsia="宋体" w:hAnsi="宋体" w:cs="宋体"/>
                <w:sz w:val="18"/>
                <w:szCs w:val="18"/>
              </w:rPr>
            </w:pPr>
            <w:r w:rsidRPr="00980BC4">
              <w:rPr>
                <w:rFonts w:ascii="宋体" w:eastAsia="宋体" w:hAnsi="宋体" w:cs="宋体"/>
                <w:sz w:val="18"/>
                <w:szCs w:val="18"/>
              </w:rPr>
              <w:t>1.以公允价值计量且其变动计入当期损益的金融资产</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434.00</w:t>
            </w:r>
          </w:p>
        </w:tc>
        <w:tc>
          <w:tcPr>
            <w:tcW w:w="19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434.00</w:t>
            </w:r>
          </w:p>
        </w:tc>
      </w:tr>
      <w:tr w:rsidR="00F67D6F" w:rsidRPr="00980BC4" w:rsidTr="00FA07A0">
        <w:trPr>
          <w:divId w:val="969553885"/>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rPr>
                <w:rFonts w:ascii="宋体" w:eastAsia="宋体" w:hAnsi="宋体" w:cs="宋体"/>
                <w:sz w:val="18"/>
                <w:szCs w:val="18"/>
              </w:rPr>
            </w:pPr>
            <w:r w:rsidRPr="00980BC4">
              <w:rPr>
                <w:rFonts w:ascii="宋体" w:eastAsia="宋体" w:hAnsi="宋体" w:cs="宋体"/>
                <w:sz w:val="18"/>
                <w:szCs w:val="18"/>
              </w:rPr>
              <w:t>（2）权益工具投资</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434.00</w:t>
            </w:r>
          </w:p>
        </w:tc>
        <w:tc>
          <w:tcPr>
            <w:tcW w:w="19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434.00</w:t>
            </w:r>
          </w:p>
        </w:tc>
      </w:tr>
      <w:tr w:rsidR="00F67D6F" w:rsidRPr="00980BC4" w:rsidTr="00FA07A0">
        <w:trPr>
          <w:divId w:val="969553885"/>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rPr>
                <w:rFonts w:ascii="宋体" w:eastAsia="宋体" w:hAnsi="宋体" w:cs="宋体"/>
                <w:sz w:val="18"/>
                <w:szCs w:val="18"/>
              </w:rPr>
            </w:pPr>
            <w:r w:rsidRPr="00980BC4">
              <w:rPr>
                <w:rFonts w:ascii="宋体" w:eastAsia="宋体" w:hAnsi="宋体" w:cs="宋体"/>
                <w:sz w:val="18"/>
                <w:szCs w:val="18"/>
              </w:rPr>
              <w:t>2.指定以公允价值计量且其变动计入当期损益的金融资产</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292,231,057.07</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292,231,057.07</w:t>
            </w:r>
          </w:p>
        </w:tc>
      </w:tr>
      <w:tr w:rsidR="00F67D6F" w:rsidRPr="00980BC4" w:rsidTr="00FA07A0">
        <w:trPr>
          <w:divId w:val="969553885"/>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A7691">
            <w:pPr>
              <w:spacing w:before="40" w:after="40" w:line="280" w:lineRule="exact"/>
              <w:rPr>
                <w:rFonts w:ascii="宋体" w:eastAsia="宋体" w:hAnsi="宋体" w:cs="宋体"/>
                <w:sz w:val="18"/>
                <w:szCs w:val="18"/>
              </w:rPr>
            </w:pPr>
            <w:r w:rsidRPr="00980BC4">
              <w:rPr>
                <w:rFonts w:ascii="宋体" w:eastAsia="宋体" w:hAnsi="宋体" w:cs="宋体"/>
                <w:sz w:val="18"/>
                <w:szCs w:val="18"/>
              </w:rPr>
              <w:t>（</w:t>
            </w:r>
            <w:r w:rsidR="008A7691">
              <w:rPr>
                <w:rFonts w:ascii="宋体" w:eastAsia="宋体" w:hAnsi="宋体" w:cs="宋体" w:hint="eastAsia"/>
                <w:sz w:val="18"/>
                <w:szCs w:val="18"/>
              </w:rPr>
              <w:t>2</w:t>
            </w:r>
            <w:r w:rsidRPr="00980BC4">
              <w:rPr>
                <w:rFonts w:ascii="宋体" w:eastAsia="宋体" w:hAnsi="宋体" w:cs="宋体"/>
                <w:sz w:val="18"/>
                <w:szCs w:val="18"/>
              </w:rPr>
              <w:t>）</w:t>
            </w:r>
            <w:r w:rsidR="008A7691">
              <w:rPr>
                <w:rFonts w:ascii="宋体" w:eastAsia="宋体" w:hAnsi="宋体" w:cs="宋体" w:hint="eastAsia"/>
                <w:sz w:val="18"/>
                <w:szCs w:val="18"/>
              </w:rPr>
              <w:t>权益</w:t>
            </w:r>
            <w:r w:rsidRPr="00980BC4">
              <w:rPr>
                <w:rFonts w:ascii="宋体" w:eastAsia="宋体" w:hAnsi="宋体" w:cs="宋体"/>
                <w:sz w:val="18"/>
                <w:szCs w:val="18"/>
              </w:rPr>
              <w:t>工具投资</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292,231,057.07</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292,231,057.07</w:t>
            </w:r>
          </w:p>
        </w:tc>
      </w:tr>
      <w:tr w:rsidR="00F67D6F" w:rsidRPr="00980BC4" w:rsidTr="00FA07A0">
        <w:trPr>
          <w:divId w:val="969553885"/>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rPr>
                <w:rFonts w:ascii="宋体" w:eastAsia="宋体" w:hAnsi="宋体" w:cs="宋体"/>
                <w:sz w:val="18"/>
                <w:szCs w:val="18"/>
              </w:rPr>
            </w:pPr>
            <w:r w:rsidRPr="00980BC4">
              <w:rPr>
                <w:rFonts w:ascii="宋体" w:eastAsia="宋体" w:hAnsi="宋体" w:cs="宋体"/>
                <w:sz w:val="18"/>
                <w:szCs w:val="18"/>
              </w:rPr>
              <w:t>（三）其他权益工具投资</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22,000,000.00</w:t>
            </w:r>
          </w:p>
        </w:tc>
        <w:tc>
          <w:tcPr>
            <w:tcW w:w="17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22,000,000.00</w:t>
            </w:r>
          </w:p>
        </w:tc>
      </w:tr>
      <w:tr w:rsidR="00F67D6F" w:rsidRPr="00980BC4" w:rsidTr="00FA07A0">
        <w:trPr>
          <w:divId w:val="969553885"/>
          <w:trHeight w:val="240"/>
        </w:trPr>
        <w:tc>
          <w:tcPr>
            <w:tcW w:w="26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rPr>
                <w:rFonts w:ascii="宋体" w:eastAsia="宋体" w:hAnsi="宋体" w:cs="宋体"/>
                <w:sz w:val="18"/>
                <w:szCs w:val="18"/>
              </w:rPr>
            </w:pPr>
            <w:r w:rsidRPr="00980BC4">
              <w:rPr>
                <w:rFonts w:ascii="宋体" w:eastAsia="宋体" w:hAnsi="宋体" w:cs="宋体"/>
                <w:sz w:val="18"/>
                <w:szCs w:val="18"/>
              </w:rPr>
              <w:t>）</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p>
        </w:tc>
      </w:tr>
      <w:tr w:rsidR="00F67D6F" w:rsidRPr="00980BC4" w:rsidTr="00FA07A0">
        <w:trPr>
          <w:divId w:val="969553885"/>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rPr>
                <w:rFonts w:ascii="宋体" w:eastAsia="宋体" w:hAnsi="宋体" w:cs="宋体"/>
                <w:sz w:val="18"/>
                <w:szCs w:val="18"/>
              </w:rPr>
            </w:pPr>
            <w:r w:rsidRPr="00980BC4">
              <w:rPr>
                <w:rFonts w:ascii="宋体" w:eastAsia="宋体" w:hAnsi="宋体" w:cs="宋体"/>
                <w:sz w:val="18"/>
                <w:szCs w:val="18"/>
              </w:rPr>
              <w:t>持续以公允价值计量的资产总额</w:t>
            </w:r>
          </w:p>
        </w:tc>
        <w:tc>
          <w:tcPr>
            <w:tcW w:w="1559"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434.00</w:t>
            </w:r>
          </w:p>
        </w:tc>
        <w:tc>
          <w:tcPr>
            <w:tcW w:w="198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292,231,057.07</w:t>
            </w:r>
          </w:p>
        </w:tc>
        <w:tc>
          <w:tcPr>
            <w:tcW w:w="170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22,000,000.00</w:t>
            </w:r>
          </w:p>
        </w:tc>
        <w:tc>
          <w:tcPr>
            <w:tcW w:w="173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FA07A0">
            <w:pPr>
              <w:spacing w:line="280" w:lineRule="exact"/>
              <w:jc w:val="right"/>
              <w:rPr>
                <w:rFonts w:ascii="宋体" w:eastAsia="宋体" w:hAnsi="宋体" w:cs="宋体"/>
                <w:sz w:val="18"/>
                <w:szCs w:val="18"/>
              </w:rPr>
            </w:pPr>
            <w:r w:rsidRPr="00980BC4">
              <w:rPr>
                <w:rFonts w:ascii="宋体" w:eastAsia="宋体" w:hAnsi="宋体" w:cs="宋体"/>
                <w:sz w:val="18"/>
                <w:szCs w:val="18"/>
              </w:rPr>
              <w:t>314,231,491.07</w:t>
            </w:r>
          </w:p>
        </w:tc>
      </w:tr>
      <w:tr w:rsidR="00F67D6F" w:rsidRPr="00980BC4" w:rsidTr="00FA07A0">
        <w:trPr>
          <w:divId w:val="969553885"/>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rPr>
                <w:rFonts w:ascii="宋体" w:eastAsia="宋体" w:hAnsi="宋体" w:cs="宋体"/>
                <w:sz w:val="18"/>
                <w:szCs w:val="18"/>
              </w:rPr>
            </w:pPr>
            <w:r w:rsidRPr="00980BC4">
              <w:rPr>
                <w:rFonts w:ascii="宋体" w:eastAsia="宋体" w:hAnsi="宋体" w:cs="宋体"/>
                <w:sz w:val="18"/>
                <w:szCs w:val="18"/>
              </w:rPr>
              <w:t>二、非持续的公允价值计量</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FA07A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r>
    </w:tbl>
    <w:p w:rsidR="00F67D6F" w:rsidRPr="00980BC4" w:rsidRDefault="00F67D6F" w:rsidP="00100EA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58" w:name="_Toc989248"/>
      <w:r w:rsidRPr="00980BC4">
        <w:rPr>
          <w:rFonts w:ascii="仿宋" w:eastAsia="仿宋" w:hAnsi="仿宋" w:cs="Times New Roman"/>
          <w:b/>
          <w:sz w:val="28"/>
          <w:szCs w:val="28"/>
        </w:rPr>
        <w:lastRenderedPageBreak/>
        <w:t>2、持续和非持续第一层次公允价值计量项目市价的确定依据</w:t>
      </w:r>
      <w:bookmarkEnd w:id="358"/>
    </w:p>
    <w:p w:rsidR="00F67D6F" w:rsidRPr="00980BC4" w:rsidRDefault="00F67D6F" w:rsidP="00100EA8">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公司的交易性金融资产-证券投资在每一报告年末以公允价值计量。持续第一层次公允价值计量项目市价的确定依据为资产负债表日的收盘价。</w:t>
      </w:r>
    </w:p>
    <w:p w:rsidR="00F67D6F" w:rsidRPr="00980BC4" w:rsidRDefault="00F67D6F" w:rsidP="00100EA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59" w:name="_Toc989249"/>
      <w:r w:rsidRPr="00980BC4">
        <w:rPr>
          <w:rFonts w:ascii="仿宋" w:eastAsia="仿宋" w:hAnsi="仿宋" w:cs="Times New Roman"/>
          <w:b/>
          <w:sz w:val="28"/>
          <w:szCs w:val="28"/>
        </w:rPr>
        <w:t>3、持续和非持续第二层次公允价值计量项目，采用的估值技术和重要参数的定性及定量信息</w:t>
      </w:r>
      <w:bookmarkEnd w:id="359"/>
    </w:p>
    <w:p w:rsidR="00F67D6F" w:rsidRPr="00980BC4" w:rsidRDefault="00F67D6F" w:rsidP="00100EA8">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公司的交易性金融资产-理财产品、其他流动资产-结构性存款在每一报告年末以公允价值计量。持续第二层次公允价值计量项目市价的确定依据：交易性金融资产-理财产品根据产品官网发布的产品净值或到期收益率计算收益确定。其他流动资产-结构性存款在本金基础上根据Bloomberg公布的观察日即期汇率及其所属区间对应的收益率或观察期内即期汇率的波动情况对应的收益率确定。</w:t>
      </w:r>
    </w:p>
    <w:p w:rsidR="00F67D6F" w:rsidRPr="00980BC4" w:rsidRDefault="00F67D6F" w:rsidP="00100EA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60" w:name="_Toc989250"/>
      <w:r w:rsidRPr="00980BC4">
        <w:rPr>
          <w:rFonts w:ascii="仿宋" w:eastAsia="仿宋" w:hAnsi="仿宋" w:cs="Times New Roman"/>
          <w:b/>
          <w:sz w:val="28"/>
          <w:szCs w:val="28"/>
        </w:rPr>
        <w:t>4、持续和非持续第三层次公允价值计量项目，采用的估值技术和重要参数的定性及定量信息</w:t>
      </w:r>
      <w:bookmarkEnd w:id="360"/>
    </w:p>
    <w:p w:rsidR="00100EA8" w:rsidRPr="00980BC4" w:rsidRDefault="00F67D6F" w:rsidP="00100EA8">
      <w:pPr>
        <w:pStyle w:val="a3"/>
        <w:widowControl w:val="0"/>
        <w:spacing w:before="0" w:beforeAutospacing="0" w:after="0" w:afterAutospacing="0" w:line="560" w:lineRule="exact"/>
        <w:ind w:firstLine="482"/>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以摊余成本计量的金融资产和金融负债主要包括：应收票据、应收账款、其他应收款、长期应收款、应付票据、应付账款、其他应付款、长期应付款等。上述不以公允价值计量的金融资产和金融负债的账面价值与公允价值相差很小。</w:t>
      </w:r>
      <w:bookmarkStart w:id="361" w:name="_Toc989251"/>
    </w:p>
    <w:p w:rsidR="00100EA8" w:rsidRPr="00980BC4" w:rsidRDefault="00F67D6F" w:rsidP="00100EA8">
      <w:pPr>
        <w:pStyle w:val="a3"/>
        <w:widowControl w:val="0"/>
        <w:spacing w:before="0" w:beforeAutospacing="0" w:after="0" w:afterAutospacing="0" w:line="560" w:lineRule="exact"/>
        <w:ind w:firstLine="482"/>
        <w:jc w:val="both"/>
        <w:divId w:val="969553885"/>
        <w:rPr>
          <w:b/>
          <w:bCs/>
          <w:sz w:val="28"/>
          <w:szCs w:val="28"/>
        </w:rPr>
      </w:pPr>
      <w:r w:rsidRPr="00980BC4">
        <w:rPr>
          <w:b/>
          <w:bCs/>
          <w:sz w:val="28"/>
          <w:szCs w:val="28"/>
        </w:rPr>
        <w:t>十二、关联方及关联交易</w:t>
      </w:r>
      <w:bookmarkStart w:id="362" w:name="_Toc989252"/>
      <w:bookmarkEnd w:id="361"/>
    </w:p>
    <w:p w:rsidR="00100EA8" w:rsidRPr="00980BC4" w:rsidRDefault="00F67D6F" w:rsidP="00100EA8">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1、本企业的母公司情况</w:t>
      </w:r>
      <w:bookmarkEnd w:id="36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6"/>
        <w:gridCol w:w="1606"/>
        <w:gridCol w:w="1606"/>
        <w:gridCol w:w="1607"/>
        <w:gridCol w:w="1607"/>
        <w:gridCol w:w="1607"/>
      </w:tblGrid>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00EA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00EA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00EA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00EA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00EA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00EA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母公司对本企业的表决权比例</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00EA8">
            <w:pPr>
              <w:spacing w:line="280" w:lineRule="exact"/>
              <w:rPr>
                <w:rFonts w:ascii="宋体" w:eastAsia="宋体" w:hAnsi="宋体" w:cs="宋体"/>
                <w:sz w:val="18"/>
                <w:szCs w:val="18"/>
              </w:rPr>
            </w:pPr>
            <w:r w:rsidRPr="00980BC4">
              <w:rPr>
                <w:rFonts w:ascii="宋体" w:eastAsia="宋体" w:hAnsi="宋体" w:cs="宋体"/>
                <w:sz w:val="18"/>
                <w:szCs w:val="18"/>
              </w:rPr>
              <w:t>德力西集团有限公司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00EA8">
            <w:pPr>
              <w:spacing w:line="280" w:lineRule="exact"/>
              <w:rPr>
                <w:rFonts w:ascii="宋体" w:eastAsia="宋体" w:hAnsi="宋体" w:cs="宋体"/>
                <w:sz w:val="18"/>
                <w:szCs w:val="18"/>
              </w:rPr>
            </w:pPr>
            <w:r w:rsidRPr="00980BC4">
              <w:rPr>
                <w:rFonts w:ascii="宋体" w:eastAsia="宋体" w:hAnsi="宋体" w:cs="宋体"/>
                <w:sz w:val="18"/>
                <w:szCs w:val="18"/>
              </w:rPr>
              <w:t>浙江省乐清市</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00EA8">
            <w:pPr>
              <w:spacing w:line="280" w:lineRule="exact"/>
              <w:rPr>
                <w:rFonts w:ascii="宋体" w:eastAsia="宋体" w:hAnsi="宋体" w:cs="宋体"/>
                <w:sz w:val="18"/>
                <w:szCs w:val="18"/>
              </w:rPr>
            </w:pPr>
            <w:r w:rsidRPr="00980BC4">
              <w:rPr>
                <w:rFonts w:ascii="宋体" w:eastAsia="宋体" w:hAnsi="宋体" w:cs="宋体"/>
                <w:sz w:val="18"/>
                <w:szCs w:val="18"/>
              </w:rPr>
              <w:t>工业</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00EA8">
            <w:pPr>
              <w:spacing w:line="280" w:lineRule="exact"/>
              <w:rPr>
                <w:rFonts w:ascii="宋体" w:eastAsia="宋体" w:hAnsi="宋体" w:cs="宋体"/>
                <w:sz w:val="18"/>
                <w:szCs w:val="18"/>
              </w:rPr>
            </w:pPr>
            <w:r w:rsidRPr="00980BC4">
              <w:rPr>
                <w:rFonts w:ascii="宋体" w:eastAsia="宋体" w:hAnsi="宋体" w:cs="宋体"/>
                <w:sz w:val="18"/>
                <w:szCs w:val="18"/>
              </w:rPr>
              <w:t>15 亿元</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00EA8">
            <w:pPr>
              <w:spacing w:line="280" w:lineRule="exact"/>
              <w:jc w:val="right"/>
              <w:rPr>
                <w:rFonts w:ascii="宋体" w:eastAsia="宋体" w:hAnsi="宋体" w:cs="宋体"/>
                <w:sz w:val="18"/>
                <w:szCs w:val="18"/>
              </w:rPr>
            </w:pPr>
            <w:r w:rsidRPr="00980BC4">
              <w:rPr>
                <w:rFonts w:ascii="宋体" w:eastAsia="宋体" w:hAnsi="宋体" w:cs="宋体"/>
                <w:sz w:val="18"/>
                <w:szCs w:val="18"/>
              </w:rPr>
              <w:t>41.77%</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00EA8">
            <w:pPr>
              <w:spacing w:line="280" w:lineRule="exact"/>
              <w:jc w:val="right"/>
              <w:rPr>
                <w:rFonts w:ascii="宋体" w:eastAsia="宋体" w:hAnsi="宋体" w:cs="宋体"/>
                <w:sz w:val="18"/>
                <w:szCs w:val="18"/>
              </w:rPr>
            </w:pPr>
            <w:r w:rsidRPr="00980BC4">
              <w:rPr>
                <w:rFonts w:ascii="宋体" w:eastAsia="宋体" w:hAnsi="宋体" w:cs="宋体"/>
                <w:sz w:val="18"/>
                <w:szCs w:val="18"/>
              </w:rPr>
              <w:t>41.77%</w:t>
            </w:r>
          </w:p>
        </w:tc>
      </w:tr>
    </w:tbl>
    <w:p w:rsidR="00476082" w:rsidRDefault="00F67D6F" w:rsidP="00476082">
      <w:pPr>
        <w:pStyle w:val="a3"/>
        <w:widowControl w:val="0"/>
        <w:spacing w:before="0" w:beforeAutospacing="0" w:after="0" w:afterAutospacing="0" w:line="54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t>本企业的母公司情况的说明</w:t>
      </w:r>
    </w:p>
    <w:p w:rsidR="00F67D6F" w:rsidRPr="00980BC4" w:rsidRDefault="00F67D6F" w:rsidP="00476082">
      <w:pPr>
        <w:pStyle w:val="a3"/>
        <w:widowControl w:val="0"/>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本公司最终控制方：胡成中先生持有德力西集团有限公司54.10%的股份，通过德力西集团有限公司间接控制公司41.77%的股权，直接持有公司1.43%</w:t>
      </w:r>
      <w:r w:rsidRPr="00980BC4">
        <w:rPr>
          <w:rFonts w:ascii="仿宋" w:eastAsia="仿宋" w:hAnsi="仿宋" w:cs="Times New Roman" w:hint="eastAsia"/>
          <w:sz w:val="28"/>
          <w:szCs w:val="28"/>
        </w:rPr>
        <w:lastRenderedPageBreak/>
        <w:t>的股权，为公司的实际控制人。</w:t>
      </w:r>
    </w:p>
    <w:p w:rsidR="00F67D6F" w:rsidRPr="00980BC4" w:rsidRDefault="00F67D6F" w:rsidP="0099782F">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sz w:val="28"/>
          <w:szCs w:val="28"/>
        </w:rPr>
        <w:t>本企业最终控制方是胡成中。</w:t>
      </w:r>
    </w:p>
    <w:p w:rsidR="00F67D6F" w:rsidRPr="00980BC4" w:rsidRDefault="00F67D6F" w:rsidP="0099782F">
      <w:pPr>
        <w:pStyle w:val="a3"/>
        <w:spacing w:before="0" w:beforeAutospacing="0" w:after="0" w:afterAutospacing="0" w:line="540" w:lineRule="exact"/>
        <w:ind w:firstLine="482"/>
        <w:jc w:val="both"/>
        <w:divId w:val="969553885"/>
        <w:rPr>
          <w:rFonts w:ascii="仿宋" w:eastAsia="仿宋" w:hAnsi="仿宋" w:cs="Times New Roman"/>
          <w:b/>
          <w:sz w:val="28"/>
          <w:szCs w:val="28"/>
        </w:rPr>
      </w:pPr>
      <w:bookmarkStart w:id="363" w:name="_Toc989253"/>
      <w:r w:rsidRPr="00980BC4">
        <w:rPr>
          <w:rFonts w:ascii="仿宋" w:eastAsia="仿宋" w:hAnsi="仿宋" w:cs="Times New Roman"/>
          <w:b/>
          <w:sz w:val="28"/>
          <w:szCs w:val="28"/>
        </w:rPr>
        <w:t>2、本企业的子公司情况</w:t>
      </w:r>
      <w:bookmarkEnd w:id="363"/>
    </w:p>
    <w:p w:rsidR="00F67D6F" w:rsidRPr="00980BC4" w:rsidRDefault="00F67D6F" w:rsidP="0099782F">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sz w:val="28"/>
          <w:szCs w:val="28"/>
        </w:rPr>
        <w:t>本企业子公司的情况详见附注九、在其他主体中的权益。</w:t>
      </w:r>
    </w:p>
    <w:p w:rsidR="00F67D6F" w:rsidRPr="00980BC4" w:rsidRDefault="00F67D6F" w:rsidP="0099782F">
      <w:pPr>
        <w:pStyle w:val="a3"/>
        <w:spacing w:before="0" w:beforeAutospacing="0" w:after="0" w:afterAutospacing="0" w:line="540" w:lineRule="exact"/>
        <w:ind w:firstLine="482"/>
        <w:jc w:val="both"/>
        <w:divId w:val="969553885"/>
        <w:rPr>
          <w:rFonts w:ascii="仿宋" w:eastAsia="仿宋" w:hAnsi="仿宋" w:cs="Times New Roman"/>
          <w:b/>
          <w:sz w:val="28"/>
          <w:szCs w:val="28"/>
        </w:rPr>
      </w:pPr>
      <w:bookmarkStart w:id="364" w:name="_Toc989254"/>
      <w:r w:rsidRPr="00980BC4">
        <w:rPr>
          <w:rFonts w:ascii="仿宋" w:eastAsia="仿宋" w:hAnsi="仿宋" w:cs="Times New Roman"/>
          <w:b/>
          <w:sz w:val="28"/>
          <w:szCs w:val="28"/>
        </w:rPr>
        <w:t>3、本企业合营和联营企业情况</w:t>
      </w:r>
      <w:bookmarkEnd w:id="364"/>
    </w:p>
    <w:p w:rsidR="00F67D6F" w:rsidRPr="00980BC4" w:rsidRDefault="00F67D6F" w:rsidP="0099782F">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sz w:val="28"/>
          <w:szCs w:val="28"/>
        </w:rPr>
        <w:t>本企业重要的合营或联营企业详见附注九、在其他主体中的权益。</w:t>
      </w:r>
    </w:p>
    <w:p w:rsidR="00F67D6F" w:rsidRPr="00980BC4" w:rsidRDefault="00F67D6F" w:rsidP="0099782F">
      <w:pPr>
        <w:pStyle w:val="a3"/>
        <w:spacing w:before="0" w:beforeAutospacing="0" w:after="0" w:afterAutospacing="0" w:line="54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t>本期与本公司发生关联方交易，或前期与本公司发生关联方交易形成余额的其他合营或联营企业情况如下：</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合营或联营企业名称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与本企业关系</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320" w:lineRule="exact"/>
              <w:rPr>
                <w:rFonts w:ascii="宋体" w:eastAsia="宋体" w:hAnsi="宋体" w:cs="宋体"/>
                <w:sz w:val="18"/>
                <w:szCs w:val="18"/>
              </w:rPr>
            </w:pPr>
            <w:r w:rsidRPr="00980BC4">
              <w:rPr>
                <w:rFonts w:ascii="宋体" w:eastAsia="宋体" w:hAnsi="宋体" w:cs="宋体"/>
                <w:sz w:val="18"/>
                <w:szCs w:val="18"/>
              </w:rPr>
              <w:t>苏州锴威特半导体股份有限公司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320" w:lineRule="exact"/>
              <w:rPr>
                <w:rFonts w:ascii="宋体" w:eastAsia="宋体" w:hAnsi="宋体" w:cs="宋体"/>
                <w:sz w:val="18"/>
                <w:szCs w:val="18"/>
              </w:rPr>
            </w:pPr>
            <w:r w:rsidRPr="00980BC4">
              <w:rPr>
                <w:rFonts w:ascii="宋体" w:eastAsia="宋体" w:hAnsi="宋体" w:cs="宋体"/>
                <w:sz w:val="18"/>
                <w:szCs w:val="18"/>
              </w:rPr>
              <w:t>联营企业</w:t>
            </w:r>
          </w:p>
        </w:tc>
      </w:tr>
    </w:tbl>
    <w:p w:rsidR="00F67D6F" w:rsidRPr="00980BC4" w:rsidRDefault="00F67D6F" w:rsidP="005D527D">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65" w:name="_Toc989255"/>
      <w:r w:rsidRPr="00980BC4">
        <w:rPr>
          <w:rFonts w:ascii="仿宋" w:eastAsia="仿宋" w:hAnsi="仿宋" w:cs="Times New Roman"/>
          <w:b/>
          <w:sz w:val="28"/>
          <w:szCs w:val="28"/>
        </w:rPr>
        <w:t>4、其他关联方情况</w:t>
      </w:r>
      <w:bookmarkEnd w:id="36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其他关联方与本企业关系</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300" w:lineRule="exact"/>
              <w:rPr>
                <w:rFonts w:ascii="宋体" w:eastAsia="宋体" w:hAnsi="宋体" w:cs="宋体"/>
                <w:sz w:val="18"/>
                <w:szCs w:val="18"/>
              </w:rPr>
            </w:pPr>
            <w:r w:rsidRPr="00980BC4">
              <w:rPr>
                <w:rFonts w:ascii="宋体" w:eastAsia="宋体" w:hAnsi="宋体" w:cs="宋体"/>
                <w:sz w:val="18"/>
                <w:szCs w:val="18"/>
              </w:rPr>
              <w:t>中国德力西控股集团有限公司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624C13" w:rsidP="005D527D">
            <w:pPr>
              <w:spacing w:line="300" w:lineRule="exact"/>
              <w:rPr>
                <w:rFonts w:ascii="宋体" w:eastAsia="宋体" w:hAnsi="宋体" w:cs="宋体"/>
                <w:sz w:val="18"/>
                <w:szCs w:val="18"/>
              </w:rPr>
            </w:pPr>
            <w:r w:rsidRPr="00A5231C">
              <w:rPr>
                <w:rFonts w:ascii="宋体" w:eastAsia="宋体" w:hAnsi="宋体" w:cs="宋体" w:hint="eastAsia"/>
                <w:sz w:val="18"/>
                <w:szCs w:val="18"/>
              </w:rPr>
              <w:t>本公司的控股股东控制公司</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300" w:lineRule="exact"/>
              <w:rPr>
                <w:rFonts w:ascii="宋体" w:eastAsia="宋体" w:hAnsi="宋体" w:cs="宋体"/>
                <w:sz w:val="18"/>
                <w:szCs w:val="18"/>
              </w:rPr>
            </w:pPr>
            <w:r w:rsidRPr="00980BC4">
              <w:rPr>
                <w:rFonts w:ascii="宋体" w:eastAsia="宋体" w:hAnsi="宋体" w:cs="宋体"/>
                <w:sz w:val="18"/>
                <w:szCs w:val="18"/>
              </w:rPr>
              <w:t>苏州锴威特半导体股份有限公司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300" w:lineRule="exact"/>
              <w:rPr>
                <w:rFonts w:ascii="宋体" w:eastAsia="宋体" w:hAnsi="宋体" w:cs="宋体"/>
                <w:sz w:val="18"/>
                <w:szCs w:val="18"/>
              </w:rPr>
            </w:pPr>
            <w:r w:rsidRPr="00980BC4">
              <w:rPr>
                <w:rFonts w:ascii="宋体" w:eastAsia="宋体" w:hAnsi="宋体" w:cs="宋体"/>
                <w:sz w:val="18"/>
                <w:szCs w:val="18"/>
              </w:rPr>
              <w:t>本公司联营公司</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300" w:lineRule="exact"/>
              <w:rPr>
                <w:rFonts w:ascii="宋体" w:eastAsia="宋体" w:hAnsi="宋体" w:cs="宋体"/>
                <w:sz w:val="18"/>
                <w:szCs w:val="18"/>
              </w:rPr>
            </w:pPr>
            <w:r w:rsidRPr="00980BC4">
              <w:rPr>
                <w:rFonts w:ascii="宋体" w:eastAsia="宋体" w:hAnsi="宋体" w:cs="宋体"/>
                <w:sz w:val="18"/>
                <w:szCs w:val="18"/>
              </w:rPr>
              <w:t>四川升华巨能科技有限公司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300" w:lineRule="exact"/>
              <w:rPr>
                <w:rFonts w:ascii="宋体" w:eastAsia="宋体" w:hAnsi="宋体" w:cs="宋体"/>
                <w:sz w:val="18"/>
                <w:szCs w:val="18"/>
              </w:rPr>
            </w:pPr>
            <w:r w:rsidRPr="00980BC4">
              <w:rPr>
                <w:rFonts w:ascii="宋体" w:eastAsia="宋体" w:hAnsi="宋体" w:cs="宋体"/>
                <w:sz w:val="18"/>
                <w:szCs w:val="18"/>
              </w:rPr>
              <w:t>本公司董事控股公司</w:t>
            </w:r>
          </w:p>
        </w:tc>
      </w:tr>
    </w:tbl>
    <w:p w:rsidR="00F67D6F" w:rsidRPr="00980BC4" w:rsidRDefault="00F67D6F" w:rsidP="005D527D">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66" w:name="_Toc989256"/>
      <w:r w:rsidRPr="00980BC4">
        <w:rPr>
          <w:rFonts w:ascii="仿宋" w:eastAsia="仿宋" w:hAnsi="仿宋" w:cs="Times New Roman"/>
          <w:b/>
          <w:sz w:val="28"/>
          <w:szCs w:val="28"/>
        </w:rPr>
        <w:t>5、关联交易情况</w:t>
      </w:r>
      <w:bookmarkEnd w:id="366"/>
    </w:p>
    <w:p w:rsidR="00F67D6F" w:rsidRPr="00980BC4" w:rsidRDefault="00F67D6F" w:rsidP="005D527D">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67" w:name="_Toc989257"/>
      <w:r w:rsidRPr="00980BC4">
        <w:rPr>
          <w:rFonts w:ascii="仿宋" w:eastAsia="仿宋" w:hAnsi="仿宋" w:cs="Times New Roman"/>
          <w:b/>
          <w:sz w:val="28"/>
          <w:szCs w:val="28"/>
        </w:rPr>
        <w:t>（1） 购销商品、提供和接受劳务的关联交易</w:t>
      </w:r>
      <w:bookmarkEnd w:id="367"/>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6"/>
        <w:gridCol w:w="1606"/>
        <w:gridCol w:w="1606"/>
        <w:gridCol w:w="1607"/>
        <w:gridCol w:w="1763"/>
        <w:gridCol w:w="1451"/>
      </w:tblGrid>
      <w:tr w:rsidR="00F67D6F" w:rsidRPr="00980BC4" w:rsidTr="005D527D">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获批的交易额度</w:t>
            </w:r>
          </w:p>
        </w:tc>
        <w:tc>
          <w:tcPr>
            <w:tcW w:w="176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是否超过交易额度</w:t>
            </w:r>
          </w:p>
        </w:tc>
        <w:tc>
          <w:tcPr>
            <w:tcW w:w="145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5D527D">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苏州锴威特半导体股份有限公司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委托技术开发</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4,604,000.00</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3,216,000.00</w:t>
            </w:r>
          </w:p>
        </w:tc>
      </w:tr>
      <w:tr w:rsidR="00F67D6F" w:rsidRPr="00980BC4" w:rsidTr="005D527D">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苏州锴威特半导体股份有限公司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材料采购</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B7436F" w:rsidP="005D527D">
            <w:pPr>
              <w:spacing w:line="280" w:lineRule="exact"/>
              <w:jc w:val="right"/>
              <w:rPr>
                <w:rFonts w:ascii="宋体" w:eastAsia="宋体" w:hAnsi="宋体" w:cs="宋体"/>
                <w:sz w:val="18"/>
                <w:szCs w:val="18"/>
              </w:rPr>
            </w:pPr>
            <w:r w:rsidRPr="00B53708">
              <w:rPr>
                <w:rFonts w:ascii="宋体" w:eastAsia="宋体" w:hAnsi="宋体" w:cs="宋体"/>
                <w:sz w:val="18"/>
                <w:szCs w:val="18"/>
              </w:rPr>
              <w:t>2,230,712.36</w:t>
            </w:r>
          </w:p>
        </w:tc>
        <w:tc>
          <w:tcPr>
            <w:tcW w:w="160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否</w:t>
            </w:r>
          </w:p>
        </w:tc>
        <w:tc>
          <w:tcPr>
            <w:tcW w:w="145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p>
        </w:tc>
      </w:tr>
    </w:tbl>
    <w:p w:rsidR="00F67D6F" w:rsidRPr="00980BC4" w:rsidRDefault="00F67D6F" w:rsidP="005D527D">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68" w:name="_Toc989258"/>
      <w:r w:rsidRPr="00980BC4">
        <w:rPr>
          <w:rFonts w:ascii="仿宋" w:eastAsia="仿宋" w:hAnsi="仿宋" w:cs="Times New Roman"/>
          <w:b/>
          <w:sz w:val="28"/>
          <w:szCs w:val="28"/>
        </w:rPr>
        <w:t>（2） 关联租赁情况</w:t>
      </w:r>
      <w:bookmarkEnd w:id="368"/>
    </w:p>
    <w:p w:rsidR="00F67D6F" w:rsidRPr="00980BC4" w:rsidRDefault="00F67D6F" w:rsidP="005D527D">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本公司作为出租方：</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5D527D">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承租方名称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租赁资产种类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本期确认的租赁收入</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上期确认的租赁收入</w:t>
            </w:r>
          </w:p>
        </w:tc>
      </w:tr>
      <w:tr w:rsidR="005D527D" w:rsidRPr="00980BC4" w:rsidTr="005D527D">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D527D" w:rsidRPr="00980BC4" w:rsidRDefault="005D527D" w:rsidP="008D6E99">
            <w:pPr>
              <w:spacing w:before="40" w:after="40" w:line="240" w:lineRule="exact"/>
              <w:jc w:val="center"/>
              <w:rPr>
                <w:rFonts w:ascii="宋体" w:eastAsia="宋体" w:hAnsi="宋体" w:cs="宋体"/>
                <w:sz w:val="18"/>
                <w:szCs w:val="18"/>
              </w:rPr>
            </w:pPr>
            <w:r w:rsidRPr="00980BC4">
              <w:rPr>
                <w:rFonts w:ascii="宋体" w:eastAsia="宋体" w:hAnsi="宋体" w:cs="宋体" w:hint="eastAsia"/>
                <w:sz w:val="18"/>
                <w:szCs w:val="18"/>
              </w:rPr>
              <w:t>无</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D527D" w:rsidRPr="00980BC4" w:rsidRDefault="005D527D" w:rsidP="008D6E99">
            <w:pPr>
              <w:spacing w:before="40" w:after="40" w:line="240" w:lineRule="exact"/>
              <w:jc w:val="center"/>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D527D" w:rsidRPr="00980BC4" w:rsidRDefault="005D527D" w:rsidP="008D6E99">
            <w:pPr>
              <w:spacing w:before="40" w:after="40" w:line="240" w:lineRule="exact"/>
              <w:jc w:val="center"/>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D527D" w:rsidRPr="00980BC4" w:rsidRDefault="005D527D" w:rsidP="008D6E99">
            <w:pPr>
              <w:spacing w:before="40" w:after="40" w:line="240" w:lineRule="exact"/>
              <w:jc w:val="center"/>
              <w:rPr>
                <w:rFonts w:ascii="宋体" w:eastAsia="宋体" w:hAnsi="宋体" w:cs="宋体"/>
                <w:sz w:val="18"/>
                <w:szCs w:val="18"/>
              </w:rPr>
            </w:pPr>
          </w:p>
        </w:tc>
      </w:tr>
    </w:tbl>
    <w:p w:rsidR="00F67D6F" w:rsidRPr="00980BC4" w:rsidRDefault="00F67D6F" w:rsidP="005D527D">
      <w:pPr>
        <w:pStyle w:val="a3"/>
        <w:spacing w:before="0" w:beforeAutospacing="0" w:after="0" w:afterAutospacing="0" w:line="560" w:lineRule="exact"/>
        <w:ind w:firstLine="480"/>
        <w:jc w:val="both"/>
        <w:divId w:val="969553885"/>
        <w:rPr>
          <w:rFonts w:ascii="仿宋" w:eastAsia="仿宋" w:hAnsi="仿宋" w:cs="Times New Roman"/>
          <w:color w:val="000000" w:themeColor="text1"/>
          <w:sz w:val="28"/>
          <w:szCs w:val="28"/>
        </w:rPr>
      </w:pPr>
      <w:r w:rsidRPr="00980BC4">
        <w:rPr>
          <w:rFonts w:ascii="仿宋" w:eastAsia="仿宋" w:hAnsi="仿宋" w:cs="Times New Roman"/>
          <w:color w:val="000000" w:themeColor="text1"/>
          <w:sz w:val="28"/>
          <w:szCs w:val="28"/>
        </w:rPr>
        <w:t>本公司作为承租方：</w:t>
      </w:r>
    </w:p>
    <w:p w:rsidR="00F67D6F" w:rsidRPr="00980BC4" w:rsidRDefault="00F67D6F" w:rsidP="00F67D6F">
      <w:pPr>
        <w:spacing w:before="120" w:after="120" w:line="240" w:lineRule="exact"/>
        <w:jc w:val="right"/>
        <w:divId w:val="969553885"/>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804"/>
        <w:gridCol w:w="804"/>
        <w:gridCol w:w="804"/>
        <w:gridCol w:w="803"/>
        <w:gridCol w:w="803"/>
        <w:gridCol w:w="803"/>
        <w:gridCol w:w="803"/>
        <w:gridCol w:w="803"/>
        <w:gridCol w:w="803"/>
        <w:gridCol w:w="803"/>
        <w:gridCol w:w="803"/>
        <w:gridCol w:w="803"/>
      </w:tblGrid>
      <w:tr w:rsidR="00F67D6F" w:rsidRPr="00980BC4" w:rsidTr="00624C13">
        <w:trPr>
          <w:divId w:val="969553885"/>
          <w:trHeight w:val="240"/>
        </w:trPr>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出租方名称</w:t>
            </w:r>
          </w:p>
        </w:tc>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租赁资产种类</w:t>
            </w:r>
          </w:p>
        </w:tc>
        <w:tc>
          <w:tcPr>
            <w:tcW w:w="160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简化处理的短期租赁和低价值资</w:t>
            </w:r>
            <w:r w:rsidRPr="00980BC4">
              <w:rPr>
                <w:rFonts w:ascii="宋体" w:eastAsia="宋体" w:hAnsi="宋体" w:cs="宋体"/>
                <w:color w:val="000000" w:themeColor="text1"/>
                <w:sz w:val="18"/>
                <w:szCs w:val="18"/>
              </w:rPr>
              <w:lastRenderedPageBreak/>
              <w:t>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lastRenderedPageBreak/>
              <w:t>未纳入租赁负债计量的可变租赁</w:t>
            </w:r>
            <w:r w:rsidRPr="00980BC4">
              <w:rPr>
                <w:rFonts w:ascii="宋体" w:eastAsia="宋体" w:hAnsi="宋体" w:cs="宋体"/>
                <w:color w:val="000000" w:themeColor="text1"/>
                <w:sz w:val="18"/>
                <w:szCs w:val="18"/>
              </w:rPr>
              <w:lastRenderedPageBreak/>
              <w:t>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lastRenderedPageBreak/>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增加的使用权资产</w:t>
            </w:r>
          </w:p>
        </w:tc>
      </w:tr>
      <w:tr w:rsidR="00F67D6F" w:rsidRPr="00980BC4" w:rsidTr="00624C13">
        <w:trPr>
          <w:divId w:val="969553885"/>
          <w:trHeight w:val="240"/>
        </w:trPr>
        <w:tc>
          <w:tcPr>
            <w:tcW w:w="804" w:type="dxa"/>
            <w:vMerge/>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rPr>
                <w:color w:val="000000" w:themeColor="text1"/>
              </w:rPr>
            </w:pPr>
          </w:p>
        </w:tc>
        <w:tc>
          <w:tcPr>
            <w:tcW w:w="804" w:type="dxa"/>
            <w:vMerge/>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rPr>
                <w:color w:val="000000" w:themeColor="text1"/>
              </w:rPr>
            </w:pP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color w:val="000000" w:themeColor="text1"/>
                <w:sz w:val="18"/>
                <w:szCs w:val="18"/>
              </w:rPr>
            </w:pPr>
            <w:r w:rsidRPr="00980BC4">
              <w:rPr>
                <w:rFonts w:ascii="宋体" w:eastAsia="宋体" w:hAnsi="宋体" w:cs="宋体"/>
                <w:color w:val="000000" w:themeColor="text1"/>
                <w:sz w:val="18"/>
                <w:szCs w:val="18"/>
              </w:rPr>
              <w:t>上期发生额</w:t>
            </w:r>
          </w:p>
        </w:tc>
      </w:tr>
      <w:tr w:rsidR="00624C13" w:rsidRPr="00980BC4" w:rsidTr="00624C13">
        <w:trPr>
          <w:divId w:val="969553885"/>
          <w:trHeight w:val="240"/>
        </w:trPr>
        <w:tc>
          <w:tcPr>
            <w:tcW w:w="804" w:type="dxa"/>
            <w:tcBorders>
              <w:top w:val="single" w:sz="2" w:space="0" w:color="auto"/>
              <w:left w:val="single" w:sz="2" w:space="0" w:color="auto"/>
              <w:bottom w:val="single" w:sz="2" w:space="0" w:color="auto"/>
              <w:right w:val="single" w:sz="2" w:space="0" w:color="auto"/>
            </w:tcBorders>
            <w:vAlign w:val="center"/>
          </w:tcPr>
          <w:p w:rsidR="00624C13" w:rsidRPr="00980BC4" w:rsidRDefault="00624C13" w:rsidP="008D6E99">
            <w:pPr>
              <w:spacing w:line="240" w:lineRule="exact"/>
              <w:rPr>
                <w:rFonts w:ascii="宋体" w:eastAsia="宋体" w:hAnsi="宋体" w:cs="宋体"/>
                <w:sz w:val="18"/>
                <w:szCs w:val="18"/>
              </w:rPr>
            </w:pPr>
            <w:r w:rsidRPr="00980BC4">
              <w:rPr>
                <w:rFonts w:ascii="宋体" w:eastAsia="宋体" w:hAnsi="宋体" w:cs="宋体"/>
                <w:sz w:val="18"/>
                <w:szCs w:val="18"/>
              </w:rPr>
              <w:t>四川升华巨能科技有限公司</w:t>
            </w:r>
          </w:p>
        </w:tc>
        <w:tc>
          <w:tcPr>
            <w:tcW w:w="804" w:type="dxa"/>
            <w:tcBorders>
              <w:top w:val="single" w:sz="2" w:space="0" w:color="auto"/>
              <w:left w:val="single" w:sz="2" w:space="0" w:color="auto"/>
              <w:bottom w:val="single" w:sz="2" w:space="0" w:color="auto"/>
              <w:right w:val="single" w:sz="2" w:space="0" w:color="auto"/>
            </w:tcBorders>
            <w:vAlign w:val="center"/>
          </w:tcPr>
          <w:p w:rsidR="00624C13" w:rsidRPr="00980BC4" w:rsidRDefault="00624C13" w:rsidP="008D6E99">
            <w:pPr>
              <w:spacing w:line="240" w:lineRule="exact"/>
              <w:rPr>
                <w:rFonts w:ascii="宋体" w:eastAsia="宋体" w:hAnsi="宋体" w:cs="宋体"/>
                <w:sz w:val="18"/>
                <w:szCs w:val="18"/>
              </w:rPr>
            </w:pPr>
            <w:r w:rsidRPr="00980BC4">
              <w:rPr>
                <w:rFonts w:ascii="宋体" w:eastAsia="宋体" w:hAnsi="宋体" w:cs="宋体"/>
                <w:sz w:val="18"/>
                <w:szCs w:val="18"/>
              </w:rPr>
              <w:t>房屋</w:t>
            </w:r>
          </w:p>
        </w:tc>
        <w:tc>
          <w:tcPr>
            <w:tcW w:w="804"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5,040,000.00</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2,960,952.09</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1,722,570.54</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491,208.66</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60,872,296.65</w:t>
            </w:r>
          </w:p>
        </w:tc>
      </w:tr>
      <w:tr w:rsidR="00624C13" w:rsidRPr="00980BC4" w:rsidTr="00624C13">
        <w:trPr>
          <w:divId w:val="969553885"/>
          <w:trHeight w:val="240"/>
        </w:trPr>
        <w:tc>
          <w:tcPr>
            <w:tcW w:w="804" w:type="dxa"/>
            <w:tcBorders>
              <w:top w:val="single" w:sz="2" w:space="0" w:color="auto"/>
              <w:left w:val="single" w:sz="2" w:space="0" w:color="auto"/>
              <w:bottom w:val="single" w:sz="2" w:space="0" w:color="auto"/>
              <w:right w:val="single" w:sz="2" w:space="0" w:color="auto"/>
            </w:tcBorders>
            <w:vAlign w:val="center"/>
          </w:tcPr>
          <w:p w:rsidR="00624C13" w:rsidRPr="00980BC4" w:rsidRDefault="00624C13" w:rsidP="008D6E99">
            <w:pPr>
              <w:spacing w:line="240" w:lineRule="exact"/>
              <w:rPr>
                <w:rFonts w:ascii="宋体" w:eastAsia="宋体" w:hAnsi="宋体" w:cs="宋体"/>
                <w:sz w:val="18"/>
                <w:szCs w:val="18"/>
              </w:rPr>
            </w:pPr>
            <w:r w:rsidRPr="00980BC4">
              <w:rPr>
                <w:rFonts w:ascii="宋体" w:eastAsia="宋体" w:hAnsi="宋体" w:cs="宋体"/>
                <w:sz w:val="18"/>
                <w:szCs w:val="18"/>
              </w:rPr>
              <w:t>中国德力西控股集团有限公司</w:t>
            </w:r>
          </w:p>
        </w:tc>
        <w:tc>
          <w:tcPr>
            <w:tcW w:w="804" w:type="dxa"/>
            <w:tcBorders>
              <w:top w:val="single" w:sz="2" w:space="0" w:color="auto"/>
              <w:left w:val="single" w:sz="2" w:space="0" w:color="auto"/>
              <w:bottom w:val="single" w:sz="2" w:space="0" w:color="auto"/>
              <w:right w:val="single" w:sz="2" w:space="0" w:color="auto"/>
            </w:tcBorders>
            <w:vAlign w:val="center"/>
          </w:tcPr>
          <w:p w:rsidR="00624C13" w:rsidRPr="00980BC4" w:rsidRDefault="00624C13" w:rsidP="008D6E99">
            <w:pPr>
              <w:spacing w:line="240" w:lineRule="exact"/>
              <w:rPr>
                <w:rFonts w:ascii="宋体" w:eastAsia="宋体" w:hAnsi="宋体" w:cs="宋体"/>
                <w:sz w:val="18"/>
                <w:szCs w:val="18"/>
              </w:rPr>
            </w:pPr>
            <w:r w:rsidRPr="00980BC4">
              <w:rPr>
                <w:rFonts w:ascii="宋体" w:eastAsia="宋体" w:hAnsi="宋体" w:cs="宋体"/>
                <w:sz w:val="18"/>
                <w:szCs w:val="18"/>
              </w:rPr>
              <w:t>房屋</w:t>
            </w:r>
          </w:p>
        </w:tc>
        <w:tc>
          <w:tcPr>
            <w:tcW w:w="804"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27,475.80</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8,242.74</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392,392.44</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387,489.92</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16,029.33</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13,084.13</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2,122,796.64</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440,644.20</w:t>
            </w:r>
          </w:p>
        </w:tc>
      </w:tr>
      <w:tr w:rsidR="00624C13" w:rsidRPr="00980BC4" w:rsidTr="00624C13">
        <w:trPr>
          <w:divId w:val="969553885"/>
          <w:trHeight w:val="240"/>
        </w:trPr>
        <w:tc>
          <w:tcPr>
            <w:tcW w:w="804" w:type="dxa"/>
            <w:tcBorders>
              <w:top w:val="single" w:sz="2" w:space="0" w:color="auto"/>
              <w:left w:val="single" w:sz="2" w:space="0" w:color="auto"/>
              <w:bottom w:val="single" w:sz="2" w:space="0" w:color="auto"/>
              <w:right w:val="single" w:sz="2" w:space="0" w:color="auto"/>
            </w:tcBorders>
            <w:vAlign w:val="center"/>
          </w:tcPr>
          <w:p w:rsidR="00624C13" w:rsidRPr="00980BC4" w:rsidRDefault="00624C13" w:rsidP="008D6E99">
            <w:pPr>
              <w:spacing w:line="240" w:lineRule="exact"/>
              <w:rPr>
                <w:rFonts w:ascii="宋体" w:eastAsia="宋体" w:hAnsi="宋体" w:cs="宋体"/>
                <w:sz w:val="18"/>
                <w:szCs w:val="18"/>
              </w:rPr>
            </w:pPr>
            <w:r w:rsidRPr="00980BC4">
              <w:rPr>
                <w:rFonts w:ascii="宋体" w:eastAsia="宋体" w:hAnsi="宋体" w:cs="宋体"/>
                <w:sz w:val="18"/>
                <w:szCs w:val="18"/>
              </w:rPr>
              <w:t>中国德力西控股集团有限公司</w:t>
            </w:r>
          </w:p>
        </w:tc>
        <w:tc>
          <w:tcPr>
            <w:tcW w:w="804" w:type="dxa"/>
            <w:tcBorders>
              <w:top w:val="single" w:sz="2" w:space="0" w:color="auto"/>
              <w:left w:val="single" w:sz="2" w:space="0" w:color="auto"/>
              <w:bottom w:val="single" w:sz="2" w:space="0" w:color="auto"/>
              <w:right w:val="single" w:sz="2" w:space="0" w:color="auto"/>
            </w:tcBorders>
            <w:vAlign w:val="center"/>
          </w:tcPr>
          <w:p w:rsidR="00624C13" w:rsidRPr="00980BC4" w:rsidRDefault="00624C13" w:rsidP="008D6E99">
            <w:pPr>
              <w:spacing w:line="240" w:lineRule="exact"/>
              <w:rPr>
                <w:rFonts w:ascii="宋体" w:eastAsia="宋体" w:hAnsi="宋体" w:cs="宋体"/>
                <w:sz w:val="18"/>
                <w:szCs w:val="18"/>
              </w:rPr>
            </w:pPr>
            <w:r w:rsidRPr="00980BC4">
              <w:rPr>
                <w:rFonts w:ascii="宋体" w:eastAsia="宋体" w:hAnsi="宋体" w:cs="宋体"/>
                <w:sz w:val="18"/>
                <w:szCs w:val="18"/>
              </w:rPr>
              <w:t>车辆</w:t>
            </w:r>
          </w:p>
        </w:tc>
        <w:tc>
          <w:tcPr>
            <w:tcW w:w="804"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100,000.00</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100,000.00</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2,363.47</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1,649.45</w:t>
            </w: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624C13" w:rsidRDefault="00624C13" w:rsidP="00863E71">
            <w:pPr>
              <w:spacing w:line="240" w:lineRule="exact"/>
              <w:jc w:val="right"/>
              <w:rPr>
                <w:rFonts w:ascii="宋体" w:eastAsia="宋体" w:hAnsi="宋体" w:cs="宋体"/>
                <w:sz w:val="18"/>
                <w:szCs w:val="18"/>
              </w:rPr>
            </w:pPr>
            <w:r w:rsidRPr="00A5231C">
              <w:rPr>
                <w:rFonts w:ascii="宋体" w:eastAsia="宋体" w:hAnsi="宋体" w:cs="宋体"/>
                <w:sz w:val="18"/>
                <w:szCs w:val="18"/>
              </w:rPr>
              <w:t>172,978.22</w:t>
            </w:r>
          </w:p>
        </w:tc>
      </w:tr>
    </w:tbl>
    <w:p w:rsidR="00F67D6F" w:rsidRPr="00980BC4" w:rsidRDefault="00F67D6F" w:rsidP="005D527D">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69" w:name="_Toc989259"/>
      <w:r w:rsidRPr="00980BC4">
        <w:rPr>
          <w:rFonts w:ascii="仿宋" w:eastAsia="仿宋" w:hAnsi="仿宋" w:cs="Times New Roman"/>
          <w:b/>
          <w:sz w:val="28"/>
          <w:szCs w:val="28"/>
        </w:rPr>
        <w:t>（3） 关键管理人员报酬</w:t>
      </w:r>
      <w:bookmarkEnd w:id="369"/>
    </w:p>
    <w:p w:rsidR="00173D5E" w:rsidRPr="00980BC4" w:rsidRDefault="00173D5E" w:rsidP="00F67D6F">
      <w:pPr>
        <w:spacing w:before="40" w:after="40" w:line="240" w:lineRule="exact"/>
        <w:jc w:val="right"/>
        <w:divId w:val="969553885"/>
        <w:rPr>
          <w:rFonts w:ascii="宋体" w:eastAsia="宋体" w:hAnsi="宋体" w:cs="宋体"/>
          <w:sz w:val="18"/>
          <w:szCs w:val="18"/>
        </w:rPr>
      </w:pP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300" w:lineRule="exact"/>
              <w:rPr>
                <w:rFonts w:ascii="宋体" w:eastAsia="宋体" w:hAnsi="宋体" w:cs="宋体"/>
                <w:sz w:val="18"/>
                <w:szCs w:val="18"/>
              </w:rPr>
            </w:pPr>
            <w:r w:rsidRPr="00980BC4">
              <w:rPr>
                <w:rFonts w:ascii="宋体" w:eastAsia="宋体" w:hAnsi="宋体"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300" w:lineRule="exact"/>
              <w:jc w:val="right"/>
              <w:rPr>
                <w:rFonts w:ascii="宋体" w:eastAsia="宋体" w:hAnsi="宋体" w:cs="宋体"/>
                <w:sz w:val="18"/>
                <w:szCs w:val="18"/>
              </w:rPr>
            </w:pPr>
            <w:r w:rsidRPr="00980BC4">
              <w:rPr>
                <w:rFonts w:ascii="宋体" w:eastAsia="宋体" w:hAnsi="宋体" w:cs="宋体"/>
                <w:sz w:val="18"/>
                <w:szCs w:val="18"/>
              </w:rPr>
              <w:t>4,000,500.00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300" w:lineRule="exact"/>
              <w:jc w:val="right"/>
              <w:rPr>
                <w:rFonts w:ascii="宋体" w:eastAsia="宋体" w:hAnsi="宋体" w:cs="宋体"/>
                <w:sz w:val="18"/>
                <w:szCs w:val="18"/>
              </w:rPr>
            </w:pPr>
            <w:r w:rsidRPr="00980BC4">
              <w:rPr>
                <w:rFonts w:ascii="宋体" w:eastAsia="宋体" w:hAnsi="宋体" w:cs="宋体"/>
                <w:sz w:val="18"/>
                <w:szCs w:val="18"/>
              </w:rPr>
              <w:t>4,094,700.00</w:t>
            </w:r>
          </w:p>
        </w:tc>
      </w:tr>
    </w:tbl>
    <w:p w:rsidR="00F67D6F" w:rsidRPr="00980BC4" w:rsidRDefault="00F67D6F" w:rsidP="005D527D">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70" w:name="_Toc989260"/>
      <w:r w:rsidRPr="00980BC4">
        <w:rPr>
          <w:rFonts w:ascii="仿宋" w:eastAsia="仿宋" w:hAnsi="仿宋" w:cs="Times New Roman"/>
          <w:b/>
          <w:sz w:val="28"/>
          <w:szCs w:val="28"/>
        </w:rPr>
        <w:t>6、关联方应收应付款项</w:t>
      </w:r>
      <w:bookmarkEnd w:id="370"/>
    </w:p>
    <w:p w:rsidR="00F67D6F" w:rsidRPr="00980BC4" w:rsidRDefault="00F67D6F" w:rsidP="005D527D">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71" w:name="_Toc989261"/>
      <w:r w:rsidRPr="00980BC4">
        <w:rPr>
          <w:rFonts w:ascii="仿宋" w:eastAsia="仿宋" w:hAnsi="仿宋" w:cs="Times New Roman"/>
          <w:b/>
          <w:sz w:val="28"/>
          <w:szCs w:val="28"/>
        </w:rPr>
        <w:t>（1） 应收项目</w:t>
      </w:r>
      <w:bookmarkEnd w:id="37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7"/>
        <w:gridCol w:w="1606"/>
        <w:gridCol w:w="1606"/>
        <w:gridCol w:w="1607"/>
        <w:gridCol w:w="1606"/>
        <w:gridCol w:w="1607"/>
      </w:tblGrid>
      <w:tr w:rsidR="00F67D6F" w:rsidRPr="00980BC4" w:rsidTr="00F67D6F">
        <w:trPr>
          <w:divId w:val="969553885"/>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line="280" w:lineRule="exact"/>
            </w:pP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line="280" w:lineRule="exact"/>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苏州锴威特半导体股份有限公司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1,197,000.00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中国德力西控股集团有限公司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19,345.78</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1,607.09</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2,884.96</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288.50</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四川升华巨能科技有限公司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126,000.00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r w:rsidRPr="00980BC4">
              <w:rPr>
                <w:rFonts w:ascii="宋体" w:eastAsia="宋体" w:hAnsi="宋体" w:cs="宋体"/>
                <w:sz w:val="18"/>
                <w:szCs w:val="18"/>
              </w:rPr>
              <w:t>126,000.00</w:t>
            </w:r>
          </w:p>
        </w:tc>
      </w:tr>
    </w:tbl>
    <w:p w:rsidR="00F67D6F" w:rsidRPr="00980BC4" w:rsidRDefault="00F67D6F" w:rsidP="005D527D">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72" w:name="_Toc989262"/>
      <w:r w:rsidRPr="00980BC4">
        <w:rPr>
          <w:rFonts w:ascii="仿宋" w:eastAsia="仿宋" w:hAnsi="仿宋" w:cs="Times New Roman"/>
          <w:b/>
          <w:sz w:val="28"/>
          <w:szCs w:val="28"/>
        </w:rPr>
        <w:t>（2） 应付项目</w:t>
      </w:r>
      <w:bookmarkEnd w:id="37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D527D">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期初账面余额</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r w:rsidRPr="00980BC4">
              <w:rPr>
                <w:rFonts w:ascii="宋体" w:eastAsia="宋体" w:hAnsi="宋体" w:cs="宋体"/>
                <w:sz w:val="18"/>
                <w:szCs w:val="18"/>
              </w:rPr>
              <w:t>无</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D527D">
            <w:pPr>
              <w:spacing w:line="280" w:lineRule="exact"/>
              <w:jc w:val="right"/>
              <w:rPr>
                <w:rFonts w:ascii="宋体" w:eastAsia="宋体" w:hAnsi="宋体" w:cs="宋体"/>
                <w:sz w:val="18"/>
                <w:szCs w:val="18"/>
              </w:rPr>
            </w:pPr>
          </w:p>
        </w:tc>
      </w:tr>
    </w:tbl>
    <w:p w:rsidR="00F67D6F" w:rsidRPr="00980BC4" w:rsidRDefault="00F67D6F" w:rsidP="00D955DC">
      <w:pPr>
        <w:pStyle w:val="2"/>
        <w:spacing w:before="0" w:after="0" w:line="560" w:lineRule="exact"/>
        <w:ind w:firstLineChars="200" w:firstLine="562"/>
        <w:divId w:val="969553885"/>
        <w:rPr>
          <w:rFonts w:ascii="宋体" w:eastAsia="宋体" w:hAnsi="宋体" w:cs="宋体"/>
          <w:b/>
          <w:bCs/>
          <w:sz w:val="28"/>
          <w:szCs w:val="28"/>
        </w:rPr>
      </w:pPr>
      <w:bookmarkStart w:id="373" w:name="_Toc989263"/>
      <w:r w:rsidRPr="00980BC4">
        <w:rPr>
          <w:rFonts w:ascii="宋体" w:eastAsia="宋体" w:hAnsi="宋体" w:cs="宋体"/>
          <w:b/>
          <w:bCs/>
          <w:sz w:val="28"/>
          <w:szCs w:val="28"/>
        </w:rPr>
        <w:t>十三、股份支付</w:t>
      </w:r>
      <w:bookmarkEnd w:id="373"/>
    </w:p>
    <w:p w:rsidR="00F67D6F" w:rsidRPr="00980BC4" w:rsidRDefault="00F67D6F" w:rsidP="00D955DC">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74" w:name="_Toc989264"/>
      <w:r w:rsidRPr="00980BC4">
        <w:rPr>
          <w:rFonts w:ascii="仿宋" w:eastAsia="仿宋" w:hAnsi="仿宋" w:cs="Times New Roman"/>
          <w:b/>
          <w:sz w:val="28"/>
          <w:szCs w:val="28"/>
        </w:rPr>
        <w:t>1、股份支付总体情况</w:t>
      </w:r>
      <w:bookmarkEnd w:id="374"/>
    </w:p>
    <w:p w:rsidR="00F67D6F" w:rsidRPr="00980BC4" w:rsidRDefault="00F67D6F" w:rsidP="00D955DC">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 xml:space="preserve">适用 </w:t>
      </w:r>
      <w:r w:rsidR="00D955DC"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□不适用</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955DC">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公司本期授予的各项权益工具总额</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955DC">
            <w:pPr>
              <w:spacing w:line="280" w:lineRule="exact"/>
              <w:jc w:val="right"/>
              <w:rPr>
                <w:rFonts w:ascii="宋体" w:eastAsia="宋体" w:hAnsi="宋体" w:cs="宋体"/>
                <w:sz w:val="18"/>
                <w:szCs w:val="18"/>
              </w:rPr>
            </w:pPr>
            <w:r w:rsidRPr="00980BC4">
              <w:rPr>
                <w:rFonts w:ascii="宋体" w:eastAsia="宋体" w:hAnsi="宋体" w:cs="宋体"/>
                <w:sz w:val="18"/>
                <w:szCs w:val="18"/>
              </w:rPr>
              <w:t>459,013.00</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955DC">
            <w:pPr>
              <w:spacing w:before="40" w:after="40" w:line="280" w:lineRule="exact"/>
              <w:rPr>
                <w:rFonts w:ascii="宋体" w:eastAsia="宋体" w:hAnsi="宋体" w:cs="宋体"/>
                <w:sz w:val="18"/>
                <w:szCs w:val="18"/>
              </w:rPr>
            </w:pPr>
            <w:r w:rsidRPr="00980BC4">
              <w:rPr>
                <w:rFonts w:ascii="宋体" w:eastAsia="宋体" w:hAnsi="宋体" w:cs="宋体"/>
                <w:sz w:val="18"/>
                <w:szCs w:val="18"/>
              </w:rPr>
              <w:t>公司本期行权的各项权益工具总额</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955DC">
            <w:pPr>
              <w:spacing w:line="280" w:lineRule="exact"/>
              <w:jc w:val="right"/>
              <w:rPr>
                <w:rFonts w:ascii="宋体" w:eastAsia="宋体" w:hAnsi="宋体" w:cs="宋体"/>
                <w:sz w:val="18"/>
                <w:szCs w:val="18"/>
              </w:rPr>
            </w:pPr>
            <w:r w:rsidRPr="00980BC4">
              <w:rPr>
                <w:rFonts w:ascii="宋体" w:eastAsia="宋体" w:hAnsi="宋体" w:cs="宋体"/>
                <w:sz w:val="18"/>
                <w:szCs w:val="18"/>
              </w:rPr>
              <w:t>1,174,380.00</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955DC">
            <w:pPr>
              <w:spacing w:before="40" w:after="40" w:line="280" w:lineRule="exact"/>
              <w:rPr>
                <w:rFonts w:ascii="宋体" w:eastAsia="宋体" w:hAnsi="宋体" w:cs="宋体"/>
                <w:sz w:val="18"/>
                <w:szCs w:val="18"/>
              </w:rPr>
            </w:pPr>
            <w:r w:rsidRPr="00980BC4">
              <w:rPr>
                <w:rFonts w:ascii="宋体" w:eastAsia="宋体" w:hAnsi="宋体" w:cs="宋体"/>
                <w:sz w:val="18"/>
                <w:szCs w:val="18"/>
              </w:rPr>
              <w:t>公司本期失效的各项权益工具总额</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955DC">
            <w:pPr>
              <w:spacing w:line="280" w:lineRule="exact"/>
              <w:jc w:val="right"/>
              <w:rPr>
                <w:rFonts w:ascii="宋体" w:eastAsia="宋体" w:hAnsi="宋体" w:cs="宋体"/>
                <w:sz w:val="18"/>
                <w:szCs w:val="18"/>
              </w:rPr>
            </w:pPr>
            <w:r w:rsidRPr="00980BC4">
              <w:rPr>
                <w:rFonts w:ascii="宋体" w:eastAsia="宋体" w:hAnsi="宋体" w:cs="宋体"/>
                <w:sz w:val="18"/>
                <w:szCs w:val="18"/>
              </w:rPr>
              <w:t>229,590.00</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955DC">
            <w:pPr>
              <w:spacing w:before="40" w:after="40" w:line="280" w:lineRule="exact"/>
              <w:rPr>
                <w:rFonts w:ascii="宋体" w:eastAsia="宋体" w:hAnsi="宋体" w:cs="宋体"/>
                <w:sz w:val="18"/>
                <w:szCs w:val="18"/>
              </w:rPr>
            </w:pPr>
            <w:r w:rsidRPr="00980BC4">
              <w:rPr>
                <w:rFonts w:ascii="宋体" w:eastAsia="宋体" w:hAnsi="宋体" w:cs="宋体"/>
                <w:sz w:val="18"/>
                <w:szCs w:val="18"/>
              </w:rPr>
              <w:t>公司期末发行在外的股票期权行权价格的范围和合同剩余期限</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955DC">
            <w:pPr>
              <w:spacing w:line="280" w:lineRule="exact"/>
              <w:rPr>
                <w:rFonts w:ascii="宋体" w:eastAsia="宋体" w:hAnsi="宋体" w:cs="宋体"/>
                <w:sz w:val="18"/>
                <w:szCs w:val="18"/>
              </w:rPr>
            </w:pPr>
            <w:r w:rsidRPr="00980BC4">
              <w:rPr>
                <w:rFonts w:ascii="宋体" w:eastAsia="宋体" w:hAnsi="宋体" w:cs="宋体"/>
                <w:sz w:val="18"/>
                <w:szCs w:val="18"/>
              </w:rPr>
              <w:t>见其他说明</w:t>
            </w:r>
          </w:p>
        </w:tc>
      </w:tr>
    </w:tbl>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t>其他说明：</w:t>
      </w:r>
    </w:p>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根据甘化科工公司</w:t>
      </w:r>
      <w:r w:rsidRPr="00980BC4">
        <w:rPr>
          <w:rFonts w:ascii="仿宋" w:eastAsia="仿宋" w:hAnsi="仿宋" w:cs="Times New Roman"/>
          <w:sz w:val="28"/>
          <w:szCs w:val="28"/>
        </w:rPr>
        <w:t>2021</w:t>
      </w:r>
      <w:r w:rsidRPr="00980BC4">
        <w:rPr>
          <w:rFonts w:ascii="仿宋" w:eastAsia="仿宋" w:hAnsi="仿宋" w:cs="Times New Roman" w:hint="eastAsia"/>
          <w:sz w:val="28"/>
          <w:szCs w:val="28"/>
        </w:rPr>
        <w:t>年第三次临时股东大会、第十届董事会第二、四次会议审议通过的《</w:t>
      </w:r>
      <w:r w:rsidRPr="00980BC4">
        <w:rPr>
          <w:rFonts w:ascii="仿宋" w:eastAsia="仿宋" w:hAnsi="仿宋" w:cs="Times New Roman"/>
          <w:sz w:val="28"/>
          <w:szCs w:val="28"/>
        </w:rPr>
        <w:t>2021</w:t>
      </w:r>
      <w:r w:rsidRPr="00980BC4">
        <w:rPr>
          <w:rFonts w:ascii="仿宋" w:eastAsia="仿宋" w:hAnsi="仿宋" w:cs="Times New Roman" w:hint="eastAsia"/>
          <w:sz w:val="28"/>
          <w:szCs w:val="28"/>
        </w:rPr>
        <w:t>年限制性股票激励计划（草案）》及其摘要的议案，甘化科工拟向激励对象首次授予</w:t>
      </w:r>
      <w:r w:rsidRPr="00980BC4">
        <w:rPr>
          <w:rFonts w:ascii="仿宋" w:eastAsia="仿宋" w:hAnsi="仿宋" w:cs="Times New Roman"/>
          <w:sz w:val="28"/>
          <w:szCs w:val="28"/>
        </w:rPr>
        <w:t>3,929,600</w:t>
      </w:r>
      <w:r w:rsidRPr="00980BC4">
        <w:rPr>
          <w:rFonts w:ascii="仿宋" w:eastAsia="仿宋" w:hAnsi="仿宋" w:cs="Times New Roman" w:hint="eastAsia"/>
          <w:sz w:val="28"/>
          <w:szCs w:val="28"/>
        </w:rPr>
        <w:t>股限制性股票，包含激励对象</w:t>
      </w:r>
      <w:r w:rsidRPr="00980BC4">
        <w:rPr>
          <w:rFonts w:ascii="仿宋" w:eastAsia="仿宋" w:hAnsi="仿宋" w:cs="Times New Roman"/>
          <w:sz w:val="28"/>
          <w:szCs w:val="28"/>
        </w:rPr>
        <w:t>56</w:t>
      </w:r>
      <w:r w:rsidRPr="00980BC4">
        <w:rPr>
          <w:rFonts w:ascii="仿宋" w:eastAsia="仿宋" w:hAnsi="仿宋" w:cs="Times New Roman" w:hint="eastAsia"/>
          <w:sz w:val="28"/>
          <w:szCs w:val="28"/>
        </w:rPr>
        <w:t>人，行权价格为</w:t>
      </w:r>
      <w:r w:rsidRPr="00980BC4">
        <w:rPr>
          <w:rFonts w:ascii="仿宋" w:eastAsia="仿宋" w:hAnsi="仿宋" w:cs="Times New Roman"/>
          <w:sz w:val="28"/>
          <w:szCs w:val="28"/>
        </w:rPr>
        <w:t>5.23</w:t>
      </w:r>
      <w:r w:rsidRPr="00980BC4">
        <w:rPr>
          <w:rFonts w:ascii="仿宋" w:eastAsia="仿宋" w:hAnsi="仿宋" w:cs="Times New Roman" w:hint="eastAsia"/>
          <w:sz w:val="28"/>
          <w:szCs w:val="28"/>
        </w:rPr>
        <w:t>元，本次激励计划授予的限制性股票来源为从二级市场回购的</w:t>
      </w:r>
      <w:r w:rsidRPr="00980BC4">
        <w:rPr>
          <w:rFonts w:ascii="仿宋" w:eastAsia="仿宋" w:hAnsi="仿宋" w:cs="Times New Roman"/>
          <w:sz w:val="28"/>
          <w:szCs w:val="28"/>
        </w:rPr>
        <w:t>A</w:t>
      </w:r>
      <w:r w:rsidRPr="00980BC4">
        <w:rPr>
          <w:rFonts w:ascii="仿宋" w:eastAsia="仿宋" w:hAnsi="仿宋" w:cs="Times New Roman" w:hint="eastAsia"/>
          <w:sz w:val="28"/>
          <w:szCs w:val="28"/>
        </w:rPr>
        <w:t>股普通股。首次授予限制性股票中已离职人员所获总股数为</w:t>
      </w:r>
      <w:r w:rsidRPr="00980BC4">
        <w:rPr>
          <w:rFonts w:ascii="仿宋" w:eastAsia="仿宋" w:hAnsi="仿宋" w:cs="Times New Roman"/>
          <w:sz w:val="28"/>
          <w:szCs w:val="28"/>
        </w:rPr>
        <w:t>268,700</w:t>
      </w:r>
      <w:r w:rsidRPr="00980BC4">
        <w:rPr>
          <w:rFonts w:ascii="仿宋" w:eastAsia="仿宋" w:hAnsi="仿宋" w:cs="Times New Roman" w:hint="eastAsia"/>
          <w:sz w:val="28"/>
          <w:szCs w:val="28"/>
        </w:rPr>
        <w:t>股，其中已解除限制的股数为</w:t>
      </w:r>
      <w:r w:rsidRPr="00980BC4">
        <w:rPr>
          <w:rFonts w:ascii="仿宋" w:eastAsia="仿宋" w:hAnsi="仿宋" w:cs="Times New Roman"/>
          <w:sz w:val="28"/>
          <w:szCs w:val="28"/>
        </w:rPr>
        <w:t>76,110</w:t>
      </w:r>
      <w:r w:rsidRPr="00980BC4">
        <w:rPr>
          <w:rFonts w:ascii="仿宋" w:eastAsia="仿宋" w:hAnsi="仿宋" w:cs="Times New Roman" w:hint="eastAsia"/>
          <w:sz w:val="28"/>
          <w:szCs w:val="28"/>
        </w:rPr>
        <w:t>股、公司回购注销未解除限制的股数为</w:t>
      </w:r>
      <w:r w:rsidRPr="00980BC4">
        <w:rPr>
          <w:rFonts w:ascii="仿宋" w:eastAsia="仿宋" w:hAnsi="仿宋" w:cs="Times New Roman"/>
          <w:sz w:val="28"/>
          <w:szCs w:val="28"/>
        </w:rPr>
        <w:t>192,590</w:t>
      </w:r>
      <w:r w:rsidRPr="00980BC4">
        <w:rPr>
          <w:rFonts w:ascii="仿宋" w:eastAsia="仿宋" w:hAnsi="仿宋" w:cs="Times New Roman" w:hint="eastAsia"/>
          <w:sz w:val="28"/>
          <w:szCs w:val="28"/>
        </w:rPr>
        <w:t>股，截止报告期末发行在外的股数为</w:t>
      </w:r>
      <w:r w:rsidRPr="00980BC4">
        <w:rPr>
          <w:rFonts w:ascii="仿宋" w:eastAsia="仿宋" w:hAnsi="仿宋" w:cs="Times New Roman"/>
          <w:sz w:val="28"/>
          <w:szCs w:val="28"/>
        </w:rPr>
        <w:t>2,562,630</w:t>
      </w:r>
      <w:r w:rsidRPr="00980BC4">
        <w:rPr>
          <w:rFonts w:ascii="仿宋" w:eastAsia="仿宋" w:hAnsi="仿宋" w:cs="Times New Roman" w:hint="eastAsia"/>
          <w:sz w:val="28"/>
          <w:szCs w:val="28"/>
        </w:rPr>
        <w:t>股，剩余未解禁的限制性股票分别</w:t>
      </w:r>
      <w:r w:rsidR="00D955DC" w:rsidRPr="00980BC4">
        <w:rPr>
          <w:rFonts w:ascii="仿宋" w:eastAsia="仿宋" w:hAnsi="仿宋" w:cs="Times New Roman" w:hint="eastAsia"/>
          <w:sz w:val="28"/>
          <w:szCs w:val="28"/>
        </w:rPr>
        <w:t>于</w:t>
      </w:r>
      <w:r w:rsidRPr="00980BC4">
        <w:rPr>
          <w:rFonts w:ascii="仿宋" w:eastAsia="仿宋" w:hAnsi="仿宋" w:cs="Times New Roman"/>
          <w:sz w:val="28"/>
          <w:szCs w:val="28"/>
        </w:rPr>
        <w:t>2023</w:t>
      </w:r>
      <w:r w:rsidRPr="00980BC4">
        <w:rPr>
          <w:rFonts w:ascii="仿宋" w:eastAsia="仿宋" w:hAnsi="仿宋" w:cs="Times New Roman" w:hint="eastAsia"/>
          <w:sz w:val="28"/>
          <w:szCs w:val="28"/>
        </w:rPr>
        <w:t>年、</w:t>
      </w:r>
      <w:r w:rsidRPr="00980BC4">
        <w:rPr>
          <w:rFonts w:ascii="仿宋" w:eastAsia="仿宋" w:hAnsi="仿宋" w:cs="Times New Roman"/>
          <w:sz w:val="28"/>
          <w:szCs w:val="28"/>
        </w:rPr>
        <w:t>2024</w:t>
      </w:r>
      <w:r w:rsidRPr="00980BC4">
        <w:rPr>
          <w:rFonts w:ascii="仿宋" w:eastAsia="仿宋" w:hAnsi="仿宋" w:cs="Times New Roman" w:hint="eastAsia"/>
          <w:sz w:val="28"/>
          <w:szCs w:val="28"/>
        </w:rPr>
        <w:t>年解禁</w:t>
      </w:r>
      <w:r w:rsidRPr="00980BC4">
        <w:rPr>
          <w:rFonts w:ascii="仿宋" w:eastAsia="仿宋" w:hAnsi="仿宋" w:cs="Times New Roman"/>
          <w:sz w:val="28"/>
          <w:szCs w:val="28"/>
        </w:rPr>
        <w:t>1,098,270</w:t>
      </w:r>
      <w:r w:rsidRPr="00980BC4">
        <w:rPr>
          <w:rFonts w:ascii="仿宋" w:eastAsia="仿宋" w:hAnsi="仿宋" w:cs="Times New Roman" w:hint="eastAsia"/>
          <w:sz w:val="28"/>
          <w:szCs w:val="28"/>
        </w:rPr>
        <w:t>股、</w:t>
      </w:r>
      <w:r w:rsidRPr="00980BC4">
        <w:rPr>
          <w:rFonts w:ascii="仿宋" w:eastAsia="仿宋" w:hAnsi="仿宋" w:cs="Times New Roman"/>
          <w:sz w:val="28"/>
          <w:szCs w:val="28"/>
        </w:rPr>
        <w:t>1,464,360</w:t>
      </w:r>
      <w:r w:rsidRPr="00980BC4">
        <w:rPr>
          <w:rFonts w:ascii="仿宋" w:eastAsia="仿宋" w:hAnsi="仿宋" w:cs="Times New Roman" w:hint="eastAsia"/>
          <w:sz w:val="28"/>
          <w:szCs w:val="28"/>
        </w:rPr>
        <w:t>股。本激励计划的业绩考核、解除限售、回购注销情况见本公司</w:t>
      </w:r>
      <w:r w:rsidRPr="00980BC4">
        <w:rPr>
          <w:rFonts w:ascii="仿宋" w:eastAsia="仿宋" w:hAnsi="仿宋" w:cs="Times New Roman"/>
          <w:sz w:val="28"/>
          <w:szCs w:val="28"/>
        </w:rPr>
        <w:t>2021-47</w:t>
      </w:r>
      <w:r w:rsidRPr="00980BC4">
        <w:rPr>
          <w:rFonts w:ascii="仿宋" w:eastAsia="仿宋" w:hAnsi="仿宋" w:cs="Times New Roman" w:hint="eastAsia"/>
          <w:sz w:val="28"/>
          <w:szCs w:val="28"/>
        </w:rPr>
        <w:t>号、</w:t>
      </w:r>
      <w:r w:rsidRPr="00980BC4">
        <w:rPr>
          <w:rFonts w:ascii="仿宋" w:eastAsia="仿宋" w:hAnsi="仿宋" w:cs="Times New Roman"/>
          <w:sz w:val="28"/>
          <w:szCs w:val="28"/>
        </w:rPr>
        <w:t>2022-20</w:t>
      </w:r>
      <w:r w:rsidRPr="00980BC4">
        <w:rPr>
          <w:rFonts w:ascii="仿宋" w:eastAsia="仿宋" w:hAnsi="仿宋" w:cs="Times New Roman" w:hint="eastAsia"/>
          <w:sz w:val="28"/>
          <w:szCs w:val="28"/>
        </w:rPr>
        <w:t>号、</w:t>
      </w:r>
      <w:r w:rsidRPr="00980BC4">
        <w:rPr>
          <w:rFonts w:ascii="仿宋" w:eastAsia="仿宋" w:hAnsi="仿宋" w:cs="Times New Roman"/>
          <w:sz w:val="28"/>
          <w:szCs w:val="28"/>
        </w:rPr>
        <w:t>2023-04</w:t>
      </w:r>
      <w:r w:rsidRPr="00980BC4">
        <w:rPr>
          <w:rFonts w:ascii="仿宋" w:eastAsia="仿宋" w:hAnsi="仿宋" w:cs="Times New Roman" w:hint="eastAsia"/>
          <w:sz w:val="28"/>
          <w:szCs w:val="28"/>
        </w:rPr>
        <w:t>号公告。</w:t>
      </w:r>
    </w:p>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根据甘化科工公司</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年度第十届董事会第十一次会议及第十届监事会第九次会议审议通过的《关于向激励对象授予预留限制性股票的议案》，甘化科工拟向激励对象授予预留限制性股票</w:t>
      </w:r>
      <w:r w:rsidRPr="00980BC4">
        <w:rPr>
          <w:rFonts w:ascii="仿宋" w:eastAsia="仿宋" w:hAnsi="仿宋" w:cs="Times New Roman"/>
          <w:sz w:val="28"/>
          <w:szCs w:val="28"/>
        </w:rPr>
        <w:t>459,013</w:t>
      </w:r>
      <w:r w:rsidRPr="00980BC4">
        <w:rPr>
          <w:rFonts w:ascii="仿宋" w:eastAsia="仿宋" w:hAnsi="仿宋" w:cs="Times New Roman" w:hint="eastAsia"/>
          <w:sz w:val="28"/>
          <w:szCs w:val="28"/>
        </w:rPr>
        <w:t>股，包含激励对象</w:t>
      </w:r>
      <w:r w:rsidRPr="00980BC4">
        <w:rPr>
          <w:rFonts w:ascii="仿宋" w:eastAsia="仿宋" w:hAnsi="仿宋" w:cs="Times New Roman"/>
          <w:sz w:val="28"/>
          <w:szCs w:val="28"/>
        </w:rPr>
        <w:t>22</w:t>
      </w:r>
      <w:r w:rsidRPr="00980BC4">
        <w:rPr>
          <w:rFonts w:ascii="仿宋" w:eastAsia="仿宋" w:hAnsi="仿宋" w:cs="Times New Roman" w:hint="eastAsia"/>
          <w:sz w:val="28"/>
          <w:szCs w:val="28"/>
        </w:rPr>
        <w:t>人，行权价格为</w:t>
      </w:r>
      <w:r w:rsidRPr="00980BC4">
        <w:rPr>
          <w:rFonts w:ascii="仿宋" w:eastAsia="仿宋" w:hAnsi="仿宋" w:cs="Times New Roman"/>
          <w:sz w:val="28"/>
          <w:szCs w:val="28"/>
        </w:rPr>
        <w:t>5.23</w:t>
      </w:r>
      <w:r w:rsidRPr="00980BC4">
        <w:rPr>
          <w:rFonts w:ascii="仿宋" w:eastAsia="仿宋" w:hAnsi="仿宋" w:cs="Times New Roman" w:hint="eastAsia"/>
          <w:sz w:val="28"/>
          <w:szCs w:val="28"/>
        </w:rPr>
        <w:t>元。预留授予限制性股票中已离职人员所获股数为</w:t>
      </w:r>
      <w:r w:rsidRPr="00980BC4">
        <w:rPr>
          <w:rFonts w:ascii="仿宋" w:eastAsia="仿宋" w:hAnsi="仿宋" w:cs="Times New Roman"/>
          <w:sz w:val="28"/>
          <w:szCs w:val="28"/>
        </w:rPr>
        <w:t>37,000</w:t>
      </w:r>
      <w:r w:rsidRPr="00980BC4">
        <w:rPr>
          <w:rFonts w:ascii="仿宋" w:eastAsia="仿宋" w:hAnsi="仿宋" w:cs="Times New Roman" w:hint="eastAsia"/>
          <w:sz w:val="28"/>
          <w:szCs w:val="28"/>
        </w:rPr>
        <w:t>股，均未解除限制、由公司回购注销，截止报告期末发行在外的股数为</w:t>
      </w:r>
      <w:r w:rsidRPr="00980BC4">
        <w:rPr>
          <w:rFonts w:ascii="仿宋" w:eastAsia="仿宋" w:hAnsi="仿宋" w:cs="Times New Roman"/>
          <w:sz w:val="28"/>
          <w:szCs w:val="28"/>
        </w:rPr>
        <w:t>422,013</w:t>
      </w:r>
      <w:r w:rsidRPr="00980BC4">
        <w:rPr>
          <w:rFonts w:ascii="仿宋" w:eastAsia="仿宋" w:hAnsi="仿宋" w:cs="Times New Roman" w:hint="eastAsia"/>
          <w:sz w:val="28"/>
          <w:szCs w:val="28"/>
        </w:rPr>
        <w:t>股，剩余未解禁的限制性股票分别</w:t>
      </w:r>
      <w:r w:rsidR="00D955DC" w:rsidRPr="00980BC4">
        <w:rPr>
          <w:rFonts w:ascii="仿宋" w:eastAsia="仿宋" w:hAnsi="仿宋" w:cs="Times New Roman" w:hint="eastAsia"/>
          <w:sz w:val="28"/>
          <w:szCs w:val="28"/>
        </w:rPr>
        <w:t>于</w:t>
      </w:r>
      <w:r w:rsidRPr="00980BC4">
        <w:rPr>
          <w:rFonts w:ascii="仿宋" w:eastAsia="仿宋" w:hAnsi="仿宋" w:cs="Times New Roman"/>
          <w:sz w:val="28"/>
          <w:szCs w:val="28"/>
        </w:rPr>
        <w:t>2023</w:t>
      </w:r>
      <w:r w:rsidRPr="00980BC4">
        <w:rPr>
          <w:rFonts w:ascii="仿宋" w:eastAsia="仿宋" w:hAnsi="仿宋" w:cs="Times New Roman" w:hint="eastAsia"/>
          <w:sz w:val="28"/>
          <w:szCs w:val="28"/>
        </w:rPr>
        <w:t>年、</w:t>
      </w:r>
      <w:r w:rsidRPr="00980BC4">
        <w:rPr>
          <w:rFonts w:ascii="仿宋" w:eastAsia="仿宋" w:hAnsi="仿宋" w:cs="Times New Roman"/>
          <w:sz w:val="28"/>
          <w:szCs w:val="28"/>
        </w:rPr>
        <w:t>2024</w:t>
      </w:r>
      <w:r w:rsidRPr="00980BC4">
        <w:rPr>
          <w:rFonts w:ascii="仿宋" w:eastAsia="仿宋" w:hAnsi="仿宋" w:cs="Times New Roman" w:hint="eastAsia"/>
          <w:sz w:val="28"/>
          <w:szCs w:val="28"/>
        </w:rPr>
        <w:t>年解禁</w:t>
      </w:r>
      <w:r w:rsidRPr="00980BC4">
        <w:rPr>
          <w:rFonts w:ascii="仿宋" w:eastAsia="仿宋" w:hAnsi="仿宋" w:cs="Times New Roman"/>
          <w:sz w:val="28"/>
          <w:szCs w:val="28"/>
        </w:rPr>
        <w:t>211,007</w:t>
      </w:r>
      <w:r w:rsidRPr="00980BC4">
        <w:rPr>
          <w:rFonts w:ascii="仿宋" w:eastAsia="仿宋" w:hAnsi="仿宋" w:cs="Times New Roman" w:hint="eastAsia"/>
          <w:sz w:val="28"/>
          <w:szCs w:val="28"/>
        </w:rPr>
        <w:t>股、</w:t>
      </w:r>
      <w:r w:rsidRPr="00980BC4">
        <w:rPr>
          <w:rFonts w:ascii="仿宋" w:eastAsia="仿宋" w:hAnsi="仿宋" w:cs="Times New Roman"/>
          <w:sz w:val="28"/>
          <w:szCs w:val="28"/>
        </w:rPr>
        <w:t>211,006</w:t>
      </w:r>
      <w:r w:rsidRPr="00980BC4">
        <w:rPr>
          <w:rFonts w:ascii="仿宋" w:eastAsia="仿宋" w:hAnsi="仿宋" w:cs="Times New Roman" w:hint="eastAsia"/>
          <w:sz w:val="28"/>
          <w:szCs w:val="28"/>
        </w:rPr>
        <w:t>股。本激励计划的业绩考核、解除限售、回购注销情况见本公司</w:t>
      </w:r>
      <w:r w:rsidRPr="00980BC4">
        <w:rPr>
          <w:rFonts w:ascii="仿宋" w:eastAsia="仿宋" w:hAnsi="仿宋" w:cs="Times New Roman"/>
          <w:sz w:val="28"/>
          <w:szCs w:val="28"/>
        </w:rPr>
        <w:t>2021-47</w:t>
      </w:r>
      <w:r w:rsidRPr="00980BC4">
        <w:rPr>
          <w:rFonts w:ascii="仿宋" w:eastAsia="仿宋" w:hAnsi="仿宋" w:cs="Times New Roman" w:hint="eastAsia"/>
          <w:sz w:val="28"/>
          <w:szCs w:val="28"/>
        </w:rPr>
        <w:t>号、</w:t>
      </w:r>
      <w:r w:rsidRPr="00980BC4">
        <w:rPr>
          <w:rFonts w:ascii="仿宋" w:eastAsia="仿宋" w:hAnsi="仿宋" w:cs="Times New Roman"/>
          <w:sz w:val="28"/>
          <w:szCs w:val="28"/>
        </w:rPr>
        <w:t>2022-05</w:t>
      </w:r>
      <w:r w:rsidRPr="00980BC4">
        <w:rPr>
          <w:rFonts w:ascii="仿宋" w:eastAsia="仿宋" w:hAnsi="仿宋" w:cs="Times New Roman" w:hint="eastAsia"/>
          <w:sz w:val="28"/>
          <w:szCs w:val="28"/>
        </w:rPr>
        <w:t>号、</w:t>
      </w:r>
      <w:r w:rsidRPr="00980BC4">
        <w:rPr>
          <w:rFonts w:ascii="仿宋" w:eastAsia="仿宋" w:hAnsi="仿宋" w:cs="Times New Roman"/>
          <w:sz w:val="28"/>
          <w:szCs w:val="28"/>
        </w:rPr>
        <w:t>2022-20</w:t>
      </w:r>
      <w:r w:rsidRPr="00980BC4">
        <w:rPr>
          <w:rFonts w:ascii="仿宋" w:eastAsia="仿宋" w:hAnsi="仿宋" w:cs="Times New Roman" w:hint="eastAsia"/>
          <w:sz w:val="28"/>
          <w:szCs w:val="28"/>
        </w:rPr>
        <w:t>号、</w:t>
      </w:r>
      <w:r w:rsidRPr="00980BC4">
        <w:rPr>
          <w:rFonts w:ascii="仿宋" w:eastAsia="仿宋" w:hAnsi="仿宋" w:cs="Times New Roman"/>
          <w:sz w:val="28"/>
          <w:szCs w:val="28"/>
        </w:rPr>
        <w:t>2023-04</w:t>
      </w:r>
      <w:r w:rsidRPr="00980BC4">
        <w:rPr>
          <w:rFonts w:ascii="仿宋" w:eastAsia="仿宋" w:hAnsi="仿宋" w:cs="Times New Roman" w:hint="eastAsia"/>
          <w:sz w:val="28"/>
          <w:szCs w:val="28"/>
        </w:rPr>
        <w:t>号公告。</w:t>
      </w:r>
    </w:p>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b/>
          <w:sz w:val="28"/>
          <w:szCs w:val="28"/>
        </w:rPr>
      </w:pPr>
      <w:bookmarkStart w:id="375" w:name="_Toc989265"/>
      <w:r w:rsidRPr="00980BC4">
        <w:rPr>
          <w:rFonts w:ascii="仿宋" w:eastAsia="仿宋" w:hAnsi="仿宋" w:cs="Times New Roman"/>
          <w:b/>
          <w:sz w:val="28"/>
          <w:szCs w:val="28"/>
        </w:rPr>
        <w:t>2、以权益结算的股份支付情况</w:t>
      </w:r>
      <w:bookmarkEnd w:id="375"/>
    </w:p>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 xml:space="preserve">适用 </w:t>
      </w:r>
      <w:r w:rsidR="00D955DC"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□不适用</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955DC">
            <w:pPr>
              <w:spacing w:before="40" w:after="40" w:line="280" w:lineRule="exact"/>
              <w:rPr>
                <w:rFonts w:ascii="宋体" w:eastAsia="宋体" w:hAnsi="宋体" w:cs="宋体"/>
                <w:sz w:val="18"/>
                <w:szCs w:val="18"/>
              </w:rPr>
            </w:pPr>
            <w:r w:rsidRPr="00980BC4">
              <w:rPr>
                <w:rFonts w:ascii="宋体" w:eastAsia="宋体" w:hAnsi="宋体" w:cs="宋体"/>
                <w:sz w:val="18"/>
                <w:szCs w:val="18"/>
              </w:rPr>
              <w:t>授予日权益工具公允价值的确定方法</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955DC">
            <w:pPr>
              <w:spacing w:line="280" w:lineRule="exact"/>
              <w:rPr>
                <w:rFonts w:ascii="宋体" w:eastAsia="宋体" w:hAnsi="宋体" w:cs="宋体"/>
                <w:sz w:val="18"/>
                <w:szCs w:val="18"/>
              </w:rPr>
            </w:pPr>
            <w:r w:rsidRPr="00980BC4">
              <w:rPr>
                <w:rFonts w:ascii="宋体" w:eastAsia="宋体" w:hAnsi="宋体" w:cs="宋体"/>
                <w:sz w:val="18"/>
                <w:szCs w:val="18"/>
              </w:rPr>
              <w:t>授予日公司股票收盘</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955DC">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可行权权益工具数量的确定依据</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955DC">
            <w:pPr>
              <w:spacing w:line="280" w:lineRule="exact"/>
              <w:rPr>
                <w:rFonts w:ascii="宋体" w:eastAsia="宋体" w:hAnsi="宋体" w:cs="宋体"/>
                <w:sz w:val="18"/>
                <w:szCs w:val="18"/>
              </w:rPr>
            </w:pPr>
            <w:r w:rsidRPr="00980BC4">
              <w:rPr>
                <w:rFonts w:ascii="宋体" w:eastAsia="宋体" w:hAnsi="宋体" w:cs="宋体"/>
                <w:sz w:val="18"/>
                <w:szCs w:val="18"/>
              </w:rPr>
              <w:t>每个资产负债表日，根据最新取得的可行权/解锁人数变动、业绩指标完成情况等后续信息确定</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955DC">
            <w:pPr>
              <w:spacing w:before="40" w:after="40" w:line="280" w:lineRule="exact"/>
              <w:rPr>
                <w:rFonts w:ascii="宋体" w:eastAsia="宋体" w:hAnsi="宋体" w:cs="宋体"/>
                <w:sz w:val="18"/>
                <w:szCs w:val="18"/>
              </w:rPr>
            </w:pPr>
            <w:r w:rsidRPr="00980BC4">
              <w:rPr>
                <w:rFonts w:ascii="宋体" w:eastAsia="宋体" w:hAnsi="宋体" w:cs="宋体"/>
                <w:sz w:val="18"/>
                <w:szCs w:val="18"/>
              </w:rPr>
              <w:t>本期估计与上期估计有重大差异的原因</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D955DC">
            <w:pPr>
              <w:spacing w:line="280" w:lineRule="exact"/>
              <w:rPr>
                <w:rFonts w:ascii="宋体" w:eastAsia="宋体" w:hAnsi="宋体" w:cs="宋体"/>
                <w:sz w:val="18"/>
                <w:szCs w:val="18"/>
              </w:rPr>
            </w:pPr>
            <w:r w:rsidRPr="00980BC4">
              <w:rPr>
                <w:rFonts w:ascii="宋体" w:eastAsia="宋体" w:hAnsi="宋体" w:cs="宋体"/>
                <w:sz w:val="18"/>
                <w:szCs w:val="18"/>
              </w:rPr>
              <w:t>无</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955DC">
            <w:pPr>
              <w:spacing w:before="40" w:after="40" w:line="280" w:lineRule="exact"/>
              <w:rPr>
                <w:rFonts w:ascii="宋体" w:eastAsia="宋体" w:hAnsi="宋体" w:cs="宋体"/>
                <w:sz w:val="18"/>
                <w:szCs w:val="18"/>
              </w:rPr>
            </w:pPr>
            <w:r w:rsidRPr="00980BC4">
              <w:rPr>
                <w:rFonts w:ascii="宋体" w:eastAsia="宋体" w:hAnsi="宋体" w:cs="宋体"/>
                <w:sz w:val="18"/>
                <w:szCs w:val="18"/>
              </w:rPr>
              <w:t>以权益结算的股份支付计入资本公积的累计金额</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D955DC" w:rsidP="00D955DC">
            <w:pPr>
              <w:spacing w:line="280" w:lineRule="exact"/>
              <w:jc w:val="right"/>
              <w:rPr>
                <w:rFonts w:ascii="宋体" w:eastAsia="宋体" w:hAnsi="宋体" w:cs="宋体"/>
                <w:sz w:val="18"/>
                <w:szCs w:val="18"/>
              </w:rPr>
            </w:pPr>
            <w:r w:rsidRPr="00980BC4">
              <w:rPr>
                <w:rFonts w:ascii="宋体" w:eastAsia="宋体" w:hAnsi="宋体" w:cs="宋体" w:hint="eastAsia"/>
                <w:sz w:val="18"/>
                <w:szCs w:val="18"/>
              </w:rPr>
              <w:t>20,911,759.32</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D955DC">
            <w:pPr>
              <w:spacing w:before="40" w:after="40" w:line="280" w:lineRule="exact"/>
              <w:rPr>
                <w:rFonts w:ascii="宋体" w:eastAsia="宋体" w:hAnsi="宋体" w:cs="宋体"/>
                <w:sz w:val="18"/>
                <w:szCs w:val="18"/>
              </w:rPr>
            </w:pPr>
            <w:r w:rsidRPr="00980BC4">
              <w:rPr>
                <w:rFonts w:ascii="宋体" w:eastAsia="宋体" w:hAnsi="宋体" w:cs="宋体"/>
                <w:sz w:val="18"/>
                <w:szCs w:val="18"/>
              </w:rPr>
              <w:t>本期以权益结算的股份支付确认的费用总额</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1671D5" w:rsidP="00D955DC">
            <w:pPr>
              <w:spacing w:line="280" w:lineRule="exact"/>
              <w:jc w:val="right"/>
              <w:rPr>
                <w:rFonts w:ascii="宋体" w:eastAsia="宋体" w:hAnsi="宋体" w:cs="宋体"/>
                <w:sz w:val="18"/>
                <w:szCs w:val="18"/>
              </w:rPr>
            </w:pPr>
            <w:r w:rsidRPr="00980BC4">
              <w:rPr>
                <w:rFonts w:ascii="宋体" w:eastAsia="宋体" w:hAnsi="宋体" w:cs="宋体"/>
                <w:sz w:val="18"/>
                <w:szCs w:val="18"/>
              </w:rPr>
              <w:t>10,128,809.55</w:t>
            </w:r>
          </w:p>
        </w:tc>
      </w:tr>
    </w:tbl>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其他说明：</w:t>
      </w:r>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公司</w:t>
      </w:r>
      <w:r w:rsidRPr="00980BC4">
        <w:rPr>
          <w:rFonts w:ascii="仿宋" w:eastAsia="仿宋" w:hAnsi="仿宋" w:cs="Times New Roman"/>
          <w:sz w:val="28"/>
          <w:szCs w:val="28"/>
        </w:rPr>
        <w:t>2021</w:t>
      </w:r>
      <w:r w:rsidRPr="00980BC4">
        <w:rPr>
          <w:rFonts w:ascii="仿宋" w:eastAsia="仿宋" w:hAnsi="仿宋" w:cs="Times New Roman" w:hint="eastAsia"/>
          <w:sz w:val="28"/>
          <w:szCs w:val="28"/>
        </w:rPr>
        <w:t>确认股份支付费用</w:t>
      </w:r>
      <w:r w:rsidRPr="00980BC4">
        <w:rPr>
          <w:rFonts w:ascii="仿宋" w:eastAsia="仿宋" w:hAnsi="仿宋" w:cs="Times New Roman"/>
          <w:sz w:val="28"/>
          <w:szCs w:val="28"/>
        </w:rPr>
        <w:t>11,174,799.96</w:t>
      </w:r>
      <w:r w:rsidRPr="00980BC4">
        <w:rPr>
          <w:rFonts w:ascii="仿宋" w:eastAsia="仿宋" w:hAnsi="仿宋" w:cs="Times New Roman" w:hint="eastAsia"/>
          <w:sz w:val="28"/>
          <w:szCs w:val="28"/>
        </w:rPr>
        <w:t>元，与当期以权益结算的股份支付计入资本公积的累计金额差异为：根据</w:t>
      </w:r>
      <w:r w:rsidRPr="00980BC4">
        <w:rPr>
          <w:rFonts w:ascii="仿宋" w:eastAsia="仿宋" w:hAnsi="仿宋" w:cs="Times New Roman"/>
          <w:sz w:val="28"/>
          <w:szCs w:val="28"/>
        </w:rPr>
        <w:t>2021</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31</w:t>
      </w:r>
      <w:r w:rsidRPr="00980BC4">
        <w:rPr>
          <w:rFonts w:ascii="仿宋" w:eastAsia="仿宋" w:hAnsi="仿宋" w:cs="Times New Roman" w:hint="eastAsia"/>
          <w:sz w:val="28"/>
          <w:szCs w:val="28"/>
        </w:rPr>
        <w:t>日甘化科工公司股票收盘价与激励计划授予价格之间的差异对预期行权部分的超额抵税额确认递延所得税资产</w:t>
      </w:r>
      <w:r w:rsidRPr="00980BC4">
        <w:rPr>
          <w:rFonts w:ascii="仿宋" w:eastAsia="仿宋" w:hAnsi="仿宋" w:cs="Times New Roman"/>
          <w:sz w:val="28"/>
          <w:szCs w:val="28"/>
        </w:rPr>
        <w:t>150,239.15</w:t>
      </w:r>
      <w:r w:rsidRPr="00980BC4">
        <w:rPr>
          <w:rFonts w:ascii="仿宋" w:eastAsia="仿宋" w:hAnsi="仿宋" w:cs="Times New Roman" w:hint="eastAsia"/>
          <w:sz w:val="28"/>
          <w:szCs w:val="28"/>
        </w:rPr>
        <w:t>元、本期股权激励摊销金额中属于少数股权权益</w:t>
      </w:r>
      <w:r w:rsidRPr="00980BC4">
        <w:rPr>
          <w:rFonts w:ascii="仿宋" w:eastAsia="仿宋" w:hAnsi="仿宋" w:cs="Times New Roman"/>
          <w:sz w:val="28"/>
          <w:szCs w:val="28"/>
        </w:rPr>
        <w:t>228,807.10</w:t>
      </w:r>
      <w:r w:rsidRPr="00980BC4">
        <w:rPr>
          <w:rFonts w:ascii="仿宋" w:eastAsia="仿宋" w:hAnsi="仿宋" w:cs="Times New Roman" w:hint="eastAsia"/>
          <w:sz w:val="28"/>
          <w:szCs w:val="28"/>
        </w:rPr>
        <w:t>元。</w:t>
      </w:r>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公司</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确认股份支付费用</w:t>
      </w:r>
      <w:r w:rsidR="00434790" w:rsidRPr="00980BC4">
        <w:rPr>
          <w:rFonts w:ascii="仿宋" w:eastAsia="仿宋" w:hAnsi="仿宋" w:cs="Times New Roman"/>
          <w:sz w:val="28"/>
          <w:szCs w:val="28"/>
        </w:rPr>
        <w:t>10,128,809.55</w:t>
      </w:r>
      <w:r w:rsidRPr="00980BC4">
        <w:rPr>
          <w:rFonts w:ascii="仿宋" w:eastAsia="仿宋" w:hAnsi="仿宋" w:cs="Times New Roman" w:hint="eastAsia"/>
          <w:sz w:val="28"/>
          <w:szCs w:val="28"/>
        </w:rPr>
        <w:t>元，与当期以权益结算的股份支付计入资本公积的累计金额差异为：根据</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31</w:t>
      </w:r>
      <w:r w:rsidRPr="00980BC4">
        <w:rPr>
          <w:rFonts w:ascii="仿宋" w:eastAsia="仿宋" w:hAnsi="仿宋" w:cs="Times New Roman" w:hint="eastAsia"/>
          <w:sz w:val="28"/>
          <w:szCs w:val="28"/>
        </w:rPr>
        <w:t>日甘化科工公司股票收盘价与激励计划授予价格之间的差异冲回上期对预期行权部分计提的的超额抵税额</w:t>
      </w:r>
      <w:r w:rsidRPr="00980BC4">
        <w:rPr>
          <w:rFonts w:ascii="仿宋" w:eastAsia="仿宋" w:hAnsi="仿宋" w:cs="Times New Roman"/>
          <w:sz w:val="28"/>
          <w:szCs w:val="28"/>
        </w:rPr>
        <w:t>150,239.15</w:t>
      </w:r>
      <w:r w:rsidRPr="00980BC4">
        <w:rPr>
          <w:rFonts w:ascii="仿宋" w:eastAsia="仿宋" w:hAnsi="仿宋" w:cs="Times New Roman" w:hint="eastAsia"/>
          <w:sz w:val="28"/>
          <w:szCs w:val="28"/>
        </w:rPr>
        <w:t>元、本期股权激励摊销金额中属于少数股权权益</w:t>
      </w:r>
      <w:r w:rsidRPr="00980BC4">
        <w:rPr>
          <w:rFonts w:ascii="仿宋" w:eastAsia="仿宋" w:hAnsi="仿宋" w:cs="Times New Roman"/>
          <w:sz w:val="28"/>
          <w:szCs w:val="28"/>
        </w:rPr>
        <w:t>163,043.09</w:t>
      </w:r>
      <w:r w:rsidRPr="00980BC4">
        <w:rPr>
          <w:rFonts w:ascii="仿宋" w:eastAsia="仿宋" w:hAnsi="仿宋" w:cs="Times New Roman" w:hint="eastAsia"/>
          <w:sz w:val="28"/>
          <w:szCs w:val="28"/>
        </w:rPr>
        <w:t>元。</w:t>
      </w:r>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bookmarkStart w:id="376" w:name="_Toc989266"/>
      <w:r w:rsidRPr="00980BC4">
        <w:rPr>
          <w:rFonts w:ascii="仿宋" w:eastAsia="仿宋" w:hAnsi="仿宋" w:cs="Times New Roman"/>
          <w:b/>
          <w:sz w:val="28"/>
          <w:szCs w:val="28"/>
        </w:rPr>
        <w:t>3、以现金结算的股份支付情况</w:t>
      </w:r>
      <w:bookmarkEnd w:id="376"/>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□适用</w:t>
      </w:r>
      <w:r w:rsidR="00597911"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896A9C">
      <w:pPr>
        <w:pStyle w:val="2"/>
        <w:spacing w:before="0" w:after="0" w:line="540" w:lineRule="exact"/>
        <w:ind w:firstLineChars="200" w:firstLine="562"/>
        <w:divId w:val="969553885"/>
        <w:rPr>
          <w:rFonts w:ascii="宋体" w:eastAsia="宋体" w:hAnsi="宋体" w:cs="宋体"/>
          <w:b/>
          <w:bCs/>
          <w:sz w:val="28"/>
          <w:szCs w:val="28"/>
        </w:rPr>
      </w:pPr>
      <w:bookmarkStart w:id="377" w:name="_Toc989267"/>
      <w:r w:rsidRPr="00980BC4">
        <w:rPr>
          <w:rFonts w:ascii="宋体" w:eastAsia="宋体" w:hAnsi="宋体" w:cs="宋体"/>
          <w:b/>
          <w:bCs/>
          <w:sz w:val="28"/>
          <w:szCs w:val="28"/>
        </w:rPr>
        <w:t>十四、承诺及或有事项</w:t>
      </w:r>
      <w:bookmarkEnd w:id="377"/>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bookmarkStart w:id="378" w:name="_Toc989268"/>
      <w:r w:rsidRPr="00980BC4">
        <w:rPr>
          <w:rFonts w:ascii="仿宋" w:eastAsia="仿宋" w:hAnsi="仿宋" w:cs="Times New Roman"/>
          <w:b/>
          <w:sz w:val="28"/>
          <w:szCs w:val="28"/>
        </w:rPr>
        <w:t>1、重要承诺事项</w:t>
      </w:r>
      <w:bookmarkEnd w:id="378"/>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资产负债表日存在的重要承诺</w:t>
      </w:r>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截至</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31</w:t>
      </w:r>
      <w:r w:rsidRPr="00980BC4">
        <w:rPr>
          <w:rFonts w:ascii="仿宋" w:eastAsia="仿宋" w:hAnsi="仿宋" w:cs="Times New Roman" w:hint="eastAsia"/>
          <w:sz w:val="28"/>
          <w:szCs w:val="28"/>
        </w:rPr>
        <w:t>日，本公司无需要披露的重大承诺事项。</w:t>
      </w:r>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bookmarkStart w:id="379" w:name="_Toc989269"/>
      <w:r w:rsidRPr="00980BC4">
        <w:rPr>
          <w:rFonts w:ascii="仿宋" w:eastAsia="仿宋" w:hAnsi="仿宋" w:cs="Times New Roman"/>
          <w:b/>
          <w:sz w:val="28"/>
          <w:szCs w:val="28"/>
        </w:rPr>
        <w:t>2、或有事项</w:t>
      </w:r>
      <w:bookmarkEnd w:id="379"/>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bookmarkStart w:id="380" w:name="_Toc989270"/>
      <w:r w:rsidRPr="00980BC4">
        <w:rPr>
          <w:rFonts w:ascii="仿宋" w:eastAsia="仿宋" w:hAnsi="仿宋" w:cs="Times New Roman"/>
          <w:b/>
          <w:sz w:val="28"/>
          <w:szCs w:val="28"/>
        </w:rPr>
        <w:t>（1） 资产负债表日存在的重要或有事项</w:t>
      </w:r>
      <w:bookmarkEnd w:id="380"/>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截至</w:t>
      </w:r>
      <w:r w:rsidRPr="00980BC4">
        <w:rPr>
          <w:rFonts w:ascii="仿宋" w:eastAsia="仿宋" w:hAnsi="仿宋" w:cs="Times New Roman"/>
          <w:sz w:val="28"/>
          <w:szCs w:val="28"/>
        </w:rPr>
        <w:t>2022</w:t>
      </w:r>
      <w:r w:rsidRPr="00980BC4">
        <w:rPr>
          <w:rFonts w:ascii="仿宋" w:eastAsia="仿宋" w:hAnsi="仿宋" w:cs="Times New Roman" w:hint="eastAsia"/>
          <w:sz w:val="28"/>
          <w:szCs w:val="28"/>
        </w:rPr>
        <w:t>年</w:t>
      </w:r>
      <w:r w:rsidRPr="00980BC4">
        <w:rPr>
          <w:rFonts w:ascii="仿宋" w:eastAsia="仿宋" w:hAnsi="仿宋" w:cs="Times New Roman"/>
          <w:sz w:val="28"/>
          <w:szCs w:val="28"/>
        </w:rPr>
        <w:t>12</w:t>
      </w:r>
      <w:r w:rsidRPr="00980BC4">
        <w:rPr>
          <w:rFonts w:ascii="仿宋" w:eastAsia="仿宋" w:hAnsi="仿宋" w:cs="Times New Roman" w:hint="eastAsia"/>
          <w:sz w:val="28"/>
          <w:szCs w:val="28"/>
        </w:rPr>
        <w:t>月</w:t>
      </w:r>
      <w:r w:rsidRPr="00980BC4">
        <w:rPr>
          <w:rFonts w:ascii="仿宋" w:eastAsia="仿宋" w:hAnsi="仿宋" w:cs="Times New Roman"/>
          <w:sz w:val="28"/>
          <w:szCs w:val="28"/>
        </w:rPr>
        <w:t>31</w:t>
      </w:r>
      <w:r w:rsidRPr="00980BC4">
        <w:rPr>
          <w:rFonts w:ascii="仿宋" w:eastAsia="仿宋" w:hAnsi="仿宋" w:cs="Times New Roman" w:hint="eastAsia"/>
          <w:sz w:val="28"/>
          <w:szCs w:val="28"/>
        </w:rPr>
        <w:t>日，本公司无需要披露的重大或有事项。</w:t>
      </w:r>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bookmarkStart w:id="381" w:name="_Toc989271"/>
      <w:r w:rsidRPr="00980BC4">
        <w:rPr>
          <w:rFonts w:ascii="仿宋" w:eastAsia="仿宋" w:hAnsi="仿宋" w:cs="Times New Roman"/>
          <w:b/>
          <w:sz w:val="28"/>
          <w:szCs w:val="28"/>
        </w:rPr>
        <w:t>（2） 公司没有需要披露的重要或有事项，也应予以说明</w:t>
      </w:r>
      <w:bookmarkEnd w:id="381"/>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公司不存在需要披露的重要或有事项。</w:t>
      </w:r>
    </w:p>
    <w:p w:rsidR="00F67D6F" w:rsidRPr="00980BC4" w:rsidRDefault="00F67D6F" w:rsidP="00896A9C">
      <w:pPr>
        <w:pStyle w:val="2"/>
        <w:spacing w:before="0" w:after="0" w:line="540" w:lineRule="exact"/>
        <w:ind w:firstLineChars="200" w:firstLine="562"/>
        <w:divId w:val="969553885"/>
        <w:rPr>
          <w:rFonts w:ascii="宋体" w:eastAsia="宋体" w:hAnsi="宋体" w:cs="宋体"/>
          <w:b/>
          <w:bCs/>
          <w:sz w:val="28"/>
          <w:szCs w:val="28"/>
        </w:rPr>
      </w:pPr>
      <w:bookmarkStart w:id="382" w:name="_Toc989272"/>
      <w:r w:rsidRPr="00980BC4">
        <w:rPr>
          <w:rFonts w:ascii="宋体" w:eastAsia="宋体" w:hAnsi="宋体" w:cs="宋体"/>
          <w:b/>
          <w:bCs/>
          <w:sz w:val="28"/>
          <w:szCs w:val="28"/>
        </w:rPr>
        <w:lastRenderedPageBreak/>
        <w:t>十五、资产负债表日后事项</w:t>
      </w:r>
      <w:bookmarkEnd w:id="382"/>
    </w:p>
    <w:p w:rsidR="00B7436F" w:rsidRDefault="00B7436F" w:rsidP="00B7436F">
      <w:pPr>
        <w:pStyle w:val="2"/>
        <w:spacing w:before="0" w:after="0" w:line="540" w:lineRule="exact"/>
        <w:ind w:firstLineChars="200" w:firstLine="560"/>
        <w:divId w:val="969553885"/>
        <w:rPr>
          <w:rFonts w:ascii="仿宋" w:eastAsia="仿宋" w:hAnsi="仿宋" w:cs="Times New Roman"/>
          <w:sz w:val="28"/>
          <w:szCs w:val="28"/>
        </w:rPr>
      </w:pPr>
      <w:bookmarkStart w:id="383" w:name="_Toc989274"/>
      <w:r w:rsidRPr="00B53708">
        <w:rPr>
          <w:rFonts w:ascii="仿宋" w:eastAsia="仿宋" w:hAnsi="仿宋" w:cs="Times New Roman" w:hint="eastAsia"/>
          <w:sz w:val="28"/>
          <w:szCs w:val="28"/>
        </w:rPr>
        <w:t>2023年3月25日，根据甘化科工2023-09号公告披露，甘化科工控股股东德力西集团有限公司所持甘化科工股份24,084,779股、占公司总股本5.44%的股权已全部解除司法冻结。</w:t>
      </w:r>
    </w:p>
    <w:p w:rsidR="00F67D6F" w:rsidRPr="00980BC4" w:rsidRDefault="00F67D6F" w:rsidP="00B7436F">
      <w:pPr>
        <w:pStyle w:val="2"/>
        <w:spacing w:before="0" w:after="0" w:line="540" w:lineRule="exact"/>
        <w:ind w:firstLineChars="200" w:firstLine="562"/>
        <w:divId w:val="969553885"/>
        <w:rPr>
          <w:rFonts w:ascii="宋体" w:eastAsia="宋体" w:hAnsi="宋体" w:cs="宋体"/>
          <w:b/>
          <w:bCs/>
          <w:sz w:val="28"/>
          <w:szCs w:val="28"/>
        </w:rPr>
      </w:pPr>
      <w:r w:rsidRPr="00980BC4">
        <w:rPr>
          <w:rFonts w:ascii="宋体" w:eastAsia="宋体" w:hAnsi="宋体" w:cs="宋体"/>
          <w:b/>
          <w:bCs/>
          <w:sz w:val="28"/>
          <w:szCs w:val="28"/>
        </w:rPr>
        <w:t>十六、其他重要事项</w:t>
      </w:r>
      <w:bookmarkEnd w:id="383"/>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bookmarkStart w:id="384" w:name="_Toc989275"/>
      <w:r w:rsidRPr="00980BC4">
        <w:rPr>
          <w:rFonts w:ascii="仿宋" w:eastAsia="仿宋" w:hAnsi="仿宋" w:cs="Times New Roman"/>
          <w:b/>
          <w:sz w:val="28"/>
          <w:szCs w:val="28"/>
        </w:rPr>
        <w:t>1、分部信息</w:t>
      </w:r>
      <w:bookmarkEnd w:id="384"/>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bookmarkStart w:id="385" w:name="_Toc989276"/>
      <w:r w:rsidRPr="00980BC4">
        <w:rPr>
          <w:rFonts w:ascii="仿宋" w:eastAsia="仿宋" w:hAnsi="仿宋" w:cs="Times New Roman"/>
          <w:b/>
          <w:sz w:val="28"/>
          <w:szCs w:val="28"/>
        </w:rPr>
        <w:t>（1） 报告分部的确定依据与会计政策</w:t>
      </w:r>
      <w:bookmarkEnd w:id="385"/>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r w:rsidRPr="00980BC4">
        <w:rPr>
          <w:rFonts w:ascii="仿宋" w:eastAsia="仿宋" w:hAnsi="仿宋" w:cs="Times New Roman" w:hint="eastAsia"/>
          <w:sz w:val="28"/>
          <w:szCs w:val="28"/>
        </w:rPr>
        <w:t>报告分部按产品分类确定，报告分部均执行公司的统一会计政策。</w:t>
      </w:r>
    </w:p>
    <w:p w:rsidR="00F67D6F" w:rsidRPr="00980BC4" w:rsidRDefault="00F67D6F" w:rsidP="00896A9C">
      <w:pPr>
        <w:pStyle w:val="a3"/>
        <w:spacing w:before="0" w:beforeAutospacing="0" w:after="0" w:afterAutospacing="0" w:line="540" w:lineRule="exact"/>
        <w:ind w:firstLine="480"/>
        <w:jc w:val="both"/>
        <w:divId w:val="969553885"/>
        <w:rPr>
          <w:rFonts w:ascii="仿宋" w:eastAsia="仿宋" w:hAnsi="仿宋" w:cs="Times New Roman"/>
          <w:b/>
          <w:sz w:val="28"/>
          <w:szCs w:val="28"/>
        </w:rPr>
      </w:pPr>
      <w:bookmarkStart w:id="386" w:name="_Toc989277"/>
      <w:r w:rsidRPr="00980BC4">
        <w:rPr>
          <w:rFonts w:ascii="仿宋" w:eastAsia="仿宋" w:hAnsi="仿宋" w:cs="Times New Roman"/>
          <w:b/>
          <w:sz w:val="28"/>
          <w:szCs w:val="28"/>
        </w:rPr>
        <w:t>（2） 报告分部的财务信息</w:t>
      </w:r>
      <w:bookmarkEnd w:id="386"/>
    </w:p>
    <w:p w:rsidR="00B7436F" w:rsidRPr="00980BC4" w:rsidRDefault="00B7436F" w:rsidP="00B7436F">
      <w:pPr>
        <w:spacing w:before="40" w:after="40" w:line="240" w:lineRule="exact"/>
        <w:jc w:val="right"/>
        <w:divId w:val="969553885"/>
        <w:rPr>
          <w:rFonts w:ascii="宋体" w:eastAsia="宋体" w:hAnsi="宋体" w:cs="宋体"/>
          <w:sz w:val="18"/>
          <w:szCs w:val="18"/>
        </w:rPr>
      </w:pPr>
      <w:bookmarkStart w:id="387" w:name="_Toc989278"/>
      <w:r w:rsidRPr="00980BC4">
        <w:rPr>
          <w:rFonts w:ascii="宋体" w:eastAsia="宋体" w:hAnsi="宋体" w:cs="宋体"/>
          <w:sz w:val="18"/>
          <w:szCs w:val="18"/>
        </w:rPr>
        <w:t>单位：元</w:t>
      </w:r>
    </w:p>
    <w:tbl>
      <w:tblPr>
        <w:tblW w:w="1045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959"/>
        <w:gridCol w:w="1701"/>
        <w:gridCol w:w="1559"/>
        <w:gridCol w:w="1559"/>
        <w:gridCol w:w="1418"/>
        <w:gridCol w:w="1559"/>
        <w:gridCol w:w="1701"/>
      </w:tblGrid>
      <w:tr w:rsidR="00B7436F" w:rsidRPr="00980BC4" w:rsidTr="00E060E5">
        <w:trPr>
          <w:divId w:val="969553885"/>
          <w:trHeight w:val="240"/>
        </w:trPr>
        <w:tc>
          <w:tcPr>
            <w:tcW w:w="95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B7436F" w:rsidRPr="00980BC4" w:rsidRDefault="00B7436F" w:rsidP="00264B5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1701"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B7436F" w:rsidRPr="00980BC4" w:rsidRDefault="00B7436F" w:rsidP="00E060E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食糖贸易分部</w:t>
            </w:r>
          </w:p>
        </w:tc>
        <w:tc>
          <w:tcPr>
            <w:tcW w:w="155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B7436F" w:rsidRPr="00980BC4" w:rsidRDefault="00B7436F" w:rsidP="00E060E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电源及相关产品分部</w:t>
            </w:r>
          </w:p>
        </w:tc>
        <w:tc>
          <w:tcPr>
            <w:tcW w:w="155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B7436F" w:rsidRPr="00980BC4" w:rsidRDefault="00B7436F" w:rsidP="00E060E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高性能</w:t>
            </w:r>
            <w:r w:rsidRPr="001668F2">
              <w:rPr>
                <w:rFonts w:ascii="宋体" w:eastAsia="宋体" w:hAnsi="宋体" w:cs="宋体" w:hint="eastAsia"/>
                <w:sz w:val="18"/>
                <w:szCs w:val="18"/>
              </w:rPr>
              <w:t>钨</w:t>
            </w:r>
            <w:r w:rsidRPr="00980BC4">
              <w:rPr>
                <w:rFonts w:ascii="宋体" w:eastAsia="宋体" w:hAnsi="宋体" w:cs="宋体"/>
                <w:sz w:val="18"/>
                <w:szCs w:val="18"/>
              </w:rPr>
              <w:t>合金材料制品</w:t>
            </w:r>
          </w:p>
        </w:tc>
        <w:tc>
          <w:tcPr>
            <w:tcW w:w="141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B7436F" w:rsidRPr="001668F2" w:rsidRDefault="00B7436F" w:rsidP="00264B53">
            <w:pPr>
              <w:spacing w:before="40" w:after="40" w:line="280" w:lineRule="exact"/>
              <w:jc w:val="center"/>
              <w:rPr>
                <w:rFonts w:ascii="宋体" w:eastAsia="宋体" w:hAnsi="宋体" w:cs="宋体"/>
                <w:sz w:val="18"/>
                <w:szCs w:val="18"/>
              </w:rPr>
            </w:pPr>
            <w:r w:rsidRPr="001668F2">
              <w:rPr>
                <w:rFonts w:ascii="宋体" w:eastAsia="宋体" w:hAnsi="宋体" w:cs="宋体" w:hint="eastAsia"/>
                <w:sz w:val="18"/>
                <w:szCs w:val="18"/>
              </w:rPr>
              <w:t>高性能非晶合金制品分部</w:t>
            </w:r>
          </w:p>
        </w:tc>
        <w:tc>
          <w:tcPr>
            <w:tcW w:w="155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B7436F" w:rsidRPr="00980BC4" w:rsidRDefault="00B7436F" w:rsidP="00264B5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分部间抵销</w:t>
            </w:r>
          </w:p>
        </w:tc>
        <w:tc>
          <w:tcPr>
            <w:tcW w:w="1701"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B7436F" w:rsidRPr="00980BC4" w:rsidRDefault="00B7436F" w:rsidP="00264B53">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r>
      <w:tr w:rsidR="00902040" w:rsidRPr="00980BC4" w:rsidTr="00E060E5">
        <w:trPr>
          <w:divId w:val="969553885"/>
          <w:trHeight w:val="240"/>
        </w:trPr>
        <w:tc>
          <w:tcPr>
            <w:tcW w:w="959" w:type="dxa"/>
            <w:tcBorders>
              <w:top w:val="single" w:sz="2" w:space="0" w:color="auto"/>
              <w:left w:val="single" w:sz="2" w:space="0" w:color="auto"/>
              <w:bottom w:val="single" w:sz="2" w:space="0" w:color="auto"/>
              <w:right w:val="single" w:sz="2" w:space="0" w:color="auto"/>
            </w:tcBorders>
            <w:vAlign w:val="center"/>
          </w:tcPr>
          <w:p w:rsidR="00902040" w:rsidRPr="00980BC4" w:rsidRDefault="00902040" w:rsidP="00264B53">
            <w:pPr>
              <w:spacing w:line="280" w:lineRule="exact"/>
              <w:rPr>
                <w:rFonts w:ascii="宋体" w:eastAsia="宋体" w:hAnsi="宋体" w:cs="宋体"/>
                <w:sz w:val="18"/>
                <w:szCs w:val="18"/>
              </w:rPr>
            </w:pPr>
            <w:r w:rsidRPr="00980BC4">
              <w:rPr>
                <w:rFonts w:ascii="宋体" w:eastAsia="宋体" w:hAnsi="宋体" w:cs="宋体"/>
                <w:sz w:val="18"/>
                <w:szCs w:val="18"/>
              </w:rPr>
              <w:t>营业收入</w:t>
            </w:r>
          </w:p>
        </w:tc>
        <w:tc>
          <w:tcPr>
            <w:tcW w:w="1701" w:type="dxa"/>
            <w:tcBorders>
              <w:top w:val="single" w:sz="2" w:space="0" w:color="auto"/>
              <w:left w:val="single" w:sz="2" w:space="0" w:color="auto"/>
              <w:bottom w:val="single" w:sz="2" w:space="0" w:color="auto"/>
              <w:right w:val="single" w:sz="2" w:space="0" w:color="auto"/>
            </w:tcBorders>
            <w:vAlign w:val="center"/>
          </w:tcPr>
          <w:p w:rsidR="00902040" w:rsidRPr="00980BC4" w:rsidRDefault="00902040"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32,831,528.14</w:t>
            </w:r>
          </w:p>
        </w:tc>
        <w:tc>
          <w:tcPr>
            <w:tcW w:w="1559" w:type="dxa"/>
            <w:tcBorders>
              <w:top w:val="single" w:sz="2" w:space="0" w:color="auto"/>
              <w:left w:val="single" w:sz="2" w:space="0" w:color="auto"/>
              <w:bottom w:val="single" w:sz="2" w:space="0" w:color="auto"/>
              <w:right w:val="single" w:sz="2" w:space="0" w:color="auto"/>
            </w:tcBorders>
            <w:vAlign w:val="center"/>
          </w:tcPr>
          <w:p w:rsidR="00902040" w:rsidRPr="00980BC4" w:rsidRDefault="00902040"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276,154,957.48</w:t>
            </w:r>
          </w:p>
        </w:tc>
        <w:tc>
          <w:tcPr>
            <w:tcW w:w="1559" w:type="dxa"/>
            <w:tcBorders>
              <w:top w:val="single" w:sz="2" w:space="0" w:color="auto"/>
              <w:left w:val="single" w:sz="2" w:space="0" w:color="auto"/>
              <w:bottom w:val="single" w:sz="2" w:space="0" w:color="auto"/>
              <w:right w:val="single" w:sz="2" w:space="0" w:color="auto"/>
            </w:tcBorders>
            <w:vAlign w:val="center"/>
          </w:tcPr>
          <w:p w:rsidR="00902040" w:rsidRDefault="00902040"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121,407,212.55</w:t>
            </w:r>
          </w:p>
        </w:tc>
        <w:tc>
          <w:tcPr>
            <w:tcW w:w="1418" w:type="dxa"/>
            <w:tcBorders>
              <w:top w:val="single" w:sz="2" w:space="0" w:color="auto"/>
              <w:left w:val="single" w:sz="2" w:space="0" w:color="auto"/>
              <w:bottom w:val="single" w:sz="2" w:space="0" w:color="auto"/>
              <w:right w:val="single" w:sz="2" w:space="0" w:color="auto"/>
            </w:tcBorders>
            <w:vAlign w:val="center"/>
          </w:tcPr>
          <w:p w:rsidR="00902040" w:rsidRDefault="00902040" w:rsidP="00EF6E1A">
            <w:pPr>
              <w:spacing w:line="280" w:lineRule="exact"/>
              <w:jc w:val="right"/>
              <w:rPr>
                <w:rFonts w:ascii="宋体" w:eastAsia="宋体" w:hAnsi="宋体" w:cs="宋体"/>
                <w:sz w:val="18"/>
                <w:szCs w:val="18"/>
              </w:rPr>
            </w:pPr>
            <w:r w:rsidRPr="00A95432">
              <w:rPr>
                <w:rFonts w:ascii="宋体" w:eastAsia="宋体" w:hAnsi="宋体" w:cs="宋体"/>
                <w:sz w:val="18"/>
                <w:szCs w:val="18"/>
              </w:rPr>
              <w:t>15,185,043.02</w:t>
            </w:r>
          </w:p>
        </w:tc>
        <w:tc>
          <w:tcPr>
            <w:tcW w:w="1559" w:type="dxa"/>
            <w:tcBorders>
              <w:top w:val="single" w:sz="2" w:space="0" w:color="auto"/>
              <w:left w:val="single" w:sz="2" w:space="0" w:color="auto"/>
              <w:bottom w:val="single" w:sz="2" w:space="0" w:color="auto"/>
              <w:right w:val="single" w:sz="2" w:space="0" w:color="auto"/>
            </w:tcBorders>
            <w:vAlign w:val="center"/>
          </w:tcPr>
          <w:p w:rsidR="00902040" w:rsidRDefault="00902040" w:rsidP="00EF6E1A">
            <w:pPr>
              <w:spacing w:line="280" w:lineRule="exact"/>
              <w:jc w:val="right"/>
              <w:rPr>
                <w:rFonts w:ascii="宋体" w:eastAsia="宋体" w:hAnsi="宋体" w:cs="宋体"/>
                <w:sz w:val="18"/>
                <w:szCs w:val="18"/>
              </w:rPr>
            </w:pPr>
            <w:r>
              <w:rPr>
                <w:rFonts w:ascii="宋体" w:eastAsia="宋体" w:hAnsi="宋体" w:cs="宋体" w:hint="eastAsia"/>
                <w:sz w:val="18"/>
                <w:szCs w:val="18"/>
              </w:rPr>
              <w:t>-</w:t>
            </w:r>
            <w:r w:rsidRPr="00A95432">
              <w:rPr>
                <w:rFonts w:ascii="宋体" w:eastAsia="宋体" w:hAnsi="宋体" w:cs="宋体"/>
                <w:sz w:val="18"/>
                <w:szCs w:val="18"/>
              </w:rPr>
              <w:t>196,749.54</w:t>
            </w:r>
          </w:p>
        </w:tc>
        <w:tc>
          <w:tcPr>
            <w:tcW w:w="1701" w:type="dxa"/>
            <w:tcBorders>
              <w:top w:val="single" w:sz="2" w:space="0" w:color="auto"/>
              <w:left w:val="single" w:sz="2" w:space="0" w:color="auto"/>
              <w:bottom w:val="single" w:sz="2" w:space="0" w:color="auto"/>
              <w:right w:val="single" w:sz="2" w:space="0" w:color="auto"/>
            </w:tcBorders>
            <w:vAlign w:val="center"/>
          </w:tcPr>
          <w:p w:rsidR="00902040" w:rsidRDefault="00902040"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445,381,991.65</w:t>
            </w:r>
          </w:p>
        </w:tc>
      </w:tr>
      <w:tr w:rsidR="00E060E5" w:rsidRPr="00980BC4" w:rsidTr="00E060E5">
        <w:trPr>
          <w:divId w:val="969553885"/>
          <w:trHeight w:val="240"/>
        </w:trPr>
        <w:tc>
          <w:tcPr>
            <w:tcW w:w="9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264B53">
            <w:pPr>
              <w:spacing w:line="280" w:lineRule="exact"/>
              <w:rPr>
                <w:rFonts w:ascii="宋体" w:eastAsia="宋体" w:hAnsi="宋体" w:cs="宋体"/>
                <w:sz w:val="18"/>
                <w:szCs w:val="18"/>
              </w:rPr>
            </w:pPr>
            <w:r w:rsidRPr="00980BC4">
              <w:rPr>
                <w:rFonts w:ascii="宋体" w:eastAsia="宋体" w:hAnsi="宋体" w:cs="宋体"/>
                <w:sz w:val="18"/>
                <w:szCs w:val="18"/>
              </w:rPr>
              <w:t>营业成本</w:t>
            </w:r>
          </w:p>
        </w:tc>
        <w:tc>
          <w:tcPr>
            <w:tcW w:w="1701"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28,639,966.30</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56,113,431.85</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77,108,779.44</w:t>
            </w:r>
          </w:p>
        </w:tc>
        <w:tc>
          <w:tcPr>
            <w:tcW w:w="1418"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14,735,246.15</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176,597,423.74</w:t>
            </w:r>
          </w:p>
        </w:tc>
      </w:tr>
      <w:tr w:rsidR="00E060E5" w:rsidRPr="00980BC4" w:rsidTr="00E060E5">
        <w:trPr>
          <w:divId w:val="969553885"/>
          <w:trHeight w:val="240"/>
        </w:trPr>
        <w:tc>
          <w:tcPr>
            <w:tcW w:w="9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264B53">
            <w:pPr>
              <w:spacing w:line="280" w:lineRule="exact"/>
              <w:rPr>
                <w:rFonts w:ascii="宋体" w:eastAsia="宋体" w:hAnsi="宋体" w:cs="宋体"/>
                <w:sz w:val="18"/>
                <w:szCs w:val="18"/>
              </w:rPr>
            </w:pPr>
            <w:r w:rsidRPr="001668F2">
              <w:rPr>
                <w:rFonts w:ascii="宋体" w:eastAsia="宋体" w:hAnsi="宋体" w:cs="宋体" w:hint="eastAsia"/>
                <w:sz w:val="18"/>
                <w:szCs w:val="18"/>
              </w:rPr>
              <w:t>销售费用</w:t>
            </w:r>
          </w:p>
        </w:tc>
        <w:tc>
          <w:tcPr>
            <w:tcW w:w="1701"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531,857.67</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28,344,409.36</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1,319,540.23</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30,195,807.26</w:t>
            </w:r>
          </w:p>
        </w:tc>
      </w:tr>
      <w:tr w:rsidR="00E060E5" w:rsidRPr="00980BC4" w:rsidTr="00E060E5">
        <w:trPr>
          <w:divId w:val="969553885"/>
          <w:trHeight w:val="240"/>
        </w:trPr>
        <w:tc>
          <w:tcPr>
            <w:tcW w:w="9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264B53">
            <w:pPr>
              <w:spacing w:line="280" w:lineRule="exact"/>
              <w:rPr>
                <w:rFonts w:ascii="宋体" w:eastAsia="宋体" w:hAnsi="宋体" w:cs="宋体"/>
                <w:sz w:val="18"/>
                <w:szCs w:val="18"/>
              </w:rPr>
            </w:pPr>
            <w:r w:rsidRPr="001668F2">
              <w:rPr>
                <w:rFonts w:ascii="宋体" w:eastAsia="宋体" w:hAnsi="宋体" w:cs="宋体" w:hint="eastAsia"/>
                <w:sz w:val="18"/>
                <w:szCs w:val="18"/>
              </w:rPr>
              <w:t>管理费用</w:t>
            </w:r>
          </w:p>
        </w:tc>
        <w:tc>
          <w:tcPr>
            <w:tcW w:w="1701"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27,710,141.24</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24,860,656.41</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7,031,995.08</w:t>
            </w:r>
          </w:p>
        </w:tc>
        <w:tc>
          <w:tcPr>
            <w:tcW w:w="1418"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2,138,687.56</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-1,572,355.60</w:t>
            </w:r>
          </w:p>
        </w:tc>
        <w:tc>
          <w:tcPr>
            <w:tcW w:w="1701"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60,169,124.69</w:t>
            </w:r>
          </w:p>
        </w:tc>
      </w:tr>
      <w:tr w:rsidR="00902040" w:rsidRPr="00980BC4" w:rsidTr="00E060E5">
        <w:trPr>
          <w:divId w:val="969553885"/>
          <w:trHeight w:val="240"/>
        </w:trPr>
        <w:tc>
          <w:tcPr>
            <w:tcW w:w="959" w:type="dxa"/>
            <w:tcBorders>
              <w:top w:val="single" w:sz="2" w:space="0" w:color="auto"/>
              <w:left w:val="single" w:sz="2" w:space="0" w:color="auto"/>
              <w:bottom w:val="single" w:sz="2" w:space="0" w:color="auto"/>
              <w:right w:val="single" w:sz="2" w:space="0" w:color="auto"/>
            </w:tcBorders>
            <w:vAlign w:val="center"/>
          </w:tcPr>
          <w:p w:rsidR="00902040" w:rsidRPr="00980BC4" w:rsidRDefault="00902040" w:rsidP="00264B53">
            <w:pPr>
              <w:spacing w:line="280" w:lineRule="exact"/>
              <w:rPr>
                <w:rFonts w:ascii="宋体" w:eastAsia="宋体" w:hAnsi="宋体" w:cs="宋体"/>
                <w:sz w:val="18"/>
                <w:szCs w:val="18"/>
              </w:rPr>
            </w:pPr>
            <w:r w:rsidRPr="001668F2">
              <w:rPr>
                <w:rFonts w:ascii="宋体" w:eastAsia="宋体" w:hAnsi="宋体" w:cs="宋体" w:hint="eastAsia"/>
                <w:sz w:val="18"/>
                <w:szCs w:val="18"/>
              </w:rPr>
              <w:t>研发费用</w:t>
            </w:r>
          </w:p>
        </w:tc>
        <w:tc>
          <w:tcPr>
            <w:tcW w:w="1701" w:type="dxa"/>
            <w:tcBorders>
              <w:top w:val="single" w:sz="2" w:space="0" w:color="auto"/>
              <w:left w:val="single" w:sz="2" w:space="0" w:color="auto"/>
              <w:bottom w:val="single" w:sz="2" w:space="0" w:color="auto"/>
              <w:right w:val="single" w:sz="2" w:space="0" w:color="auto"/>
            </w:tcBorders>
            <w:vAlign w:val="center"/>
          </w:tcPr>
          <w:p w:rsidR="00902040" w:rsidRPr="00980BC4" w:rsidRDefault="00902040" w:rsidP="007F1C4E">
            <w:pPr>
              <w:spacing w:line="28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902040" w:rsidRPr="00980BC4" w:rsidRDefault="00902040"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62,680,178.86</w:t>
            </w:r>
          </w:p>
        </w:tc>
        <w:tc>
          <w:tcPr>
            <w:tcW w:w="1559" w:type="dxa"/>
            <w:tcBorders>
              <w:top w:val="single" w:sz="2" w:space="0" w:color="auto"/>
              <w:left w:val="single" w:sz="2" w:space="0" w:color="auto"/>
              <w:bottom w:val="single" w:sz="2" w:space="0" w:color="auto"/>
              <w:right w:val="single" w:sz="2" w:space="0" w:color="auto"/>
            </w:tcBorders>
            <w:vAlign w:val="center"/>
          </w:tcPr>
          <w:p w:rsidR="00902040" w:rsidRDefault="00902040"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5,606,910.83</w:t>
            </w:r>
          </w:p>
        </w:tc>
        <w:tc>
          <w:tcPr>
            <w:tcW w:w="1418" w:type="dxa"/>
            <w:tcBorders>
              <w:top w:val="single" w:sz="2" w:space="0" w:color="auto"/>
              <w:left w:val="single" w:sz="2" w:space="0" w:color="auto"/>
              <w:bottom w:val="single" w:sz="2" w:space="0" w:color="auto"/>
              <w:right w:val="single" w:sz="2" w:space="0" w:color="auto"/>
            </w:tcBorders>
            <w:vAlign w:val="center"/>
          </w:tcPr>
          <w:p w:rsidR="00902040" w:rsidRDefault="00902040" w:rsidP="00EF6E1A">
            <w:pPr>
              <w:spacing w:line="280" w:lineRule="exact"/>
              <w:jc w:val="right"/>
              <w:rPr>
                <w:rFonts w:ascii="宋体" w:eastAsia="宋体" w:hAnsi="宋体" w:cs="宋体"/>
                <w:sz w:val="18"/>
                <w:szCs w:val="18"/>
              </w:rPr>
            </w:pPr>
            <w:r w:rsidRPr="00A95432">
              <w:rPr>
                <w:rFonts w:ascii="宋体" w:eastAsia="宋体" w:hAnsi="宋体" w:cs="宋体"/>
                <w:sz w:val="18"/>
                <w:szCs w:val="18"/>
              </w:rPr>
              <w:t>4,749,771.34</w:t>
            </w:r>
          </w:p>
        </w:tc>
        <w:tc>
          <w:tcPr>
            <w:tcW w:w="1559" w:type="dxa"/>
            <w:tcBorders>
              <w:top w:val="single" w:sz="2" w:space="0" w:color="auto"/>
              <w:left w:val="single" w:sz="2" w:space="0" w:color="auto"/>
              <w:bottom w:val="single" w:sz="2" w:space="0" w:color="auto"/>
              <w:right w:val="single" w:sz="2" w:space="0" w:color="auto"/>
            </w:tcBorders>
            <w:vAlign w:val="center"/>
          </w:tcPr>
          <w:p w:rsidR="00902040" w:rsidRDefault="00902040" w:rsidP="00EF6E1A">
            <w:pPr>
              <w:spacing w:line="280" w:lineRule="exact"/>
              <w:jc w:val="right"/>
              <w:rPr>
                <w:rFonts w:ascii="宋体" w:eastAsia="宋体" w:hAnsi="宋体" w:cs="宋体"/>
                <w:sz w:val="18"/>
                <w:szCs w:val="18"/>
              </w:rPr>
            </w:pPr>
            <w:r>
              <w:rPr>
                <w:rFonts w:ascii="宋体" w:eastAsia="宋体" w:hAnsi="宋体" w:cs="宋体" w:hint="eastAsia"/>
                <w:sz w:val="18"/>
                <w:szCs w:val="18"/>
              </w:rPr>
              <w:t>-</w:t>
            </w:r>
            <w:r w:rsidRPr="00A95432">
              <w:rPr>
                <w:rFonts w:ascii="宋体" w:eastAsia="宋体" w:hAnsi="宋体" w:cs="宋体"/>
                <w:sz w:val="18"/>
                <w:szCs w:val="18"/>
              </w:rPr>
              <w:t>196,749.54</w:t>
            </w:r>
          </w:p>
        </w:tc>
        <w:tc>
          <w:tcPr>
            <w:tcW w:w="1701" w:type="dxa"/>
            <w:tcBorders>
              <w:top w:val="single" w:sz="2" w:space="0" w:color="auto"/>
              <w:left w:val="single" w:sz="2" w:space="0" w:color="auto"/>
              <w:bottom w:val="single" w:sz="2" w:space="0" w:color="auto"/>
              <w:right w:val="single" w:sz="2" w:space="0" w:color="auto"/>
            </w:tcBorders>
            <w:vAlign w:val="center"/>
          </w:tcPr>
          <w:p w:rsidR="00902040" w:rsidRDefault="00902040"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72,840,111.49</w:t>
            </w:r>
          </w:p>
        </w:tc>
      </w:tr>
      <w:tr w:rsidR="00E060E5" w:rsidRPr="00980BC4" w:rsidTr="00E060E5">
        <w:trPr>
          <w:divId w:val="969553885"/>
          <w:trHeight w:val="240"/>
        </w:trPr>
        <w:tc>
          <w:tcPr>
            <w:tcW w:w="9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264B53">
            <w:pPr>
              <w:spacing w:line="280" w:lineRule="exact"/>
              <w:rPr>
                <w:rFonts w:ascii="宋体" w:eastAsia="宋体" w:hAnsi="宋体" w:cs="宋体"/>
                <w:sz w:val="18"/>
                <w:szCs w:val="18"/>
              </w:rPr>
            </w:pPr>
            <w:r w:rsidRPr="001668F2">
              <w:rPr>
                <w:rFonts w:ascii="宋体" w:eastAsia="宋体" w:hAnsi="宋体" w:cs="宋体" w:hint="eastAsia"/>
                <w:sz w:val="18"/>
                <w:szCs w:val="18"/>
              </w:rPr>
              <w:t>利润总额</w:t>
            </w:r>
          </w:p>
        </w:tc>
        <w:tc>
          <w:tcPr>
            <w:tcW w:w="1701"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50,593,973.01</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103,668,920.39</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33,558,153.56</w:t>
            </w:r>
          </w:p>
        </w:tc>
        <w:tc>
          <w:tcPr>
            <w:tcW w:w="1418"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-7,778,571.61</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-48,361,846.75</w:t>
            </w:r>
          </w:p>
        </w:tc>
        <w:tc>
          <w:tcPr>
            <w:tcW w:w="1701"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131,680,628.60</w:t>
            </w:r>
          </w:p>
        </w:tc>
      </w:tr>
      <w:tr w:rsidR="00E060E5" w:rsidRPr="00980BC4" w:rsidTr="00E060E5">
        <w:trPr>
          <w:divId w:val="969553885"/>
          <w:trHeight w:val="240"/>
        </w:trPr>
        <w:tc>
          <w:tcPr>
            <w:tcW w:w="9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264B53">
            <w:pPr>
              <w:spacing w:line="280" w:lineRule="exact"/>
              <w:rPr>
                <w:rFonts w:ascii="宋体" w:eastAsia="宋体" w:hAnsi="宋体" w:cs="宋体"/>
                <w:sz w:val="18"/>
                <w:szCs w:val="18"/>
              </w:rPr>
            </w:pPr>
            <w:r w:rsidRPr="001668F2">
              <w:rPr>
                <w:rFonts w:ascii="宋体" w:eastAsia="宋体" w:hAnsi="宋体" w:cs="宋体" w:hint="eastAsia"/>
                <w:sz w:val="18"/>
                <w:szCs w:val="18"/>
              </w:rPr>
              <w:t>资产总额</w:t>
            </w:r>
          </w:p>
        </w:tc>
        <w:tc>
          <w:tcPr>
            <w:tcW w:w="1701"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1,667,835,486.69</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559,349,791.08</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152,474,930.99</w:t>
            </w:r>
          </w:p>
        </w:tc>
        <w:tc>
          <w:tcPr>
            <w:tcW w:w="1418"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43,168,210.55</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-462,625,152.02</w:t>
            </w:r>
          </w:p>
        </w:tc>
        <w:tc>
          <w:tcPr>
            <w:tcW w:w="1701"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1,960,203,267.29</w:t>
            </w:r>
          </w:p>
        </w:tc>
      </w:tr>
      <w:tr w:rsidR="00E060E5" w:rsidRPr="00980BC4" w:rsidTr="00E060E5">
        <w:trPr>
          <w:divId w:val="969553885"/>
          <w:trHeight w:val="240"/>
        </w:trPr>
        <w:tc>
          <w:tcPr>
            <w:tcW w:w="9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264B53">
            <w:pPr>
              <w:spacing w:line="280" w:lineRule="exact"/>
              <w:rPr>
                <w:rFonts w:ascii="宋体" w:eastAsia="宋体" w:hAnsi="宋体" w:cs="宋体"/>
                <w:sz w:val="18"/>
                <w:szCs w:val="18"/>
              </w:rPr>
            </w:pPr>
            <w:r w:rsidRPr="001668F2">
              <w:rPr>
                <w:rFonts w:ascii="宋体" w:eastAsia="宋体" w:hAnsi="宋体" w:cs="宋体" w:hint="eastAsia"/>
                <w:sz w:val="18"/>
                <w:szCs w:val="18"/>
              </w:rPr>
              <w:t>负债总额</w:t>
            </w:r>
          </w:p>
        </w:tc>
        <w:tc>
          <w:tcPr>
            <w:tcW w:w="1701"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37,479,819.40</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Pr="00980BC4"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155,689,311.94</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35,432,594.83</w:t>
            </w:r>
          </w:p>
        </w:tc>
        <w:tc>
          <w:tcPr>
            <w:tcW w:w="1418"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11,495,792.60</w:t>
            </w:r>
          </w:p>
        </w:tc>
        <w:tc>
          <w:tcPr>
            <w:tcW w:w="1559"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-22,698,935.83</w:t>
            </w:r>
          </w:p>
        </w:tc>
        <w:tc>
          <w:tcPr>
            <w:tcW w:w="1701" w:type="dxa"/>
            <w:tcBorders>
              <w:top w:val="single" w:sz="2" w:space="0" w:color="auto"/>
              <w:left w:val="single" w:sz="2" w:space="0" w:color="auto"/>
              <w:bottom w:val="single" w:sz="2" w:space="0" w:color="auto"/>
              <w:right w:val="single" w:sz="2" w:space="0" w:color="auto"/>
            </w:tcBorders>
            <w:vAlign w:val="center"/>
          </w:tcPr>
          <w:p w:rsidR="00E060E5" w:rsidRDefault="00E060E5" w:rsidP="007F1C4E">
            <w:pPr>
              <w:spacing w:line="280" w:lineRule="exact"/>
              <w:jc w:val="right"/>
              <w:rPr>
                <w:rFonts w:ascii="宋体" w:eastAsia="宋体" w:hAnsi="宋体" w:cs="宋体"/>
                <w:sz w:val="18"/>
                <w:szCs w:val="18"/>
              </w:rPr>
            </w:pPr>
            <w:r w:rsidRPr="00434370">
              <w:rPr>
                <w:rFonts w:ascii="宋体" w:eastAsia="宋体" w:hAnsi="宋体" w:cs="宋体"/>
                <w:sz w:val="18"/>
                <w:szCs w:val="18"/>
              </w:rPr>
              <w:t>217,398,582.94</w:t>
            </w:r>
          </w:p>
        </w:tc>
      </w:tr>
    </w:tbl>
    <w:p w:rsidR="00F67D6F" w:rsidRPr="00980BC4" w:rsidRDefault="00F67D6F" w:rsidP="00434790">
      <w:pPr>
        <w:pStyle w:val="2"/>
        <w:spacing w:before="0" w:after="0" w:line="560" w:lineRule="exact"/>
        <w:ind w:firstLineChars="200" w:firstLine="562"/>
        <w:divId w:val="969553885"/>
        <w:rPr>
          <w:rFonts w:ascii="宋体" w:eastAsia="宋体" w:hAnsi="宋体" w:cs="宋体"/>
          <w:b/>
          <w:bCs/>
          <w:sz w:val="28"/>
          <w:szCs w:val="28"/>
        </w:rPr>
      </w:pPr>
      <w:r w:rsidRPr="00980BC4">
        <w:rPr>
          <w:rFonts w:ascii="宋体" w:eastAsia="宋体" w:hAnsi="宋体" w:cs="宋体"/>
          <w:b/>
          <w:bCs/>
          <w:sz w:val="28"/>
          <w:szCs w:val="28"/>
        </w:rPr>
        <w:t>十七、母公司财务报表主要项目注释</w:t>
      </w:r>
      <w:bookmarkEnd w:id="387"/>
    </w:p>
    <w:p w:rsidR="00F67D6F" w:rsidRPr="00980BC4" w:rsidRDefault="00F67D6F" w:rsidP="00434790">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88" w:name="_Toc989279"/>
      <w:r w:rsidRPr="00980BC4">
        <w:rPr>
          <w:rFonts w:ascii="仿宋" w:eastAsia="仿宋" w:hAnsi="仿宋" w:cs="Times New Roman"/>
          <w:b/>
          <w:sz w:val="28"/>
          <w:szCs w:val="28"/>
        </w:rPr>
        <w:t>1、应收账款</w:t>
      </w:r>
      <w:bookmarkEnd w:id="388"/>
    </w:p>
    <w:p w:rsidR="00F67D6F" w:rsidRPr="00980BC4" w:rsidRDefault="00F67D6F" w:rsidP="00434790">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89" w:name="_Toc989280"/>
      <w:r w:rsidRPr="00980BC4">
        <w:rPr>
          <w:rFonts w:ascii="仿宋" w:eastAsia="仿宋" w:hAnsi="仿宋" w:cs="Times New Roman"/>
          <w:b/>
          <w:sz w:val="28"/>
          <w:szCs w:val="28"/>
        </w:rPr>
        <w:t>（1） 应收账款分类披露</w:t>
      </w:r>
      <w:bookmarkEnd w:id="389"/>
    </w:p>
    <w:p w:rsidR="00B7436F" w:rsidRDefault="00B7436F" w:rsidP="00F67D6F">
      <w:pPr>
        <w:spacing w:before="40" w:after="40" w:line="240" w:lineRule="exact"/>
        <w:jc w:val="right"/>
        <w:divId w:val="969553885"/>
        <w:rPr>
          <w:rFonts w:ascii="宋体" w:eastAsia="宋体" w:hAnsi="宋体" w:cs="宋体"/>
          <w:sz w:val="18"/>
          <w:szCs w:val="18"/>
        </w:rPr>
      </w:pP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875"/>
        <w:gridCol w:w="876"/>
        <w:gridCol w:w="877"/>
        <w:gridCol w:w="876"/>
        <w:gridCol w:w="877"/>
        <w:gridCol w:w="876"/>
        <w:gridCol w:w="876"/>
        <w:gridCol w:w="877"/>
        <w:gridCol w:w="876"/>
        <w:gridCol w:w="877"/>
        <w:gridCol w:w="876"/>
      </w:tblGrid>
      <w:tr w:rsidR="00F67D6F" w:rsidRPr="00980BC4" w:rsidTr="00F67D6F">
        <w:trPr>
          <w:divId w:val="969553885"/>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账面价值</w:t>
            </w:r>
          </w:p>
        </w:tc>
      </w:tr>
      <w:tr w:rsidR="00F67D6F" w:rsidRPr="00980BC4" w:rsidTr="00F67D6F">
        <w:trPr>
          <w:divId w:val="969553885"/>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167,838.02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167,838.02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rPr>
                <w:rFonts w:ascii="宋体" w:eastAsia="宋体" w:hAnsi="宋体" w:cs="宋体"/>
                <w:sz w:val="18"/>
                <w:szCs w:val="18"/>
              </w:rPr>
            </w:pPr>
            <w:r w:rsidRPr="00980BC4">
              <w:rPr>
                <w:rFonts w:ascii="宋体" w:eastAsia="宋体" w:hAnsi="宋体" w:cs="宋体"/>
                <w:sz w:val="18"/>
                <w:szCs w:val="18"/>
              </w:rPr>
              <w:t>1.其他客户</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167,838.02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167,838.02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167,838.02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167,838.02</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r>
    </w:tbl>
    <w:p w:rsidR="00F67D6F" w:rsidRPr="00980BC4" w:rsidRDefault="00F67D6F" w:rsidP="00434790">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b/>
          <w:sz w:val="28"/>
          <w:szCs w:val="28"/>
        </w:rPr>
        <w:t>按组合计提坏账准备</w:t>
      </w:r>
      <w:r w:rsidRPr="00980BC4">
        <w:rPr>
          <w:rFonts w:ascii="仿宋" w:eastAsia="仿宋" w:hAnsi="仿宋" w:cs="Times New Roman"/>
          <w:sz w:val="28"/>
          <w:szCs w:val="28"/>
        </w:rPr>
        <w:t>：其他客户</w:t>
      </w: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67D6F">
        <w:trPr>
          <w:divId w:val="969553885"/>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line="28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计提比例</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280" w:lineRule="exact"/>
              <w:rPr>
                <w:rFonts w:ascii="宋体" w:eastAsia="宋体" w:hAnsi="宋体" w:cs="宋体"/>
                <w:sz w:val="18"/>
                <w:szCs w:val="18"/>
              </w:rPr>
            </w:pPr>
            <w:r w:rsidRPr="00980BC4">
              <w:rPr>
                <w:rFonts w:ascii="宋体" w:eastAsia="宋体" w:hAnsi="宋体" w:cs="宋体"/>
                <w:sz w:val="18"/>
                <w:szCs w:val="18"/>
              </w:rPr>
              <w:t>1.其他客户</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280" w:lineRule="exact"/>
              <w:jc w:val="right"/>
              <w:rPr>
                <w:rFonts w:ascii="宋体" w:eastAsia="宋体" w:hAnsi="宋体" w:cs="宋体"/>
                <w:sz w:val="18"/>
                <w:szCs w:val="18"/>
              </w:rPr>
            </w:pPr>
            <w:r w:rsidRPr="00980BC4">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line="280" w:lineRule="exact"/>
            </w:pPr>
          </w:p>
        </w:tc>
      </w:tr>
    </w:tbl>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t>确定该组合依据的说明：</w:t>
      </w:r>
    </w:p>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t>按组合计提坏账准备的确认标准及说明见附注五、10。</w:t>
      </w:r>
    </w:p>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t>如是按照预期信用损失一般模型计提应收账款坏账准备，请参照其他应收款的披露方式披露坏账准备的相关信息：</w:t>
      </w:r>
    </w:p>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sz w:val="28"/>
          <w:szCs w:val="28"/>
        </w:rPr>
        <w:t>□适用</w:t>
      </w:r>
      <w:r w:rsidR="00434790"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173D5E" w:rsidRPr="00980BC4" w:rsidRDefault="00F67D6F" w:rsidP="00896A9C">
      <w:pPr>
        <w:pStyle w:val="a3"/>
        <w:spacing w:before="0" w:beforeAutospacing="0" w:after="0" w:afterAutospacing="0" w:line="540" w:lineRule="exact"/>
        <w:ind w:firstLine="482"/>
        <w:jc w:val="both"/>
        <w:divId w:val="969553885"/>
        <w:rPr>
          <w:sz w:val="18"/>
          <w:szCs w:val="18"/>
        </w:rPr>
      </w:pPr>
      <w:r w:rsidRPr="00980BC4">
        <w:rPr>
          <w:rFonts w:ascii="仿宋" w:eastAsia="仿宋" w:hAnsi="仿宋" w:cs="Times New Roman"/>
          <w:b/>
          <w:sz w:val="28"/>
          <w:szCs w:val="28"/>
        </w:rPr>
        <w:t>按账龄披露</w:t>
      </w: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账面余额</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rPr>
                <w:rFonts w:ascii="宋体" w:eastAsia="宋体" w:hAnsi="宋体" w:cs="宋体"/>
                <w:sz w:val="18"/>
                <w:szCs w:val="18"/>
              </w:rPr>
            </w:pPr>
            <w:r w:rsidRPr="00980BC4">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r w:rsidRPr="00980BC4">
              <w:rPr>
                <w:rFonts w:ascii="宋体" w:eastAsia="宋体" w:hAnsi="宋体" w:cs="宋体"/>
                <w:sz w:val="18"/>
                <w:szCs w:val="18"/>
              </w:rPr>
              <w:t>150,384.02</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ind w:firstLineChars="200" w:firstLine="360"/>
              <w:rPr>
                <w:rFonts w:ascii="宋体" w:eastAsia="宋体" w:hAnsi="宋体" w:cs="宋体"/>
                <w:sz w:val="18"/>
                <w:szCs w:val="18"/>
              </w:rPr>
            </w:pPr>
            <w:r w:rsidRPr="00980BC4">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r w:rsidRPr="00980BC4">
              <w:rPr>
                <w:rFonts w:ascii="宋体" w:eastAsia="宋体" w:hAnsi="宋体" w:cs="宋体"/>
                <w:sz w:val="18"/>
                <w:szCs w:val="18"/>
              </w:rPr>
              <w:t>150,384.02</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rPr>
                <w:rFonts w:ascii="宋体" w:eastAsia="宋体" w:hAnsi="宋体" w:cs="宋体"/>
                <w:sz w:val="18"/>
                <w:szCs w:val="18"/>
              </w:rPr>
            </w:pPr>
            <w:r w:rsidRPr="00980BC4">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r w:rsidRPr="00980BC4">
              <w:rPr>
                <w:rFonts w:ascii="宋体" w:eastAsia="宋体" w:hAnsi="宋体" w:cs="宋体"/>
                <w:sz w:val="18"/>
                <w:szCs w:val="18"/>
              </w:rPr>
              <w:t>150,384.02</w:t>
            </w:r>
          </w:p>
        </w:tc>
      </w:tr>
    </w:tbl>
    <w:p w:rsidR="00F67D6F" w:rsidRPr="00980BC4" w:rsidRDefault="00F67D6F" w:rsidP="00434790">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90" w:name="_Toc989281"/>
      <w:r w:rsidRPr="00980BC4">
        <w:rPr>
          <w:rFonts w:ascii="仿宋" w:eastAsia="仿宋" w:hAnsi="仿宋" w:cs="Times New Roman"/>
          <w:b/>
          <w:sz w:val="28"/>
          <w:szCs w:val="28"/>
        </w:rPr>
        <w:t>（2） 本期计提、收回或转回的坏账准备情况</w:t>
      </w:r>
      <w:bookmarkEnd w:id="390"/>
    </w:p>
    <w:p w:rsidR="00F67D6F" w:rsidRPr="00980BC4" w:rsidRDefault="00F67D6F" w:rsidP="00434790">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本期计提坏账准备情况：</w:t>
      </w: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377"/>
        <w:gridCol w:w="1377"/>
        <w:gridCol w:w="1377"/>
        <w:gridCol w:w="1377"/>
        <w:gridCol w:w="1377"/>
      </w:tblGrid>
      <w:tr w:rsidR="00F67D6F" w:rsidRPr="00980BC4" w:rsidTr="00F67D6F">
        <w:trPr>
          <w:divId w:val="969553885"/>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F67D6F">
        <w:trPr>
          <w:divId w:val="969553885"/>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line="300" w:lineRule="exact"/>
            </w:pP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rPr>
                <w:rFonts w:ascii="宋体" w:eastAsia="宋体" w:hAnsi="宋体" w:cs="宋体"/>
                <w:sz w:val="18"/>
                <w:szCs w:val="18"/>
              </w:rPr>
            </w:pPr>
            <w:r w:rsidRPr="00980BC4">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r w:rsidRPr="00980BC4">
              <w:rPr>
                <w:rFonts w:ascii="宋体" w:eastAsia="宋体" w:hAnsi="宋体" w:cs="宋体"/>
                <w:sz w:val="18"/>
                <w:szCs w:val="18"/>
              </w:rPr>
              <w:t>167,838.02</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r w:rsidRPr="00980BC4">
              <w:rPr>
                <w:rFonts w:ascii="宋体" w:eastAsia="宋体" w:hAnsi="宋体" w:cs="宋体"/>
                <w:sz w:val="18"/>
                <w:szCs w:val="18"/>
              </w:rPr>
              <w:t>17,454.00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r w:rsidRPr="00980BC4">
              <w:rPr>
                <w:rFonts w:ascii="宋体" w:eastAsia="宋体" w:hAnsi="宋体" w:cs="宋体"/>
                <w:sz w:val="18"/>
                <w:szCs w:val="18"/>
              </w:rPr>
              <w:t>150,384.02</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434790">
            <w:pPr>
              <w:spacing w:before="40" w:after="40" w:line="300" w:lineRule="exact"/>
              <w:rPr>
                <w:rFonts w:ascii="宋体" w:eastAsia="宋体" w:hAnsi="宋体" w:cs="宋体"/>
                <w:sz w:val="18"/>
                <w:szCs w:val="18"/>
              </w:rPr>
            </w:pPr>
            <w:r w:rsidRPr="00980BC4">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r w:rsidRPr="00980BC4">
              <w:rPr>
                <w:rFonts w:ascii="宋体" w:eastAsia="宋体" w:hAnsi="宋体" w:cs="宋体"/>
                <w:sz w:val="18"/>
                <w:szCs w:val="18"/>
              </w:rPr>
              <w:t>167,838.02</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r w:rsidRPr="00980BC4">
              <w:rPr>
                <w:rFonts w:ascii="宋体" w:eastAsia="宋体" w:hAnsi="宋体" w:cs="宋体"/>
                <w:sz w:val="18"/>
                <w:szCs w:val="18"/>
              </w:rPr>
              <w:t>17,454.00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434790">
            <w:pPr>
              <w:spacing w:line="300" w:lineRule="exact"/>
              <w:jc w:val="right"/>
              <w:rPr>
                <w:rFonts w:ascii="宋体" w:eastAsia="宋体" w:hAnsi="宋体" w:cs="宋体"/>
                <w:sz w:val="18"/>
                <w:szCs w:val="18"/>
              </w:rPr>
            </w:pPr>
            <w:r w:rsidRPr="00980BC4">
              <w:rPr>
                <w:rFonts w:ascii="宋体" w:eastAsia="宋体" w:hAnsi="宋体" w:cs="宋体"/>
                <w:sz w:val="18"/>
                <w:szCs w:val="18"/>
              </w:rPr>
              <w:t>150,384.02</w:t>
            </w:r>
          </w:p>
        </w:tc>
      </w:tr>
    </w:tbl>
    <w:p w:rsidR="00F67D6F" w:rsidRPr="00980BC4" w:rsidRDefault="00F67D6F" w:rsidP="00434790">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91" w:name="_Toc989282"/>
      <w:r w:rsidRPr="00980BC4">
        <w:rPr>
          <w:rFonts w:ascii="仿宋" w:eastAsia="仿宋" w:hAnsi="仿宋" w:cs="Times New Roman"/>
          <w:b/>
          <w:sz w:val="28"/>
          <w:szCs w:val="28"/>
        </w:rPr>
        <w:t>（3） 按欠款方归集的期末余额前五名的应收账款情况</w:t>
      </w:r>
      <w:bookmarkEnd w:id="391"/>
    </w:p>
    <w:p w:rsidR="00537ABE" w:rsidRPr="00980BC4" w:rsidRDefault="00537ABE" w:rsidP="00F67D6F">
      <w:pPr>
        <w:spacing w:before="40" w:after="40" w:line="240" w:lineRule="exact"/>
        <w:jc w:val="right"/>
        <w:divId w:val="969553885"/>
        <w:rPr>
          <w:rFonts w:ascii="宋体" w:eastAsia="宋体" w:hAnsi="宋体" w:cs="宋体"/>
          <w:sz w:val="18"/>
          <w:szCs w:val="18"/>
        </w:rPr>
      </w:pP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409"/>
        <w:gridCol w:w="2410"/>
        <w:gridCol w:w="2410"/>
        <w:gridCol w:w="2410"/>
      </w:tblGrid>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37AB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37AB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37AB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37ABE">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坏账准备期末余额</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rPr>
                <w:rFonts w:ascii="宋体" w:eastAsia="宋体" w:hAnsi="宋体" w:cs="宋体"/>
                <w:sz w:val="18"/>
                <w:szCs w:val="18"/>
              </w:rPr>
            </w:pPr>
            <w:r w:rsidRPr="00980BC4">
              <w:rPr>
                <w:rFonts w:ascii="宋体" w:eastAsia="宋体" w:hAnsi="宋体" w:cs="宋体"/>
                <w:sz w:val="18"/>
                <w:szCs w:val="18"/>
              </w:rPr>
              <w:t>第一名</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120,412.40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80.07%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120,412.40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rPr>
                <w:rFonts w:ascii="宋体" w:eastAsia="宋体" w:hAnsi="宋体" w:cs="宋体"/>
                <w:sz w:val="18"/>
                <w:szCs w:val="18"/>
              </w:rPr>
            </w:pPr>
            <w:r w:rsidRPr="00980BC4">
              <w:rPr>
                <w:rFonts w:ascii="宋体" w:eastAsia="宋体" w:hAnsi="宋体" w:cs="宋体"/>
                <w:sz w:val="18"/>
                <w:szCs w:val="18"/>
              </w:rPr>
              <w:lastRenderedPageBreak/>
              <w:t>第二名</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16,551.30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11.01%</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16,551.30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rPr>
                <w:rFonts w:ascii="宋体" w:eastAsia="宋体" w:hAnsi="宋体" w:cs="宋体"/>
                <w:sz w:val="18"/>
                <w:szCs w:val="18"/>
              </w:rPr>
            </w:pPr>
            <w:r w:rsidRPr="00980BC4">
              <w:rPr>
                <w:rFonts w:ascii="宋体" w:eastAsia="宋体" w:hAnsi="宋体" w:cs="宋体"/>
                <w:sz w:val="18"/>
                <w:szCs w:val="18"/>
              </w:rPr>
              <w:t>第三名</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8,799.64</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5.85%</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8,799.64</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rPr>
                <w:rFonts w:ascii="宋体" w:eastAsia="宋体" w:hAnsi="宋体" w:cs="宋体"/>
                <w:sz w:val="18"/>
                <w:szCs w:val="18"/>
              </w:rPr>
            </w:pPr>
            <w:r w:rsidRPr="00980BC4">
              <w:rPr>
                <w:rFonts w:ascii="宋体" w:eastAsia="宋体" w:hAnsi="宋体" w:cs="宋体"/>
                <w:sz w:val="18"/>
                <w:szCs w:val="18"/>
              </w:rPr>
              <w:t>第四名</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4,620.00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3.07%</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4,620.00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rPr>
                <w:rFonts w:ascii="宋体" w:eastAsia="宋体" w:hAnsi="宋体" w:cs="宋体"/>
                <w:sz w:val="18"/>
                <w:szCs w:val="18"/>
              </w:rPr>
            </w:pPr>
            <w:r w:rsidRPr="00980BC4">
              <w:rPr>
                <w:rFonts w:ascii="宋体" w:eastAsia="宋体" w:hAnsi="宋体" w:cs="宋体"/>
                <w:sz w:val="18"/>
                <w:szCs w:val="18"/>
              </w:rPr>
              <w:t>第五名</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0.60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0.60</w:t>
            </w:r>
          </w:p>
        </w:tc>
      </w:tr>
      <w:tr w:rsidR="00F67D6F" w:rsidRPr="00980BC4" w:rsidTr="00F67D6F">
        <w:trPr>
          <w:divId w:val="969553885"/>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37ABE">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150,383.94</w:t>
            </w:r>
          </w:p>
        </w:tc>
        <w:tc>
          <w:tcPr>
            <w:tcW w:w="241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37ABE">
            <w:pPr>
              <w:spacing w:line="280" w:lineRule="exact"/>
              <w:jc w:val="right"/>
              <w:rPr>
                <w:rFonts w:ascii="宋体" w:eastAsia="宋体" w:hAnsi="宋体" w:cs="宋体"/>
                <w:sz w:val="18"/>
                <w:szCs w:val="18"/>
              </w:rPr>
            </w:pPr>
            <w:r w:rsidRPr="00980BC4">
              <w:rPr>
                <w:rFonts w:ascii="宋体" w:eastAsia="宋体" w:hAnsi="宋体"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37ABE">
            <w:pPr>
              <w:spacing w:line="280" w:lineRule="exact"/>
            </w:pPr>
          </w:p>
        </w:tc>
      </w:tr>
    </w:tbl>
    <w:p w:rsidR="00F67D6F" w:rsidRPr="00980BC4" w:rsidRDefault="00F67D6F" w:rsidP="001671D5">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92" w:name="_Toc989283"/>
      <w:r w:rsidRPr="00980BC4">
        <w:rPr>
          <w:rFonts w:ascii="仿宋" w:eastAsia="仿宋" w:hAnsi="仿宋" w:cs="Times New Roman"/>
          <w:b/>
          <w:sz w:val="28"/>
          <w:szCs w:val="28"/>
        </w:rPr>
        <w:t>2、其他应收款</w:t>
      </w:r>
      <w:bookmarkEnd w:id="39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671D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671D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671D5">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671D5">
            <w:pPr>
              <w:spacing w:before="40" w:after="40" w:line="280" w:lineRule="exact"/>
              <w:rPr>
                <w:rFonts w:ascii="宋体" w:eastAsia="宋体" w:hAnsi="宋体" w:cs="宋体"/>
                <w:sz w:val="18"/>
                <w:szCs w:val="18"/>
              </w:rPr>
            </w:pPr>
            <w:r w:rsidRPr="00980BC4">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280" w:lineRule="exact"/>
              <w:jc w:val="right"/>
              <w:rPr>
                <w:rFonts w:ascii="宋体" w:eastAsia="宋体" w:hAnsi="宋体" w:cs="宋体"/>
                <w:sz w:val="18"/>
                <w:szCs w:val="18"/>
              </w:rPr>
            </w:pPr>
            <w:r w:rsidRPr="00980BC4">
              <w:rPr>
                <w:rFonts w:ascii="宋体" w:eastAsia="宋体" w:hAnsi="宋体" w:cs="宋体"/>
                <w:sz w:val="18"/>
                <w:szCs w:val="18"/>
              </w:rPr>
              <w:t>25,774,035.49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280" w:lineRule="exact"/>
              <w:jc w:val="right"/>
              <w:rPr>
                <w:rFonts w:ascii="宋体" w:eastAsia="宋体" w:hAnsi="宋体" w:cs="宋体"/>
                <w:sz w:val="18"/>
                <w:szCs w:val="18"/>
              </w:rPr>
            </w:pPr>
            <w:r w:rsidRPr="00980BC4">
              <w:rPr>
                <w:rFonts w:ascii="宋体" w:eastAsia="宋体" w:hAnsi="宋体" w:cs="宋体"/>
                <w:sz w:val="18"/>
                <w:szCs w:val="18"/>
              </w:rPr>
              <w:t>46,818,773.83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671D5">
            <w:pPr>
              <w:spacing w:before="40" w:after="40" w:line="280" w:lineRule="exact"/>
              <w:rPr>
                <w:rFonts w:ascii="宋体" w:eastAsia="宋体" w:hAnsi="宋体" w:cs="宋体"/>
                <w:sz w:val="18"/>
                <w:szCs w:val="18"/>
              </w:rPr>
            </w:pPr>
            <w:r w:rsidRPr="00980BC4">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280" w:lineRule="exact"/>
              <w:jc w:val="right"/>
              <w:rPr>
                <w:rFonts w:ascii="宋体" w:eastAsia="宋体" w:hAnsi="宋体" w:cs="宋体"/>
                <w:sz w:val="18"/>
                <w:szCs w:val="18"/>
              </w:rPr>
            </w:pPr>
            <w:r w:rsidRPr="00980BC4">
              <w:rPr>
                <w:rFonts w:ascii="宋体" w:eastAsia="宋体" w:hAnsi="宋体" w:cs="宋体"/>
                <w:sz w:val="18"/>
                <w:szCs w:val="18"/>
              </w:rPr>
              <w:t>1,192,382.62</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280" w:lineRule="exact"/>
              <w:jc w:val="right"/>
              <w:rPr>
                <w:rFonts w:ascii="宋体" w:eastAsia="宋体" w:hAnsi="宋体" w:cs="宋体"/>
                <w:sz w:val="18"/>
                <w:szCs w:val="18"/>
              </w:rPr>
            </w:pPr>
            <w:r w:rsidRPr="00980BC4">
              <w:rPr>
                <w:rFonts w:ascii="宋体" w:eastAsia="宋体" w:hAnsi="宋体" w:cs="宋体"/>
                <w:sz w:val="18"/>
                <w:szCs w:val="18"/>
              </w:rPr>
              <w:t>1,157,925.51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671D5">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280" w:lineRule="exact"/>
              <w:jc w:val="right"/>
              <w:rPr>
                <w:rFonts w:ascii="宋体" w:eastAsia="宋体" w:hAnsi="宋体" w:cs="宋体"/>
                <w:sz w:val="18"/>
                <w:szCs w:val="18"/>
              </w:rPr>
            </w:pPr>
            <w:r w:rsidRPr="00980BC4">
              <w:rPr>
                <w:rFonts w:ascii="宋体" w:eastAsia="宋体" w:hAnsi="宋体" w:cs="宋体"/>
                <w:sz w:val="18"/>
                <w:szCs w:val="18"/>
              </w:rPr>
              <w:t>26,966,418.11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280" w:lineRule="exact"/>
              <w:jc w:val="right"/>
              <w:rPr>
                <w:rFonts w:ascii="宋体" w:eastAsia="宋体" w:hAnsi="宋体" w:cs="宋体"/>
                <w:sz w:val="18"/>
                <w:szCs w:val="18"/>
              </w:rPr>
            </w:pPr>
            <w:r w:rsidRPr="00980BC4">
              <w:rPr>
                <w:rFonts w:ascii="宋体" w:eastAsia="宋体" w:hAnsi="宋体" w:cs="宋体"/>
                <w:sz w:val="18"/>
                <w:szCs w:val="18"/>
              </w:rPr>
              <w:t>47,976,699.34</w:t>
            </w:r>
          </w:p>
        </w:tc>
      </w:tr>
    </w:tbl>
    <w:p w:rsidR="00F67D6F" w:rsidRPr="00980BC4" w:rsidRDefault="00F67D6F" w:rsidP="001671D5">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93" w:name="_Toc989284"/>
      <w:r w:rsidRPr="00980BC4">
        <w:rPr>
          <w:rFonts w:ascii="仿宋" w:eastAsia="仿宋" w:hAnsi="仿宋" w:cs="Times New Roman"/>
          <w:b/>
          <w:sz w:val="28"/>
          <w:szCs w:val="28"/>
        </w:rPr>
        <w:t>（1） 应收股利</w:t>
      </w:r>
      <w:bookmarkEnd w:id="393"/>
    </w:p>
    <w:p w:rsidR="00F67D6F" w:rsidRPr="00980BC4" w:rsidRDefault="00F67D6F" w:rsidP="001671D5">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94" w:name="_Toc989285"/>
      <w:r w:rsidRPr="00980BC4">
        <w:rPr>
          <w:rFonts w:ascii="仿宋" w:eastAsia="仿宋" w:hAnsi="仿宋" w:cs="Times New Roman"/>
          <w:b/>
          <w:sz w:val="28"/>
          <w:szCs w:val="28"/>
        </w:rPr>
        <w:t>1） 应收股利分类</w:t>
      </w:r>
      <w:bookmarkEnd w:id="394"/>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671D5">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671D5">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671D5">
            <w:pPr>
              <w:spacing w:before="40" w:after="40" w:line="32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320" w:lineRule="exact"/>
              <w:rPr>
                <w:rFonts w:ascii="宋体" w:eastAsia="宋体" w:hAnsi="宋体" w:cs="宋体"/>
                <w:sz w:val="18"/>
                <w:szCs w:val="18"/>
              </w:rPr>
            </w:pPr>
            <w:r w:rsidRPr="00980BC4">
              <w:rPr>
                <w:rFonts w:ascii="宋体" w:eastAsia="宋体" w:hAnsi="宋体" w:cs="宋体"/>
                <w:sz w:val="18"/>
                <w:szCs w:val="18"/>
              </w:rPr>
              <w:t>沈阳含能金属材料制造有限公司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320" w:lineRule="exact"/>
              <w:jc w:val="right"/>
              <w:rPr>
                <w:rFonts w:ascii="宋体" w:eastAsia="宋体" w:hAnsi="宋体" w:cs="宋体"/>
                <w:sz w:val="18"/>
                <w:szCs w:val="18"/>
              </w:rPr>
            </w:pPr>
            <w:r w:rsidRPr="00980BC4">
              <w:rPr>
                <w:rFonts w:ascii="宋体" w:eastAsia="宋体" w:hAnsi="宋体" w:cs="宋体"/>
                <w:sz w:val="18"/>
                <w:szCs w:val="18"/>
              </w:rPr>
              <w:t>25,774,035.49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320" w:lineRule="exact"/>
              <w:jc w:val="right"/>
              <w:rPr>
                <w:rFonts w:ascii="宋体" w:eastAsia="宋体" w:hAnsi="宋体" w:cs="宋体"/>
                <w:sz w:val="18"/>
                <w:szCs w:val="18"/>
              </w:rPr>
            </w:pPr>
            <w:r w:rsidRPr="00980BC4">
              <w:rPr>
                <w:rFonts w:ascii="宋体" w:eastAsia="宋体" w:hAnsi="宋体" w:cs="宋体"/>
                <w:sz w:val="18"/>
                <w:szCs w:val="18"/>
              </w:rPr>
              <w:t>46,818,773.83</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671D5">
            <w:pPr>
              <w:spacing w:before="40" w:after="40" w:line="32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320" w:lineRule="exact"/>
              <w:jc w:val="right"/>
              <w:rPr>
                <w:rFonts w:ascii="宋体" w:eastAsia="宋体" w:hAnsi="宋体" w:cs="宋体"/>
                <w:sz w:val="18"/>
                <w:szCs w:val="18"/>
              </w:rPr>
            </w:pPr>
            <w:r w:rsidRPr="00980BC4">
              <w:rPr>
                <w:rFonts w:ascii="宋体" w:eastAsia="宋体" w:hAnsi="宋体" w:cs="宋体"/>
                <w:sz w:val="18"/>
                <w:szCs w:val="18"/>
              </w:rPr>
              <w:t>25,774,035.49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671D5">
            <w:pPr>
              <w:spacing w:line="320" w:lineRule="exact"/>
              <w:jc w:val="right"/>
              <w:rPr>
                <w:rFonts w:ascii="宋体" w:eastAsia="宋体" w:hAnsi="宋体" w:cs="宋体"/>
                <w:sz w:val="18"/>
                <w:szCs w:val="18"/>
              </w:rPr>
            </w:pPr>
            <w:r w:rsidRPr="00980BC4">
              <w:rPr>
                <w:rFonts w:ascii="宋体" w:eastAsia="宋体" w:hAnsi="宋体" w:cs="宋体"/>
                <w:sz w:val="18"/>
                <w:szCs w:val="18"/>
              </w:rPr>
              <w:t>46,818,773.83</w:t>
            </w:r>
          </w:p>
        </w:tc>
      </w:tr>
    </w:tbl>
    <w:p w:rsidR="00F67D6F" w:rsidRPr="00980BC4" w:rsidRDefault="00F67D6F" w:rsidP="001671D5">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95" w:name="_Toc989286"/>
      <w:r w:rsidRPr="00980BC4">
        <w:rPr>
          <w:rFonts w:ascii="仿宋" w:eastAsia="仿宋" w:hAnsi="仿宋" w:cs="Times New Roman"/>
          <w:b/>
          <w:sz w:val="28"/>
          <w:szCs w:val="28"/>
        </w:rPr>
        <w:t>2） 坏账准备计提情况</w:t>
      </w:r>
      <w:bookmarkEnd w:id="395"/>
    </w:p>
    <w:p w:rsidR="00F67D6F" w:rsidRPr="00980BC4" w:rsidRDefault="00F67D6F" w:rsidP="001671D5">
      <w:pPr>
        <w:pStyle w:val="a3"/>
        <w:tabs>
          <w:tab w:val="left" w:pos="3360"/>
        </w:tabs>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1671D5"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r w:rsidR="001671D5" w:rsidRPr="00980BC4">
        <w:rPr>
          <w:rFonts w:ascii="仿宋" w:eastAsia="仿宋" w:hAnsi="仿宋" w:cs="Times New Roman"/>
          <w:sz w:val="28"/>
          <w:szCs w:val="28"/>
        </w:rPr>
        <w:tab/>
      </w:r>
    </w:p>
    <w:p w:rsidR="00F67D6F" w:rsidRPr="00980BC4" w:rsidRDefault="00F67D6F" w:rsidP="001671D5">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96" w:name="_Toc989287"/>
      <w:r w:rsidRPr="00980BC4">
        <w:rPr>
          <w:rFonts w:ascii="仿宋" w:eastAsia="仿宋" w:hAnsi="仿宋" w:cs="Times New Roman"/>
          <w:b/>
          <w:sz w:val="28"/>
          <w:szCs w:val="28"/>
        </w:rPr>
        <w:t>（2） 其他应收款</w:t>
      </w:r>
      <w:bookmarkEnd w:id="396"/>
    </w:p>
    <w:p w:rsidR="00F67D6F" w:rsidRPr="00980BC4" w:rsidRDefault="00F67D6F" w:rsidP="001671D5">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97" w:name="_Toc989288"/>
      <w:r w:rsidRPr="00980BC4">
        <w:rPr>
          <w:rFonts w:ascii="仿宋" w:eastAsia="仿宋" w:hAnsi="仿宋" w:cs="Times New Roman"/>
          <w:b/>
          <w:sz w:val="28"/>
          <w:szCs w:val="28"/>
        </w:rPr>
        <w:t>1） 其他应收款按款项性质分类情况</w:t>
      </w:r>
      <w:bookmarkEnd w:id="397"/>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213"/>
        <w:gridCol w:w="3213"/>
        <w:gridCol w:w="3213"/>
      </w:tblGrid>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96A9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96A9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96A9C">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期初账面余额</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rPr>
                <w:rFonts w:ascii="宋体" w:eastAsia="宋体" w:hAnsi="宋体" w:cs="宋体"/>
                <w:sz w:val="18"/>
                <w:szCs w:val="18"/>
              </w:rPr>
            </w:pPr>
            <w:r w:rsidRPr="00980BC4">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r w:rsidRPr="00980BC4">
              <w:rPr>
                <w:rFonts w:ascii="宋体" w:eastAsia="宋体" w:hAnsi="宋体" w:cs="宋体"/>
                <w:sz w:val="18"/>
                <w:szCs w:val="18"/>
              </w:rPr>
              <w:t>28,021,793.25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r w:rsidRPr="00980BC4">
              <w:rPr>
                <w:rFonts w:ascii="宋体" w:eastAsia="宋体" w:hAnsi="宋体" w:cs="宋体"/>
                <w:sz w:val="18"/>
                <w:szCs w:val="18"/>
              </w:rPr>
              <w:t>27,158,678.81</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rPr>
                <w:rFonts w:ascii="宋体" w:eastAsia="宋体" w:hAnsi="宋体" w:cs="宋体"/>
                <w:sz w:val="18"/>
                <w:szCs w:val="18"/>
              </w:rPr>
            </w:pPr>
            <w:r w:rsidRPr="00980BC4">
              <w:rPr>
                <w:rFonts w:ascii="宋体" w:eastAsia="宋体" w:hAnsi="宋体" w:cs="宋体"/>
                <w:sz w:val="18"/>
                <w:szCs w:val="18"/>
              </w:rPr>
              <w:t>历史遗留款项</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r w:rsidRPr="00980BC4">
              <w:rPr>
                <w:rFonts w:ascii="宋体" w:eastAsia="宋体" w:hAnsi="宋体" w:cs="宋体"/>
                <w:sz w:val="18"/>
                <w:szCs w:val="18"/>
              </w:rPr>
              <w:t>2,398,898.81</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r w:rsidRPr="00980BC4">
              <w:rPr>
                <w:rFonts w:ascii="宋体" w:eastAsia="宋体" w:hAnsi="宋体" w:cs="宋体"/>
                <w:sz w:val="18"/>
                <w:szCs w:val="18"/>
              </w:rPr>
              <w:t>3,495,352.26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rPr>
                <w:rFonts w:ascii="宋体" w:eastAsia="宋体" w:hAnsi="宋体" w:cs="宋体"/>
                <w:sz w:val="18"/>
                <w:szCs w:val="18"/>
              </w:rPr>
            </w:pPr>
            <w:r w:rsidRPr="00980BC4">
              <w:rPr>
                <w:rFonts w:ascii="宋体" w:eastAsia="宋体" w:hAnsi="宋体" w:cs="宋体"/>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r w:rsidRPr="00980BC4">
              <w:rPr>
                <w:rFonts w:ascii="宋体" w:eastAsia="宋体" w:hAnsi="宋体" w:cs="宋体"/>
                <w:sz w:val="18"/>
                <w:szCs w:val="18"/>
              </w:rPr>
              <w:t>1,093,906.05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r w:rsidRPr="00980BC4">
              <w:rPr>
                <w:rFonts w:ascii="宋体" w:eastAsia="宋体" w:hAnsi="宋体" w:cs="宋体"/>
                <w:sz w:val="18"/>
                <w:szCs w:val="18"/>
              </w:rPr>
              <w:t>551,406.05</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rPr>
                <w:rFonts w:ascii="宋体" w:eastAsia="宋体" w:hAnsi="宋体" w:cs="宋体"/>
                <w:sz w:val="18"/>
                <w:szCs w:val="18"/>
              </w:rPr>
            </w:pPr>
            <w:r w:rsidRPr="00980BC4">
              <w:rPr>
                <w:rFonts w:ascii="宋体" w:eastAsia="宋体" w:hAnsi="宋体" w:cs="宋体"/>
                <w:sz w:val="18"/>
                <w:szCs w:val="18"/>
              </w:rPr>
              <w:t>关联方往来款</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r w:rsidRPr="00980BC4">
              <w:rPr>
                <w:rFonts w:ascii="宋体" w:eastAsia="宋体" w:hAnsi="宋体" w:cs="宋体"/>
                <w:sz w:val="18"/>
                <w:szCs w:val="18"/>
              </w:rPr>
              <w:t>53,347.18</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rPr>
                <w:rFonts w:ascii="宋体" w:eastAsia="宋体" w:hAnsi="宋体" w:cs="宋体"/>
                <w:sz w:val="18"/>
                <w:szCs w:val="18"/>
              </w:rPr>
            </w:pPr>
            <w:r w:rsidRPr="00980BC4">
              <w:rPr>
                <w:rFonts w:ascii="宋体" w:eastAsia="宋体" w:hAnsi="宋体" w:cs="宋体"/>
                <w:sz w:val="18"/>
                <w:szCs w:val="18"/>
              </w:rPr>
              <w:t>押金和保证金</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r w:rsidRPr="00980BC4">
              <w:rPr>
                <w:rFonts w:ascii="宋体" w:eastAsia="宋体" w:hAnsi="宋体" w:cs="宋体"/>
                <w:sz w:val="18"/>
                <w:szCs w:val="18"/>
              </w:rPr>
              <w:t>602,884.96</w:t>
            </w:r>
          </w:p>
        </w:tc>
      </w:tr>
      <w:tr w:rsidR="00F67D6F" w:rsidRPr="00980BC4" w:rsidTr="00F67D6F">
        <w:trPr>
          <w:divId w:val="969553885"/>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96A9C">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r w:rsidRPr="00980BC4">
              <w:rPr>
                <w:rFonts w:ascii="宋体" w:eastAsia="宋体" w:hAnsi="宋体" w:cs="宋体"/>
                <w:sz w:val="18"/>
                <w:szCs w:val="18"/>
              </w:rPr>
              <w:t>31,567,945.29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96A9C">
            <w:pPr>
              <w:spacing w:line="280" w:lineRule="exact"/>
              <w:jc w:val="right"/>
              <w:rPr>
                <w:rFonts w:ascii="宋体" w:eastAsia="宋体" w:hAnsi="宋体" w:cs="宋体"/>
                <w:sz w:val="18"/>
                <w:szCs w:val="18"/>
              </w:rPr>
            </w:pPr>
            <w:r w:rsidRPr="00980BC4">
              <w:rPr>
                <w:rFonts w:ascii="宋体" w:eastAsia="宋体" w:hAnsi="宋体" w:cs="宋体"/>
                <w:sz w:val="18"/>
                <w:szCs w:val="18"/>
              </w:rPr>
              <w:t>31,808,322.08</w:t>
            </w:r>
          </w:p>
        </w:tc>
      </w:tr>
    </w:tbl>
    <w:p w:rsidR="00896A9C" w:rsidRDefault="00F67D6F" w:rsidP="00896A9C">
      <w:pPr>
        <w:pStyle w:val="a3"/>
        <w:spacing w:before="0" w:beforeAutospacing="0" w:after="0" w:afterAutospacing="0" w:line="560" w:lineRule="exact"/>
        <w:ind w:firstLine="480"/>
        <w:jc w:val="both"/>
        <w:divId w:val="969553885"/>
        <w:rPr>
          <w:sz w:val="18"/>
          <w:szCs w:val="18"/>
        </w:rPr>
      </w:pPr>
      <w:bookmarkStart w:id="398" w:name="_Toc989289"/>
      <w:r w:rsidRPr="00980BC4">
        <w:rPr>
          <w:rFonts w:ascii="仿宋" w:eastAsia="仿宋" w:hAnsi="仿宋" w:cs="Times New Roman"/>
          <w:b/>
          <w:sz w:val="28"/>
          <w:szCs w:val="28"/>
        </w:rPr>
        <w:t>2） 坏账准备计提情况</w:t>
      </w:r>
      <w:bookmarkEnd w:id="398"/>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235"/>
        <w:gridCol w:w="1620"/>
        <w:gridCol w:w="2065"/>
        <w:gridCol w:w="2126"/>
        <w:gridCol w:w="1593"/>
      </w:tblGrid>
      <w:tr w:rsidR="00F67D6F" w:rsidRPr="00980BC4" w:rsidTr="00173D5E">
        <w:trPr>
          <w:divId w:val="969553885"/>
          <w:trHeight w:val="240"/>
        </w:trPr>
        <w:tc>
          <w:tcPr>
            <w:tcW w:w="22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w:t>
            </w:r>
          </w:p>
        </w:tc>
        <w:tc>
          <w:tcPr>
            <w:tcW w:w="16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第一阶段</w:t>
            </w:r>
          </w:p>
        </w:tc>
        <w:tc>
          <w:tcPr>
            <w:tcW w:w="206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第二阶段</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第三阶段</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r>
      <w:tr w:rsidR="00F67D6F" w:rsidRPr="00980BC4" w:rsidTr="00173D5E">
        <w:trPr>
          <w:divId w:val="969553885"/>
          <w:trHeight w:val="240"/>
        </w:trPr>
        <w:tc>
          <w:tcPr>
            <w:tcW w:w="223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16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未来12个月预期信用损失</w:t>
            </w:r>
          </w:p>
        </w:tc>
        <w:tc>
          <w:tcPr>
            <w:tcW w:w="206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整个存续期预期信用损失(未发生信用减值)</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整个存续期预期信用损失(已发生信用减值)</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2022年1月1日余额</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8,087,719.88</w:t>
            </w: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22,562,676.69</w:t>
            </w: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30,650,396.57</w:t>
            </w: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2022年1月1日余额在</w:t>
            </w:r>
            <w:r w:rsidRPr="00980BC4">
              <w:rPr>
                <w:rFonts w:ascii="宋体" w:eastAsia="宋体" w:hAnsi="宋体" w:cs="宋体"/>
                <w:sz w:val="18"/>
                <w:szCs w:val="18"/>
              </w:rPr>
              <w:lastRenderedPageBreak/>
              <w:t>本期</w:t>
            </w:r>
          </w:p>
        </w:tc>
        <w:tc>
          <w:tcPr>
            <w:tcW w:w="16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206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line="280" w:lineRule="exact"/>
            </w:pP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--转入第二阶段</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--转入第三阶段</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--转回第二阶段</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--转回第一阶段</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本期计提</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7,875.00</w:t>
            </w: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7,875.00</w:t>
            </w: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本期转回</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119,708.90</w:t>
            </w: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163,000.00</w:t>
            </w: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282,708.90</w:t>
            </w: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本期转销</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本期核销</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其他变动</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173D5E">
        <w:trPr>
          <w:divId w:val="969553885"/>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B7436F">
            <w:pPr>
              <w:spacing w:before="40" w:after="40" w:line="280" w:lineRule="exact"/>
              <w:rPr>
                <w:rFonts w:ascii="宋体" w:eastAsia="宋体" w:hAnsi="宋体" w:cs="宋体"/>
                <w:sz w:val="18"/>
                <w:szCs w:val="18"/>
              </w:rPr>
            </w:pPr>
            <w:r w:rsidRPr="00980BC4">
              <w:rPr>
                <w:rFonts w:ascii="宋体" w:eastAsia="宋体" w:hAnsi="宋体" w:cs="宋体"/>
                <w:sz w:val="18"/>
                <w:szCs w:val="18"/>
              </w:rPr>
              <w:t>2022年12月31日余额</w:t>
            </w:r>
          </w:p>
        </w:tc>
        <w:tc>
          <w:tcPr>
            <w:tcW w:w="16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7,975,885.98</w:t>
            </w:r>
          </w:p>
        </w:tc>
        <w:tc>
          <w:tcPr>
            <w:tcW w:w="206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22,399,676.69</w:t>
            </w: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B7436F">
            <w:pPr>
              <w:spacing w:line="280" w:lineRule="exact"/>
              <w:jc w:val="right"/>
              <w:rPr>
                <w:rFonts w:ascii="宋体" w:eastAsia="宋体" w:hAnsi="宋体" w:cs="宋体"/>
                <w:sz w:val="18"/>
                <w:szCs w:val="18"/>
              </w:rPr>
            </w:pPr>
            <w:r w:rsidRPr="00980BC4">
              <w:rPr>
                <w:rFonts w:ascii="宋体" w:eastAsia="宋体" w:hAnsi="宋体" w:cs="宋体"/>
                <w:sz w:val="18"/>
                <w:szCs w:val="18"/>
              </w:rPr>
              <w:t>30,375,562.67</w:t>
            </w:r>
          </w:p>
        </w:tc>
      </w:tr>
    </w:tbl>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损失准备本期变动金额重大的账面余额变动情况</w:t>
      </w:r>
    </w:p>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5117A4"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按账龄披露</w:t>
      </w: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4820"/>
        <w:gridCol w:w="4819"/>
      </w:tblGrid>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账面余额</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1,169,844.98</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37,119.03</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4,092.10</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30,356,889.18</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30,356,889.18</w:t>
            </w:r>
          </w:p>
        </w:tc>
      </w:tr>
      <w:tr w:rsidR="00F67D6F" w:rsidRPr="00980BC4" w:rsidTr="00F67D6F">
        <w:trPr>
          <w:divId w:val="969553885"/>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31,567,945.29</w:t>
            </w:r>
          </w:p>
        </w:tc>
      </w:tr>
    </w:tbl>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399" w:name="_Toc989290"/>
      <w:r w:rsidRPr="00980BC4">
        <w:rPr>
          <w:rFonts w:ascii="仿宋" w:eastAsia="仿宋" w:hAnsi="仿宋" w:cs="Times New Roman"/>
          <w:b/>
          <w:sz w:val="28"/>
          <w:szCs w:val="28"/>
        </w:rPr>
        <w:t>3） 本期计提、收回或转回的坏账准备情况</w:t>
      </w:r>
      <w:bookmarkEnd w:id="399"/>
    </w:p>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本期计提坏账准备情况：</w:t>
      </w: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566"/>
        <w:gridCol w:w="1188"/>
        <w:gridCol w:w="1377"/>
        <w:gridCol w:w="1377"/>
        <w:gridCol w:w="1161"/>
        <w:gridCol w:w="1593"/>
      </w:tblGrid>
      <w:tr w:rsidR="00F67D6F" w:rsidRPr="00980BC4" w:rsidTr="005117A4">
        <w:trPr>
          <w:divId w:val="969553885"/>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类别</w:t>
            </w:r>
          </w:p>
        </w:tc>
        <w:tc>
          <w:tcPr>
            <w:tcW w:w="156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w:t>
            </w:r>
          </w:p>
        </w:tc>
        <w:tc>
          <w:tcPr>
            <w:tcW w:w="510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本期变动金额</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r>
      <w:tr w:rsidR="00F67D6F" w:rsidRPr="00980BC4" w:rsidTr="005117A4">
        <w:trPr>
          <w:divId w:val="969553885"/>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56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18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核销</w:t>
            </w:r>
          </w:p>
        </w:tc>
        <w:tc>
          <w:tcPr>
            <w:tcW w:w="1161"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r>
      <w:tr w:rsidR="00F67D6F" w:rsidRPr="00980BC4" w:rsidTr="005117A4">
        <w:trPr>
          <w:divId w:val="969553885"/>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坏账准备</w:t>
            </w:r>
          </w:p>
        </w:tc>
        <w:tc>
          <w:tcPr>
            <w:tcW w:w="15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30,650,396.57</w:t>
            </w:r>
          </w:p>
        </w:tc>
        <w:tc>
          <w:tcPr>
            <w:tcW w:w="118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7,875.00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282,708.90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30,375,562.67</w:t>
            </w:r>
          </w:p>
        </w:tc>
      </w:tr>
      <w:tr w:rsidR="00F67D6F" w:rsidRPr="00980BC4" w:rsidTr="005117A4">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56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30,650,396.57</w:t>
            </w:r>
          </w:p>
        </w:tc>
        <w:tc>
          <w:tcPr>
            <w:tcW w:w="118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7,875.00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282,708.90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30,375,562.67</w:t>
            </w:r>
          </w:p>
        </w:tc>
      </w:tr>
    </w:tbl>
    <w:p w:rsidR="00F67D6F" w:rsidRPr="00980BC4" w:rsidRDefault="00F67D6F" w:rsidP="00F67D6F">
      <w:pPr>
        <w:divId w:val="969553885"/>
        <w:rPr>
          <w:sz w:val="18"/>
          <w:szCs w:val="18"/>
        </w:rPr>
      </w:pPr>
    </w:p>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00" w:name="_Toc989291"/>
      <w:r w:rsidRPr="00980BC4">
        <w:rPr>
          <w:rFonts w:ascii="仿宋" w:eastAsia="仿宋" w:hAnsi="仿宋" w:cs="Times New Roman"/>
          <w:b/>
          <w:sz w:val="28"/>
          <w:szCs w:val="28"/>
        </w:rPr>
        <w:t>4） 按欠款方归集的期末余额前五名的其他应收款情况</w:t>
      </w:r>
      <w:bookmarkEnd w:id="400"/>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606"/>
        <w:gridCol w:w="1606"/>
        <w:gridCol w:w="1606"/>
        <w:gridCol w:w="1607"/>
        <w:gridCol w:w="1607"/>
        <w:gridCol w:w="1607"/>
      </w:tblGrid>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坏账准备期末余额</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18,904,324.43</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59.88%</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18,904,324.43</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lastRenderedPageBreak/>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7,062,300.00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22.37%</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7,062,300.00</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历史遗留款</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1,096,453.45</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3.47%</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1,096,453.45</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历史遗留款</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626,267.42</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1.98%</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626,267.42</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备用金</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500,000.00</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1.58%</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5,000.00</w:t>
            </w:r>
          </w:p>
        </w:tc>
      </w:tr>
      <w:tr w:rsidR="00F67D6F" w:rsidRPr="00980BC4" w:rsidTr="00F67D6F">
        <w:trPr>
          <w:divId w:val="969553885"/>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28,189,345.30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89.28%</w:t>
            </w:r>
          </w:p>
        </w:tc>
        <w:tc>
          <w:tcPr>
            <w:tcW w:w="160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27,694,345.30</w:t>
            </w:r>
          </w:p>
        </w:tc>
      </w:tr>
    </w:tbl>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01" w:name="_Toc989292"/>
      <w:r w:rsidRPr="00980BC4">
        <w:rPr>
          <w:rFonts w:ascii="仿宋" w:eastAsia="仿宋" w:hAnsi="仿宋" w:cs="Times New Roman"/>
          <w:b/>
          <w:sz w:val="28"/>
          <w:szCs w:val="28"/>
        </w:rPr>
        <w:t>3、长期股权投资</w:t>
      </w:r>
      <w:bookmarkEnd w:id="401"/>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377"/>
        <w:gridCol w:w="1377"/>
        <w:gridCol w:w="1377"/>
        <w:gridCol w:w="1377"/>
        <w:gridCol w:w="1377"/>
        <w:gridCol w:w="1377"/>
        <w:gridCol w:w="1377"/>
      </w:tblGrid>
      <w:tr w:rsidR="00F67D6F" w:rsidRPr="00980BC4" w:rsidTr="00F67D6F">
        <w:trPr>
          <w:divId w:val="969553885"/>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期初余额</w:t>
            </w:r>
          </w:p>
        </w:tc>
      </w:tr>
      <w:tr w:rsidR="00F67D6F" w:rsidRPr="00980BC4" w:rsidTr="00F67D6F">
        <w:trPr>
          <w:divId w:val="969553885"/>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jc w:val="center"/>
              <w:rPr>
                <w:rFonts w:ascii="宋体" w:eastAsia="宋体" w:hAnsi="宋体" w:cs="宋体"/>
                <w:sz w:val="18"/>
                <w:szCs w:val="18"/>
              </w:rPr>
            </w:pPr>
            <w:r w:rsidRPr="00980BC4">
              <w:rPr>
                <w:rFonts w:ascii="宋体" w:eastAsia="宋体" w:hAnsi="宋体" w:cs="宋体"/>
                <w:sz w:val="18"/>
                <w:szCs w:val="18"/>
              </w:rPr>
              <w:t>账面价值</w:t>
            </w:r>
          </w:p>
        </w:tc>
      </w:tr>
      <w:tr w:rsidR="00F67D6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1,250,222,295.60</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104,614,059.63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1,145,608,235.97</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1,100,861,055.05</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105,514,059.63</w:t>
            </w:r>
          </w:p>
        </w:tc>
        <w:tc>
          <w:tcPr>
            <w:tcW w:w="137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995,346,995.42</w:t>
            </w:r>
          </w:p>
        </w:tc>
      </w:tr>
      <w:tr w:rsidR="000933D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933DF" w:rsidRPr="00980BC4" w:rsidRDefault="000933D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40" w:lineRule="exact"/>
              <w:jc w:val="right"/>
              <w:rPr>
                <w:rFonts w:ascii="宋体" w:eastAsia="宋体" w:hAnsi="宋体" w:cs="宋体"/>
                <w:sz w:val="18"/>
                <w:szCs w:val="18"/>
              </w:rPr>
            </w:pPr>
            <w:r w:rsidRPr="001402D0">
              <w:rPr>
                <w:rFonts w:ascii="宋体" w:eastAsia="宋体" w:hAnsi="宋体" w:cs="宋体"/>
                <w:sz w:val="18"/>
                <w:szCs w:val="18"/>
              </w:rPr>
              <w:t>144,494,018.90</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40" w:lineRule="exact"/>
              <w:jc w:val="right"/>
              <w:rPr>
                <w:rFonts w:ascii="宋体" w:eastAsia="宋体" w:hAnsi="宋体" w:cs="宋体"/>
                <w:sz w:val="18"/>
                <w:szCs w:val="18"/>
              </w:rPr>
            </w:pPr>
            <w:r w:rsidRPr="001402D0">
              <w:rPr>
                <w:rFonts w:ascii="宋体" w:eastAsia="宋体" w:hAnsi="宋体" w:cs="宋体"/>
                <w:sz w:val="18"/>
                <w:szCs w:val="18"/>
              </w:rPr>
              <w:t>144,494,018.90</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136,428,111.78</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338,435.59</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136,089,676.19</w:t>
            </w:r>
          </w:p>
        </w:tc>
      </w:tr>
      <w:tr w:rsidR="000933DF" w:rsidRPr="00980BC4" w:rsidTr="00F67D6F">
        <w:trPr>
          <w:divId w:val="969553885"/>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933DF" w:rsidRPr="00980BC4" w:rsidRDefault="000933DF" w:rsidP="008D6E99">
            <w:pPr>
              <w:spacing w:before="40" w:after="40" w:line="240" w:lineRule="exact"/>
              <w:rPr>
                <w:rFonts w:ascii="宋体" w:eastAsia="宋体" w:hAnsi="宋体" w:cs="宋体"/>
                <w:sz w:val="18"/>
                <w:szCs w:val="18"/>
              </w:rPr>
            </w:pPr>
            <w:r w:rsidRPr="00980BC4">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40" w:lineRule="exact"/>
              <w:jc w:val="right"/>
              <w:rPr>
                <w:rFonts w:ascii="宋体" w:eastAsia="宋体" w:hAnsi="宋体" w:cs="宋体"/>
                <w:sz w:val="18"/>
                <w:szCs w:val="18"/>
              </w:rPr>
            </w:pPr>
            <w:r w:rsidRPr="001402D0">
              <w:rPr>
                <w:rFonts w:ascii="宋体" w:eastAsia="宋体" w:hAnsi="宋体" w:cs="宋体"/>
                <w:sz w:val="18"/>
                <w:szCs w:val="18"/>
              </w:rPr>
              <w:t>1,394,716,314.50</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40" w:lineRule="exact"/>
              <w:jc w:val="right"/>
              <w:rPr>
                <w:rFonts w:ascii="宋体" w:eastAsia="宋体" w:hAnsi="宋体" w:cs="宋体"/>
                <w:sz w:val="18"/>
                <w:szCs w:val="18"/>
              </w:rPr>
            </w:pPr>
            <w:r w:rsidRPr="00980BC4">
              <w:rPr>
                <w:rFonts w:ascii="宋体" w:eastAsia="宋体" w:hAnsi="宋体" w:cs="宋体"/>
                <w:sz w:val="18"/>
                <w:szCs w:val="18"/>
              </w:rPr>
              <w:t>104,614,059.63</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40" w:lineRule="exact"/>
              <w:jc w:val="right"/>
              <w:rPr>
                <w:rFonts w:ascii="宋体" w:eastAsia="宋体" w:hAnsi="宋体" w:cs="宋体"/>
                <w:sz w:val="18"/>
                <w:szCs w:val="18"/>
              </w:rPr>
            </w:pPr>
            <w:r w:rsidRPr="001402D0">
              <w:rPr>
                <w:rFonts w:ascii="宋体" w:eastAsia="宋体" w:hAnsi="宋体" w:cs="宋体"/>
                <w:sz w:val="18"/>
                <w:szCs w:val="18"/>
              </w:rPr>
              <w:t>1,290,102,254.87</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1,237,289,166.83</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105,852,495.22</w:t>
            </w:r>
          </w:p>
        </w:tc>
        <w:tc>
          <w:tcPr>
            <w:tcW w:w="1377"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8D6E99">
            <w:pPr>
              <w:spacing w:line="240" w:lineRule="exact"/>
              <w:jc w:val="right"/>
              <w:rPr>
                <w:rFonts w:ascii="宋体" w:eastAsia="宋体" w:hAnsi="宋体" w:cs="宋体"/>
                <w:sz w:val="18"/>
                <w:szCs w:val="18"/>
              </w:rPr>
            </w:pPr>
            <w:r w:rsidRPr="00980BC4">
              <w:rPr>
                <w:rFonts w:ascii="宋体" w:eastAsia="宋体" w:hAnsi="宋体" w:cs="宋体"/>
                <w:sz w:val="18"/>
                <w:szCs w:val="18"/>
              </w:rPr>
              <w:t>1,131,436,671.61</w:t>
            </w:r>
          </w:p>
        </w:tc>
      </w:tr>
    </w:tbl>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02" w:name="_Toc989293"/>
      <w:r w:rsidRPr="00980BC4">
        <w:rPr>
          <w:rFonts w:ascii="仿宋" w:eastAsia="仿宋" w:hAnsi="仿宋" w:cs="Times New Roman"/>
          <w:b/>
          <w:sz w:val="28"/>
          <w:szCs w:val="28"/>
        </w:rPr>
        <w:t>（1） 对子公司投资</w:t>
      </w:r>
      <w:bookmarkEnd w:id="402"/>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204"/>
        <w:gridCol w:w="1205"/>
        <w:gridCol w:w="1205"/>
        <w:gridCol w:w="1205"/>
        <w:gridCol w:w="1205"/>
        <w:gridCol w:w="1205"/>
        <w:gridCol w:w="1205"/>
        <w:gridCol w:w="1205"/>
      </w:tblGrid>
      <w:tr w:rsidR="00F67D6F" w:rsidRPr="00980BC4" w:rsidTr="00F67D6F">
        <w:trPr>
          <w:divId w:val="969553885"/>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被投资单位</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期初余额（账面价值）</w:t>
            </w:r>
          </w:p>
        </w:tc>
        <w:tc>
          <w:tcPr>
            <w:tcW w:w="482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本期增减变动</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期末余额（账面价值）</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减值准备期末余额</w:t>
            </w:r>
          </w:p>
        </w:tc>
      </w:tr>
      <w:tr w:rsidR="00F67D6F" w:rsidRPr="00980BC4" w:rsidTr="00F67D6F">
        <w:trPr>
          <w:divId w:val="969553885"/>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追加投资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减少投资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计提减值准备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r>
      <w:tr w:rsidR="00F67D6F" w:rsidRPr="00980BC4" w:rsidTr="00F67D6F">
        <w:trPr>
          <w:divId w:val="969553885"/>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江门机械厂</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37,808,737.59</w:t>
            </w:r>
          </w:p>
        </w:tc>
      </w:tr>
      <w:tr w:rsidR="00F67D6F" w:rsidRPr="00980BC4" w:rsidTr="00F67D6F">
        <w:trPr>
          <w:divId w:val="969553885"/>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沈阳含能金属材料制造有限公司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289,393,165.46</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1,522,961.08</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290,916,126.54</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66,805,322.04</w:t>
            </w:r>
          </w:p>
        </w:tc>
      </w:tr>
      <w:tr w:rsidR="00F67D6F" w:rsidRPr="00980BC4" w:rsidTr="00F67D6F">
        <w:trPr>
          <w:divId w:val="969553885"/>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四川升华电源科技有限公司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665,744,829.96</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48,907,312.45</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714,652,142.41</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江门德钰隽龚股权投资合伙企业（有限合伙）</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24,500,000.00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13,500,000.00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38,000,000.00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四川甘华电源科技有限公司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15,209,000.00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4,330,967.02</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19,539,967.02</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江门甘科物业管理有限公司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沈阳非晶金属材料制造有限公司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40,000,000.00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40,000,000.00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福建将乐卓越金属材料有限公司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42,000,000.00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42,000,000.00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r>
      <w:tr w:rsidR="00F67D6F" w:rsidRPr="00980BC4" w:rsidTr="00F67D6F">
        <w:trPr>
          <w:divId w:val="969553885"/>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江门市甘源</w:t>
            </w:r>
            <w:r w:rsidRPr="00980BC4">
              <w:rPr>
                <w:rFonts w:ascii="宋体" w:eastAsia="宋体" w:hAnsi="宋体" w:cs="宋体"/>
                <w:sz w:val="18"/>
                <w:szCs w:val="18"/>
              </w:rPr>
              <w:lastRenderedPageBreak/>
              <w:t>环保包装制品有限公司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lastRenderedPageBreak/>
              <w:t>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w:t>
            </w:r>
            <w:r w:rsidRPr="00980BC4">
              <w:rPr>
                <w:rFonts w:ascii="宋体" w:eastAsia="宋体" w:hAnsi="宋体" w:cs="宋体"/>
                <w:sz w:val="18"/>
                <w:szCs w:val="18"/>
              </w:rPr>
              <w:lastRenderedPageBreak/>
              <w:t>900,000.00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lastRenderedPageBreak/>
              <w:t>-</w:t>
            </w:r>
            <w:r w:rsidRPr="00980BC4">
              <w:rPr>
                <w:rFonts w:ascii="宋体" w:eastAsia="宋体" w:hAnsi="宋体" w:cs="宋体"/>
                <w:sz w:val="18"/>
                <w:szCs w:val="18"/>
              </w:rPr>
              <w:lastRenderedPageBreak/>
              <w:t>900,000.00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lastRenderedPageBreak/>
              <w:t>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F67D6F" w:rsidRPr="00980BC4" w:rsidTr="00F67D6F">
        <w:trPr>
          <w:divId w:val="969553885"/>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lastRenderedPageBreak/>
              <w:t>合计</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995,346,995.42</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150,261,240.55</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-900,000.00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-900,000.00</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1,145,608,235.97</w:t>
            </w:r>
          </w:p>
        </w:tc>
        <w:tc>
          <w:tcPr>
            <w:tcW w:w="12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104,614,059.63</w:t>
            </w:r>
          </w:p>
        </w:tc>
      </w:tr>
    </w:tbl>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03" w:name="_Toc989294"/>
      <w:r w:rsidRPr="00980BC4">
        <w:rPr>
          <w:rFonts w:ascii="仿宋" w:eastAsia="仿宋" w:hAnsi="仿宋" w:cs="Times New Roman"/>
          <w:b/>
          <w:sz w:val="28"/>
          <w:szCs w:val="28"/>
        </w:rPr>
        <w:t>（2） 对联营、合营企业投资</w:t>
      </w:r>
      <w:bookmarkEnd w:id="403"/>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803"/>
        <w:gridCol w:w="803"/>
        <w:gridCol w:w="803"/>
        <w:gridCol w:w="803"/>
        <w:gridCol w:w="803"/>
        <w:gridCol w:w="803"/>
        <w:gridCol w:w="803"/>
        <w:gridCol w:w="803"/>
        <w:gridCol w:w="803"/>
        <w:gridCol w:w="805"/>
        <w:gridCol w:w="803"/>
        <w:gridCol w:w="804"/>
      </w:tblGrid>
      <w:tr w:rsidR="00F67D6F" w:rsidRPr="00980BC4" w:rsidTr="000933DF">
        <w:trPr>
          <w:divId w:val="969553885"/>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期末余额（账面价值）</w:t>
            </w:r>
          </w:p>
        </w:tc>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减值准备期末余额</w:t>
            </w:r>
          </w:p>
        </w:tc>
      </w:tr>
      <w:tr w:rsidR="00F67D6F" w:rsidRPr="00980BC4" w:rsidTr="000933DF">
        <w:trPr>
          <w:divId w:val="969553885"/>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计提减值准备</w:t>
            </w:r>
          </w:p>
        </w:tc>
        <w:tc>
          <w:tcPr>
            <w:tcW w:w="80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8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r>
      <w:tr w:rsidR="00F67D6F" w:rsidRPr="00980BC4" w:rsidTr="005117A4">
        <w:trPr>
          <w:divId w:val="969553885"/>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一、合营企业</w:t>
            </w:r>
          </w:p>
        </w:tc>
      </w:tr>
      <w:tr w:rsidR="005117A4" w:rsidRPr="00980BC4" w:rsidTr="005117A4">
        <w:trPr>
          <w:divId w:val="969553885"/>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117A4" w:rsidRPr="00980BC4" w:rsidRDefault="005117A4" w:rsidP="005117A4">
            <w:pPr>
              <w:spacing w:before="40" w:after="40" w:line="280" w:lineRule="exact"/>
              <w:rPr>
                <w:rFonts w:ascii="宋体" w:eastAsia="宋体" w:hAnsi="宋体" w:cs="宋体"/>
                <w:sz w:val="18"/>
                <w:szCs w:val="18"/>
              </w:rPr>
            </w:pPr>
            <w:r w:rsidRPr="00980BC4">
              <w:rPr>
                <w:rFonts w:ascii="宋体" w:eastAsia="宋体" w:hAnsi="宋体" w:cs="宋体" w:hint="eastAsia"/>
                <w:sz w:val="18"/>
                <w:szCs w:val="18"/>
              </w:rPr>
              <w:t>无</w:t>
            </w:r>
          </w:p>
        </w:tc>
      </w:tr>
      <w:tr w:rsidR="00F67D6F" w:rsidRPr="00980BC4" w:rsidTr="00F67D6F">
        <w:trPr>
          <w:divId w:val="969553885"/>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二、联营企业</w:t>
            </w:r>
          </w:p>
        </w:tc>
      </w:tr>
      <w:tr w:rsidR="000933DF" w:rsidRPr="00980BC4" w:rsidTr="000933DF">
        <w:trPr>
          <w:divId w:val="969553885"/>
          <w:trHeight w:val="240"/>
        </w:trPr>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5117A4">
            <w:pPr>
              <w:spacing w:line="280" w:lineRule="exact"/>
              <w:rPr>
                <w:rFonts w:ascii="宋体" w:eastAsia="宋体" w:hAnsi="宋体" w:cs="宋体"/>
                <w:sz w:val="18"/>
                <w:szCs w:val="18"/>
              </w:rPr>
            </w:pPr>
            <w:r w:rsidRPr="00980BC4">
              <w:rPr>
                <w:rFonts w:ascii="宋体" w:eastAsia="宋体" w:hAnsi="宋体" w:cs="宋体"/>
                <w:sz w:val="18"/>
                <w:szCs w:val="18"/>
              </w:rPr>
              <w:t>苏州锴威特半导体股份有限公司</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136,089,676.19</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11,324,502.61</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1402D0">
              <w:rPr>
                <w:rFonts w:ascii="宋体" w:eastAsia="宋体" w:hAnsi="宋体" w:cs="宋体"/>
                <w:sz w:val="18"/>
                <w:szCs w:val="18"/>
              </w:rPr>
              <w:t>-2,920,159.90</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5"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C55A9D">
              <w:rPr>
                <w:rFonts w:ascii="宋体" w:eastAsia="宋体" w:hAnsi="宋体" w:cs="宋体"/>
                <w:sz w:val="18"/>
                <w:szCs w:val="18"/>
              </w:rPr>
              <w:t>144,494,018.90</w:t>
            </w:r>
          </w:p>
        </w:tc>
        <w:tc>
          <w:tcPr>
            <w:tcW w:w="804"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r>
      <w:tr w:rsidR="00F67D6F" w:rsidRPr="00980BC4" w:rsidTr="000933DF">
        <w:trPr>
          <w:divId w:val="969553885"/>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江门亿建建材实业有限公司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-338,435.59</w:t>
            </w:r>
          </w:p>
        </w:tc>
        <w:tc>
          <w:tcPr>
            <w:tcW w:w="805"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-338,435.59</w:t>
            </w:r>
          </w:p>
        </w:tc>
        <w:tc>
          <w:tcPr>
            <w:tcW w:w="80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c>
          <w:tcPr>
            <w:tcW w:w="80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0.00</w:t>
            </w:r>
          </w:p>
        </w:tc>
      </w:tr>
      <w:tr w:rsidR="000933DF" w:rsidRPr="00980BC4" w:rsidTr="000933DF">
        <w:trPr>
          <w:divId w:val="969553885"/>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0933DF" w:rsidRPr="00980BC4" w:rsidRDefault="000933D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136,089,676.19</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11,324,502.61</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1402D0">
              <w:rPr>
                <w:rFonts w:ascii="宋体" w:eastAsia="宋体" w:hAnsi="宋体" w:cs="宋体"/>
                <w:sz w:val="18"/>
                <w:szCs w:val="18"/>
              </w:rPr>
              <w:t>-2,920,159.90</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-338,435.59</w:t>
            </w:r>
          </w:p>
        </w:tc>
        <w:tc>
          <w:tcPr>
            <w:tcW w:w="805"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-338,435.59</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1402D0">
              <w:rPr>
                <w:rFonts w:ascii="宋体" w:eastAsia="宋体" w:hAnsi="宋体" w:cs="宋体"/>
                <w:sz w:val="18"/>
                <w:szCs w:val="18"/>
              </w:rPr>
              <w:t>144,494,018.90</w:t>
            </w:r>
          </w:p>
        </w:tc>
        <w:tc>
          <w:tcPr>
            <w:tcW w:w="804"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r>
      <w:tr w:rsidR="000933DF" w:rsidRPr="00980BC4" w:rsidTr="000933DF">
        <w:trPr>
          <w:divId w:val="969553885"/>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0933DF" w:rsidRPr="00980BC4" w:rsidRDefault="000933D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136,089,676.19</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11,324,502.61</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1402D0">
              <w:rPr>
                <w:rFonts w:ascii="宋体" w:eastAsia="宋体" w:hAnsi="宋体" w:cs="宋体"/>
                <w:sz w:val="18"/>
                <w:szCs w:val="18"/>
              </w:rPr>
              <w:t>-2,920,159.90</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-338,435.59</w:t>
            </w:r>
          </w:p>
        </w:tc>
        <w:tc>
          <w:tcPr>
            <w:tcW w:w="805"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980BC4">
              <w:rPr>
                <w:rFonts w:ascii="宋体" w:eastAsia="宋体" w:hAnsi="宋体" w:cs="宋体"/>
                <w:sz w:val="18"/>
                <w:szCs w:val="18"/>
              </w:rPr>
              <w:t>-338,435.59</w:t>
            </w:r>
          </w:p>
        </w:tc>
        <w:tc>
          <w:tcPr>
            <w:tcW w:w="803"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r w:rsidRPr="001402D0">
              <w:rPr>
                <w:rFonts w:ascii="宋体" w:eastAsia="宋体" w:hAnsi="宋体" w:cs="宋体"/>
                <w:sz w:val="18"/>
                <w:szCs w:val="18"/>
              </w:rPr>
              <w:t>144,494,018.90</w:t>
            </w:r>
          </w:p>
        </w:tc>
        <w:tc>
          <w:tcPr>
            <w:tcW w:w="804" w:type="dxa"/>
            <w:tcBorders>
              <w:top w:val="single" w:sz="2" w:space="0" w:color="auto"/>
              <w:left w:val="single" w:sz="2" w:space="0" w:color="auto"/>
              <w:bottom w:val="single" w:sz="2" w:space="0" w:color="auto"/>
              <w:right w:val="single" w:sz="2" w:space="0" w:color="auto"/>
            </w:tcBorders>
            <w:vAlign w:val="center"/>
          </w:tcPr>
          <w:p w:rsidR="000933DF" w:rsidRPr="00980BC4" w:rsidRDefault="000933DF" w:rsidP="007F1C4E">
            <w:pPr>
              <w:spacing w:line="280" w:lineRule="exact"/>
              <w:jc w:val="right"/>
              <w:rPr>
                <w:rFonts w:ascii="宋体" w:eastAsia="宋体" w:hAnsi="宋体" w:cs="宋体"/>
                <w:sz w:val="18"/>
                <w:szCs w:val="18"/>
              </w:rPr>
            </w:pPr>
          </w:p>
        </w:tc>
      </w:tr>
    </w:tbl>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04" w:name="_Toc989295"/>
      <w:r w:rsidRPr="00980BC4">
        <w:rPr>
          <w:rFonts w:ascii="仿宋" w:eastAsia="仿宋" w:hAnsi="仿宋" w:cs="Times New Roman"/>
          <w:b/>
          <w:sz w:val="28"/>
          <w:szCs w:val="28"/>
        </w:rPr>
        <w:t>4、营业收入和营业成本</w:t>
      </w:r>
      <w:bookmarkEnd w:id="404"/>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F67D6F">
        <w:trPr>
          <w:divId w:val="969553885"/>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F67D6F">
        <w:trPr>
          <w:divId w:val="969553885"/>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成本</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27,632,780.43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27,296,882.28</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215,628,549.96</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214,328,050.03</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5,079,729.40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936,878.26</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4,977,584.64</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915,917.23</w:t>
            </w:r>
          </w:p>
        </w:tc>
      </w:tr>
      <w:tr w:rsidR="00F67D6F" w:rsidRPr="00980BC4" w:rsidTr="00F67D6F">
        <w:trPr>
          <w:divId w:val="969553885"/>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32,712,509.83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28,233,760.54</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220,606,134.60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215,243,967.26</w:t>
            </w:r>
          </w:p>
        </w:tc>
      </w:tr>
    </w:tbl>
    <w:p w:rsidR="00F67D6F" w:rsidRPr="00980BC4" w:rsidRDefault="00F67D6F" w:rsidP="005117A4">
      <w:pPr>
        <w:pStyle w:val="a3"/>
        <w:spacing w:before="0" w:beforeAutospacing="0" w:after="0" w:afterAutospacing="0" w:line="560" w:lineRule="exact"/>
        <w:ind w:firstLine="480"/>
        <w:jc w:val="both"/>
        <w:divId w:val="969553885"/>
        <w:rPr>
          <w:rFonts w:ascii="仿宋" w:eastAsia="仿宋" w:hAnsi="仿宋" w:cs="Times New Roman"/>
          <w:b/>
          <w:sz w:val="28"/>
          <w:szCs w:val="28"/>
        </w:rPr>
      </w:pPr>
      <w:r w:rsidRPr="00980BC4">
        <w:rPr>
          <w:rFonts w:ascii="仿宋" w:eastAsia="仿宋" w:hAnsi="仿宋" w:cs="Times New Roman"/>
          <w:b/>
          <w:sz w:val="28"/>
          <w:szCs w:val="28"/>
        </w:rPr>
        <w:t>收入相关信息：</w:t>
      </w:r>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927"/>
        <w:gridCol w:w="1928"/>
        <w:gridCol w:w="1928"/>
        <w:gridCol w:w="1928"/>
        <w:gridCol w:w="1928"/>
      </w:tblGrid>
      <w:tr w:rsidR="00F67D6F" w:rsidRPr="00980BC4" w:rsidTr="005117A4">
        <w:trPr>
          <w:divId w:val="969553885"/>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center"/>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合计</w:t>
            </w:r>
          </w:p>
        </w:tc>
      </w:tr>
      <w:tr w:rsidR="00F67D6F" w:rsidRPr="00980BC4" w:rsidTr="005117A4">
        <w:trPr>
          <w:divId w:val="969553885"/>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32,712,509.83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32,712,509.83</w:t>
            </w:r>
          </w:p>
        </w:tc>
      </w:tr>
      <w:tr w:rsidR="00F67D6F" w:rsidRPr="00980BC4" w:rsidTr="005117A4">
        <w:trPr>
          <w:divId w:val="969553885"/>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line="280" w:lineRule="exact"/>
            </w:pPr>
          </w:p>
        </w:tc>
      </w:tr>
      <w:tr w:rsidR="00F67D6F" w:rsidRPr="00980BC4" w:rsidTr="005117A4">
        <w:trPr>
          <w:divId w:val="969553885"/>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t>制糖产品</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27,632,780.43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27,632,780.43</w:t>
            </w:r>
          </w:p>
        </w:tc>
      </w:tr>
      <w:tr w:rsidR="00F67D6F" w:rsidRPr="00980BC4" w:rsidTr="005117A4">
        <w:trPr>
          <w:divId w:val="969553885"/>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rPr>
                <w:rFonts w:ascii="宋体" w:eastAsia="宋体" w:hAnsi="宋体" w:cs="宋体"/>
                <w:sz w:val="18"/>
                <w:szCs w:val="18"/>
              </w:rPr>
            </w:pPr>
            <w:r w:rsidRPr="00980BC4">
              <w:rPr>
                <w:rFonts w:ascii="宋体" w:eastAsia="宋体" w:hAnsi="宋体" w:cs="宋体"/>
                <w:sz w:val="18"/>
                <w:szCs w:val="18"/>
              </w:rPr>
              <w:lastRenderedPageBreak/>
              <w:t>其他</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5,079,729.40</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5,079,729.40</w:t>
            </w:r>
          </w:p>
        </w:tc>
      </w:tr>
      <w:tr w:rsidR="00F67D6F" w:rsidRPr="00980BC4" w:rsidTr="005117A4">
        <w:trPr>
          <w:divId w:val="969553885"/>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5117A4">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32,712,509.83</w:t>
            </w: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5117A4">
            <w:pPr>
              <w:spacing w:line="280" w:lineRule="exact"/>
              <w:jc w:val="right"/>
              <w:rPr>
                <w:rFonts w:ascii="宋体" w:eastAsia="宋体" w:hAnsi="宋体" w:cs="宋体"/>
                <w:sz w:val="18"/>
                <w:szCs w:val="18"/>
              </w:rPr>
            </w:pPr>
            <w:r w:rsidRPr="00980BC4">
              <w:rPr>
                <w:rFonts w:ascii="宋体" w:eastAsia="宋体" w:hAnsi="宋体" w:cs="宋体"/>
                <w:sz w:val="18"/>
                <w:szCs w:val="18"/>
              </w:rPr>
              <w:t>32,712,509.83</w:t>
            </w:r>
          </w:p>
        </w:tc>
      </w:tr>
    </w:tbl>
    <w:p w:rsidR="00F67D6F" w:rsidRPr="00980BC4" w:rsidRDefault="00F67D6F" w:rsidP="001A7B71">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05" w:name="_Toc989296"/>
      <w:r w:rsidRPr="00980BC4">
        <w:rPr>
          <w:rFonts w:ascii="仿宋" w:eastAsia="仿宋" w:hAnsi="仿宋" w:cs="Times New Roman"/>
          <w:b/>
          <w:sz w:val="28"/>
          <w:szCs w:val="28"/>
        </w:rPr>
        <w:t>5、投资收益</w:t>
      </w:r>
      <w:bookmarkEnd w:id="405"/>
    </w:p>
    <w:p w:rsidR="00F67D6F" w:rsidRPr="00980BC4" w:rsidRDefault="00F67D6F" w:rsidP="00F67D6F">
      <w:pPr>
        <w:spacing w:before="40" w:after="4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652"/>
        <w:gridCol w:w="3260"/>
        <w:gridCol w:w="2727"/>
      </w:tblGrid>
      <w:tr w:rsidR="00F67D6F" w:rsidRPr="00980BC4" w:rsidTr="001A7B71">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A7B7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32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A7B7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本期发生额</w:t>
            </w:r>
          </w:p>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A7B71">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上期发生额</w:t>
            </w:r>
          </w:p>
        </w:tc>
      </w:tr>
      <w:tr w:rsidR="00F67D6F" w:rsidRPr="00980BC4" w:rsidTr="001A7B71">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A7B71">
            <w:pPr>
              <w:spacing w:before="40" w:after="40" w:line="280" w:lineRule="exact"/>
              <w:rPr>
                <w:rFonts w:ascii="宋体" w:eastAsia="宋体" w:hAnsi="宋体" w:cs="宋体"/>
                <w:sz w:val="18"/>
                <w:szCs w:val="18"/>
              </w:rPr>
            </w:pPr>
            <w:r w:rsidRPr="00980BC4">
              <w:rPr>
                <w:rFonts w:ascii="宋体" w:eastAsia="宋体" w:hAnsi="宋体" w:cs="宋体"/>
                <w:sz w:val="18"/>
                <w:szCs w:val="18"/>
              </w:rPr>
              <w:t>成本法核算的长期股权投资收益</w:t>
            </w:r>
          </w:p>
        </w:tc>
        <w:tc>
          <w:tcPr>
            <w:tcW w:w="32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44,000,000.00</w:t>
            </w:r>
          </w:p>
        </w:tc>
        <w:tc>
          <w:tcPr>
            <w:tcW w:w="27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25,774,035.49</w:t>
            </w:r>
          </w:p>
        </w:tc>
      </w:tr>
      <w:tr w:rsidR="00F67D6F" w:rsidRPr="00980BC4" w:rsidTr="001A7B71">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A7B71">
            <w:pPr>
              <w:spacing w:before="40" w:after="40" w:line="280" w:lineRule="exact"/>
              <w:rPr>
                <w:rFonts w:ascii="宋体" w:eastAsia="宋体" w:hAnsi="宋体" w:cs="宋体"/>
                <w:sz w:val="18"/>
                <w:szCs w:val="18"/>
              </w:rPr>
            </w:pPr>
            <w:r w:rsidRPr="00980BC4">
              <w:rPr>
                <w:rFonts w:ascii="宋体" w:eastAsia="宋体" w:hAnsi="宋体" w:cs="宋体"/>
                <w:sz w:val="18"/>
                <w:szCs w:val="18"/>
              </w:rPr>
              <w:t>权益法核算的长期股权投资收益</w:t>
            </w:r>
          </w:p>
        </w:tc>
        <w:tc>
          <w:tcPr>
            <w:tcW w:w="32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11,324,502.61</w:t>
            </w:r>
          </w:p>
        </w:tc>
        <w:tc>
          <w:tcPr>
            <w:tcW w:w="27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7,690,269.04</w:t>
            </w:r>
          </w:p>
        </w:tc>
      </w:tr>
      <w:tr w:rsidR="00F67D6F" w:rsidRPr="00980BC4" w:rsidTr="001A7B71">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A7B71">
            <w:pPr>
              <w:spacing w:before="40" w:after="40" w:line="280" w:lineRule="exact"/>
              <w:rPr>
                <w:rFonts w:ascii="宋体" w:eastAsia="宋体" w:hAnsi="宋体" w:cs="宋体"/>
                <w:sz w:val="18"/>
                <w:szCs w:val="18"/>
              </w:rPr>
            </w:pPr>
            <w:r w:rsidRPr="00980BC4">
              <w:rPr>
                <w:rFonts w:ascii="宋体" w:eastAsia="宋体" w:hAnsi="宋体" w:cs="宋体"/>
                <w:sz w:val="18"/>
                <w:szCs w:val="18"/>
              </w:rPr>
              <w:t>交易性金融资产在持有期间的投资收益</w:t>
            </w:r>
          </w:p>
        </w:tc>
        <w:tc>
          <w:tcPr>
            <w:tcW w:w="32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1,751,944.99</w:t>
            </w:r>
          </w:p>
        </w:tc>
        <w:tc>
          <w:tcPr>
            <w:tcW w:w="27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5,055,578.41</w:t>
            </w:r>
          </w:p>
        </w:tc>
      </w:tr>
      <w:tr w:rsidR="00F67D6F" w:rsidRPr="00980BC4" w:rsidTr="001A7B71">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A7B71">
            <w:pPr>
              <w:spacing w:before="40" w:after="40" w:line="280" w:lineRule="exact"/>
              <w:rPr>
                <w:rFonts w:ascii="宋体" w:eastAsia="宋体" w:hAnsi="宋体" w:cs="宋体"/>
                <w:sz w:val="18"/>
                <w:szCs w:val="18"/>
              </w:rPr>
            </w:pPr>
            <w:r w:rsidRPr="00980BC4">
              <w:rPr>
                <w:rFonts w:ascii="宋体" w:eastAsia="宋体" w:hAnsi="宋体" w:cs="宋体"/>
                <w:sz w:val="18"/>
                <w:szCs w:val="18"/>
              </w:rPr>
              <w:t>处置交易性金融资产取得的投资收益</w:t>
            </w:r>
          </w:p>
        </w:tc>
        <w:tc>
          <w:tcPr>
            <w:tcW w:w="32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861,671.01</w:t>
            </w:r>
          </w:p>
        </w:tc>
        <w:tc>
          <w:tcPr>
            <w:tcW w:w="27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16,465,637.14</w:t>
            </w:r>
          </w:p>
        </w:tc>
      </w:tr>
      <w:tr w:rsidR="00F67D6F" w:rsidRPr="00980BC4" w:rsidTr="001A7B71">
        <w:trPr>
          <w:divId w:val="969553885"/>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rPr>
                <w:rFonts w:ascii="宋体" w:eastAsia="宋体" w:hAnsi="宋体" w:cs="宋体"/>
                <w:sz w:val="18"/>
                <w:szCs w:val="18"/>
              </w:rPr>
            </w:pPr>
            <w:r w:rsidRPr="00980BC4">
              <w:rPr>
                <w:rFonts w:ascii="宋体" w:eastAsia="宋体" w:hAnsi="宋体" w:cs="宋体"/>
                <w:sz w:val="18"/>
                <w:szCs w:val="18"/>
              </w:rPr>
              <w:t>结构性存款利息</w:t>
            </w:r>
          </w:p>
        </w:tc>
        <w:tc>
          <w:tcPr>
            <w:tcW w:w="32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2,802,203.68</w:t>
            </w:r>
          </w:p>
        </w:tc>
        <w:tc>
          <w:tcPr>
            <w:tcW w:w="27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302,812.76</w:t>
            </w:r>
          </w:p>
        </w:tc>
      </w:tr>
      <w:tr w:rsidR="00F67D6F" w:rsidRPr="00980BC4" w:rsidTr="001A7B71">
        <w:trPr>
          <w:divId w:val="969553885"/>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rPr>
                <w:rFonts w:ascii="宋体" w:eastAsia="宋体" w:hAnsi="宋体" w:cs="宋体"/>
                <w:sz w:val="18"/>
                <w:szCs w:val="18"/>
              </w:rPr>
            </w:pPr>
            <w:r w:rsidRPr="00980BC4">
              <w:rPr>
                <w:rFonts w:ascii="宋体" w:eastAsia="宋体" w:hAnsi="宋体" w:cs="宋体"/>
                <w:sz w:val="18"/>
                <w:szCs w:val="18"/>
              </w:rPr>
              <w:t>其他</w:t>
            </w:r>
          </w:p>
        </w:tc>
        <w:tc>
          <w:tcPr>
            <w:tcW w:w="32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-26,972.34</w:t>
            </w:r>
          </w:p>
        </w:tc>
        <w:tc>
          <w:tcPr>
            <w:tcW w:w="27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40,792.83</w:t>
            </w:r>
          </w:p>
        </w:tc>
      </w:tr>
      <w:tr w:rsidR="00F67D6F" w:rsidRPr="00980BC4" w:rsidTr="001A7B71">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A7B71">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32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60,713,349.95</w:t>
            </w:r>
          </w:p>
        </w:tc>
        <w:tc>
          <w:tcPr>
            <w:tcW w:w="2727"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A7B71">
            <w:pPr>
              <w:spacing w:line="280" w:lineRule="exact"/>
              <w:jc w:val="right"/>
              <w:rPr>
                <w:rFonts w:ascii="宋体" w:eastAsia="宋体" w:hAnsi="宋体" w:cs="宋体"/>
                <w:sz w:val="18"/>
                <w:szCs w:val="18"/>
              </w:rPr>
            </w:pPr>
            <w:r w:rsidRPr="00980BC4">
              <w:rPr>
                <w:rFonts w:ascii="宋体" w:eastAsia="宋体" w:hAnsi="宋体" w:cs="宋体"/>
                <w:sz w:val="18"/>
                <w:szCs w:val="18"/>
              </w:rPr>
              <w:t>55,329,125.67</w:t>
            </w:r>
          </w:p>
        </w:tc>
      </w:tr>
    </w:tbl>
    <w:p w:rsidR="00F67D6F" w:rsidRPr="00980BC4" w:rsidRDefault="00F67D6F" w:rsidP="00184DF8">
      <w:pPr>
        <w:pStyle w:val="2"/>
        <w:spacing w:before="0" w:after="0" w:line="560" w:lineRule="exact"/>
        <w:ind w:firstLineChars="200" w:firstLine="562"/>
        <w:divId w:val="969553885"/>
        <w:rPr>
          <w:rFonts w:ascii="宋体" w:eastAsia="宋体" w:hAnsi="宋体" w:cs="宋体"/>
          <w:b/>
          <w:bCs/>
          <w:sz w:val="28"/>
          <w:szCs w:val="28"/>
        </w:rPr>
      </w:pPr>
      <w:bookmarkStart w:id="406" w:name="_Toc989297"/>
      <w:r w:rsidRPr="00980BC4">
        <w:rPr>
          <w:rFonts w:ascii="宋体" w:eastAsia="宋体" w:hAnsi="宋体" w:cs="宋体"/>
          <w:b/>
          <w:bCs/>
          <w:sz w:val="28"/>
          <w:szCs w:val="28"/>
        </w:rPr>
        <w:t>十八、补充资料</w:t>
      </w:r>
      <w:bookmarkEnd w:id="406"/>
    </w:p>
    <w:p w:rsidR="00F67D6F" w:rsidRPr="00980BC4" w:rsidRDefault="00F67D6F" w:rsidP="00184DF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07" w:name="_Toc989298"/>
      <w:r w:rsidRPr="00980BC4">
        <w:rPr>
          <w:rFonts w:ascii="仿宋" w:eastAsia="仿宋" w:hAnsi="仿宋" w:cs="Times New Roman"/>
          <w:b/>
          <w:sz w:val="28"/>
          <w:szCs w:val="28"/>
        </w:rPr>
        <w:t>1、当期非经常性损益明细表</w:t>
      </w:r>
      <w:bookmarkEnd w:id="407"/>
    </w:p>
    <w:p w:rsidR="00F67D6F" w:rsidRPr="00980BC4" w:rsidRDefault="00F67D6F" w:rsidP="00184DF8">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 xml:space="preserve">适用 </w:t>
      </w:r>
      <w:r w:rsidR="00184DF8"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□不适用</w:t>
      </w:r>
    </w:p>
    <w:p w:rsidR="00F67D6F" w:rsidRPr="00980BC4" w:rsidRDefault="00F67D6F" w:rsidP="00F67D6F">
      <w:pPr>
        <w:spacing w:before="120" w:after="120" w:line="240" w:lineRule="exact"/>
        <w:jc w:val="right"/>
        <w:divId w:val="969553885"/>
        <w:rPr>
          <w:rFonts w:ascii="宋体" w:eastAsia="宋体" w:hAnsi="宋体" w:cs="宋体"/>
          <w:sz w:val="18"/>
          <w:szCs w:val="18"/>
        </w:rPr>
      </w:pPr>
      <w:r w:rsidRPr="00980BC4">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652"/>
        <w:gridCol w:w="2774"/>
        <w:gridCol w:w="3213"/>
      </w:tblGrid>
      <w:tr w:rsidR="00F67D6F" w:rsidRPr="00980BC4" w:rsidTr="00B7436F">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项目</w:t>
            </w:r>
          </w:p>
        </w:tc>
        <w:tc>
          <w:tcPr>
            <w:tcW w:w="2774"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说明</w:t>
            </w:r>
          </w:p>
        </w:tc>
      </w:tr>
      <w:tr w:rsidR="00F67D6F" w:rsidRPr="00980BC4" w:rsidTr="00B7436F">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rPr>
                <w:rFonts w:ascii="宋体" w:eastAsia="宋体" w:hAnsi="宋体" w:cs="宋体"/>
                <w:sz w:val="18"/>
                <w:szCs w:val="18"/>
              </w:rPr>
            </w:pPr>
            <w:r w:rsidRPr="00980BC4">
              <w:rPr>
                <w:rFonts w:ascii="宋体" w:eastAsia="宋体" w:hAnsi="宋体" w:cs="宋体"/>
                <w:sz w:val="18"/>
                <w:szCs w:val="18"/>
              </w:rPr>
              <w:t>非流动资产处置损益</w:t>
            </w:r>
          </w:p>
        </w:tc>
        <w:tc>
          <w:tcPr>
            <w:tcW w:w="277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17,193.76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rPr>
                <w:rFonts w:ascii="宋体" w:eastAsia="宋体" w:hAnsi="宋体" w:cs="宋体"/>
                <w:sz w:val="18"/>
                <w:szCs w:val="18"/>
              </w:rPr>
            </w:pPr>
          </w:p>
        </w:tc>
      </w:tr>
      <w:tr w:rsidR="00F67D6F" w:rsidRPr="00980BC4" w:rsidTr="00B7436F">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rPr>
                <w:rFonts w:ascii="宋体" w:eastAsia="宋体" w:hAnsi="宋体" w:cs="宋体"/>
                <w:sz w:val="18"/>
                <w:szCs w:val="18"/>
              </w:rPr>
            </w:pPr>
            <w:r w:rsidRPr="00980BC4">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277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3,864,065.57</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rPr>
                <w:rFonts w:ascii="宋体" w:eastAsia="宋体" w:hAnsi="宋体" w:cs="宋体"/>
                <w:sz w:val="18"/>
                <w:szCs w:val="18"/>
              </w:rPr>
            </w:pPr>
          </w:p>
        </w:tc>
      </w:tr>
      <w:tr w:rsidR="00F67D6F" w:rsidRPr="00980BC4" w:rsidTr="00B7436F">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rPr>
                <w:rFonts w:ascii="宋体" w:eastAsia="宋体" w:hAnsi="宋体" w:cs="宋体"/>
                <w:sz w:val="18"/>
                <w:szCs w:val="18"/>
              </w:rPr>
            </w:pPr>
            <w:r w:rsidRPr="00980BC4">
              <w:rPr>
                <w:rFonts w:ascii="宋体" w:eastAsia="宋体" w:hAnsi="宋体" w:cs="宋体"/>
                <w:sz w:val="18"/>
                <w:szCs w:val="18"/>
              </w:rPr>
              <w:t>委托他人投资或管理资产的损益</w:t>
            </w:r>
          </w:p>
        </w:tc>
        <w:tc>
          <w:tcPr>
            <w:tcW w:w="277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5,267,570.69</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rPr>
                <w:rFonts w:ascii="宋体" w:eastAsia="宋体" w:hAnsi="宋体" w:cs="宋体"/>
                <w:sz w:val="18"/>
                <w:szCs w:val="18"/>
              </w:rPr>
            </w:pPr>
          </w:p>
        </w:tc>
      </w:tr>
      <w:tr w:rsidR="00F67D6F" w:rsidRPr="00980BC4" w:rsidTr="00B7436F">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rPr>
                <w:rFonts w:ascii="宋体" w:eastAsia="宋体" w:hAnsi="宋体" w:cs="宋体"/>
                <w:sz w:val="18"/>
                <w:szCs w:val="18"/>
              </w:rPr>
            </w:pPr>
            <w:r w:rsidRPr="00980BC4">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277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-436,849.35</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rPr>
                <w:rFonts w:ascii="宋体" w:eastAsia="宋体" w:hAnsi="宋体" w:cs="宋体"/>
                <w:sz w:val="18"/>
                <w:szCs w:val="18"/>
              </w:rPr>
            </w:pPr>
          </w:p>
        </w:tc>
      </w:tr>
      <w:tr w:rsidR="004960F8" w:rsidRPr="00980BC4" w:rsidTr="00B7436F">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4960F8" w:rsidRPr="00980BC4" w:rsidRDefault="004960F8" w:rsidP="00184DF8">
            <w:pPr>
              <w:spacing w:before="40" w:after="40" w:line="280" w:lineRule="exact"/>
              <w:rPr>
                <w:rFonts w:ascii="宋体" w:eastAsia="宋体" w:hAnsi="宋体" w:cs="宋体"/>
                <w:sz w:val="18"/>
                <w:szCs w:val="18"/>
              </w:rPr>
            </w:pPr>
            <w:r w:rsidRPr="00980BC4">
              <w:rPr>
                <w:rFonts w:ascii="宋体" w:eastAsia="宋体" w:hAnsi="宋体" w:cs="宋体"/>
                <w:sz w:val="18"/>
                <w:szCs w:val="18"/>
              </w:rPr>
              <w:t>除上述各项之外的其他营业外收入和支出</w:t>
            </w:r>
          </w:p>
        </w:tc>
        <w:tc>
          <w:tcPr>
            <w:tcW w:w="2774" w:type="dxa"/>
            <w:tcBorders>
              <w:top w:val="single" w:sz="2" w:space="0" w:color="auto"/>
              <w:left w:val="single" w:sz="2" w:space="0" w:color="auto"/>
              <w:bottom w:val="single" w:sz="2" w:space="0" w:color="auto"/>
              <w:right w:val="single" w:sz="2" w:space="0" w:color="auto"/>
            </w:tcBorders>
            <w:vAlign w:val="center"/>
          </w:tcPr>
          <w:p w:rsidR="004960F8" w:rsidRPr="00980BC4" w:rsidRDefault="004960F8"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15,859,994.45</w:t>
            </w:r>
          </w:p>
        </w:tc>
        <w:tc>
          <w:tcPr>
            <w:tcW w:w="3213" w:type="dxa"/>
            <w:tcBorders>
              <w:top w:val="single" w:sz="2" w:space="0" w:color="auto"/>
              <w:left w:val="single" w:sz="2" w:space="0" w:color="auto"/>
              <w:bottom w:val="single" w:sz="2" w:space="0" w:color="auto"/>
              <w:right w:val="single" w:sz="2" w:space="0" w:color="auto"/>
            </w:tcBorders>
            <w:vAlign w:val="center"/>
          </w:tcPr>
          <w:p w:rsidR="004960F8" w:rsidRDefault="004960F8" w:rsidP="00863E71">
            <w:pPr>
              <w:spacing w:line="280" w:lineRule="exact"/>
              <w:rPr>
                <w:rFonts w:ascii="宋体" w:eastAsia="宋体" w:hAnsi="宋体" w:cs="宋体"/>
                <w:sz w:val="18"/>
                <w:szCs w:val="18"/>
              </w:rPr>
            </w:pPr>
            <w:r w:rsidRPr="00A43835">
              <w:rPr>
                <w:rFonts w:ascii="宋体" w:eastAsia="宋体" w:hAnsi="宋体" w:cs="宋体" w:hint="eastAsia"/>
                <w:sz w:val="18"/>
                <w:szCs w:val="18"/>
              </w:rPr>
              <w:t>本期主要由处置历史遗留款项及税费构成</w:t>
            </w:r>
          </w:p>
        </w:tc>
      </w:tr>
      <w:tr w:rsidR="004960F8" w:rsidRPr="00980BC4" w:rsidTr="00B7436F">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4960F8" w:rsidRPr="00980BC4" w:rsidRDefault="004960F8" w:rsidP="00184DF8">
            <w:pPr>
              <w:spacing w:before="40" w:after="40" w:line="280" w:lineRule="exact"/>
              <w:rPr>
                <w:rFonts w:ascii="宋体" w:eastAsia="宋体" w:hAnsi="宋体" w:cs="宋体"/>
                <w:sz w:val="18"/>
                <w:szCs w:val="18"/>
              </w:rPr>
            </w:pPr>
            <w:r w:rsidRPr="00980BC4">
              <w:rPr>
                <w:rFonts w:ascii="宋体" w:eastAsia="宋体" w:hAnsi="宋体" w:cs="宋体"/>
                <w:sz w:val="18"/>
                <w:szCs w:val="18"/>
              </w:rPr>
              <w:t>其他符合非经常性损益定义的损益项目</w:t>
            </w:r>
          </w:p>
        </w:tc>
        <w:tc>
          <w:tcPr>
            <w:tcW w:w="2774" w:type="dxa"/>
            <w:tcBorders>
              <w:top w:val="single" w:sz="2" w:space="0" w:color="auto"/>
              <w:left w:val="single" w:sz="2" w:space="0" w:color="auto"/>
              <w:bottom w:val="single" w:sz="2" w:space="0" w:color="auto"/>
              <w:right w:val="single" w:sz="2" w:space="0" w:color="auto"/>
            </w:tcBorders>
            <w:vAlign w:val="center"/>
          </w:tcPr>
          <w:p w:rsidR="004960F8" w:rsidRPr="00980BC4" w:rsidRDefault="004960F8"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1,384,324.54</w:t>
            </w:r>
          </w:p>
        </w:tc>
        <w:tc>
          <w:tcPr>
            <w:tcW w:w="3213" w:type="dxa"/>
            <w:tcBorders>
              <w:top w:val="single" w:sz="2" w:space="0" w:color="auto"/>
              <w:left w:val="single" w:sz="2" w:space="0" w:color="auto"/>
              <w:bottom w:val="single" w:sz="2" w:space="0" w:color="auto"/>
              <w:right w:val="single" w:sz="2" w:space="0" w:color="auto"/>
            </w:tcBorders>
            <w:vAlign w:val="center"/>
          </w:tcPr>
          <w:p w:rsidR="004960F8" w:rsidRDefault="004960F8" w:rsidP="00863E71">
            <w:pPr>
              <w:spacing w:line="280" w:lineRule="exact"/>
              <w:rPr>
                <w:rFonts w:ascii="宋体" w:eastAsia="宋体" w:hAnsi="宋体" w:cs="宋体"/>
                <w:sz w:val="18"/>
                <w:szCs w:val="18"/>
              </w:rPr>
            </w:pPr>
            <w:r>
              <w:rPr>
                <w:rFonts w:ascii="宋体" w:eastAsia="宋体" w:hAnsi="宋体" w:cs="宋体" w:hint="eastAsia"/>
                <w:sz w:val="18"/>
                <w:szCs w:val="18"/>
              </w:rPr>
              <w:t>本期主要</w:t>
            </w:r>
            <w:r w:rsidRPr="00305DC6">
              <w:rPr>
                <w:rFonts w:ascii="宋体" w:eastAsia="宋体" w:hAnsi="宋体" w:cs="宋体" w:hint="eastAsia"/>
                <w:sz w:val="18"/>
                <w:szCs w:val="18"/>
              </w:rPr>
              <w:t>由第四季度购入固定资产的加计扣除额构成</w:t>
            </w:r>
            <w:r>
              <w:rPr>
                <w:rFonts w:ascii="宋体" w:eastAsia="宋体" w:hAnsi="宋体" w:cs="宋体" w:hint="eastAsia"/>
                <w:sz w:val="18"/>
                <w:szCs w:val="18"/>
              </w:rPr>
              <w:t>。</w:t>
            </w:r>
          </w:p>
        </w:tc>
      </w:tr>
      <w:tr w:rsidR="00F67D6F" w:rsidRPr="00980BC4" w:rsidTr="00B7436F">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rPr>
                <w:rFonts w:ascii="宋体" w:eastAsia="宋体" w:hAnsi="宋体" w:cs="宋体"/>
                <w:sz w:val="18"/>
                <w:szCs w:val="18"/>
              </w:rPr>
            </w:pPr>
            <w:r w:rsidRPr="00980BC4">
              <w:rPr>
                <w:rFonts w:ascii="宋体" w:eastAsia="宋体" w:hAnsi="宋体" w:cs="宋体"/>
                <w:sz w:val="18"/>
                <w:szCs w:val="18"/>
              </w:rPr>
              <w:t>减：所得税影响额</w:t>
            </w:r>
          </w:p>
        </w:tc>
        <w:tc>
          <w:tcPr>
            <w:tcW w:w="277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5,472,152.16</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rPr>
                <w:rFonts w:ascii="宋体" w:eastAsia="宋体" w:hAnsi="宋体" w:cs="宋体"/>
                <w:sz w:val="18"/>
                <w:szCs w:val="18"/>
              </w:rPr>
            </w:pPr>
          </w:p>
        </w:tc>
      </w:tr>
      <w:tr w:rsidR="00F67D6F" w:rsidRPr="00980BC4" w:rsidTr="00B7436F">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ind w:firstLineChars="200" w:firstLine="360"/>
              <w:rPr>
                <w:rFonts w:ascii="宋体" w:eastAsia="宋体" w:hAnsi="宋体" w:cs="宋体"/>
                <w:sz w:val="18"/>
                <w:szCs w:val="18"/>
              </w:rPr>
            </w:pPr>
            <w:r w:rsidRPr="00980BC4">
              <w:rPr>
                <w:rFonts w:ascii="宋体" w:eastAsia="宋体" w:hAnsi="宋体" w:cs="宋体"/>
                <w:sz w:val="18"/>
                <w:szCs w:val="18"/>
              </w:rPr>
              <w:t>少数股东权益影响额</w:t>
            </w:r>
          </w:p>
        </w:tc>
        <w:tc>
          <w:tcPr>
            <w:tcW w:w="277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158,960.00</w:t>
            </w:r>
          </w:p>
        </w:tc>
        <w:tc>
          <w:tcPr>
            <w:tcW w:w="3213"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rPr>
                <w:rFonts w:ascii="宋体" w:eastAsia="宋体" w:hAnsi="宋体" w:cs="宋体"/>
                <w:sz w:val="18"/>
                <w:szCs w:val="18"/>
              </w:rPr>
            </w:pPr>
          </w:p>
        </w:tc>
      </w:tr>
      <w:tr w:rsidR="00F67D6F" w:rsidRPr="00980BC4" w:rsidTr="00B7436F">
        <w:trPr>
          <w:divId w:val="969553885"/>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rPr>
                <w:rFonts w:ascii="宋体" w:eastAsia="宋体" w:hAnsi="宋体" w:cs="宋体"/>
                <w:sz w:val="18"/>
                <w:szCs w:val="18"/>
              </w:rPr>
            </w:pPr>
            <w:r w:rsidRPr="00980BC4">
              <w:rPr>
                <w:rFonts w:ascii="宋体" w:eastAsia="宋体" w:hAnsi="宋体" w:cs="宋体"/>
                <w:sz w:val="18"/>
                <w:szCs w:val="18"/>
              </w:rPr>
              <w:t>合计</w:t>
            </w:r>
          </w:p>
        </w:tc>
        <w:tc>
          <w:tcPr>
            <w:tcW w:w="2774"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20,325,187.50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w:t>
            </w:r>
          </w:p>
        </w:tc>
      </w:tr>
    </w:tbl>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t>其他符合非经常性损益定义的损益项目的具体情况：</w:t>
      </w:r>
    </w:p>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适用</w:t>
      </w:r>
      <w:r w:rsidR="00184DF8"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□不适用</w:t>
      </w:r>
    </w:p>
    <w:p w:rsidR="00131485" w:rsidRPr="00980BC4" w:rsidRDefault="00131485" w:rsidP="00896A9C">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hint="eastAsia"/>
          <w:sz w:val="28"/>
          <w:szCs w:val="28"/>
        </w:rPr>
        <w:lastRenderedPageBreak/>
        <w:t>其他符合非经常性损益定义的损益项目1,384,324.54元，其中企业所得税四季度</w:t>
      </w:r>
      <w:r w:rsidR="004960F8">
        <w:rPr>
          <w:rFonts w:ascii="仿宋" w:eastAsia="仿宋" w:hAnsi="仿宋" w:cs="Times New Roman" w:hint="eastAsia"/>
          <w:sz w:val="28"/>
          <w:szCs w:val="28"/>
        </w:rPr>
        <w:t>购入</w:t>
      </w:r>
      <w:r w:rsidRPr="00980BC4">
        <w:rPr>
          <w:rFonts w:ascii="仿宋" w:eastAsia="仿宋" w:hAnsi="仿宋" w:cs="Times New Roman" w:hint="eastAsia"/>
          <w:sz w:val="28"/>
          <w:szCs w:val="28"/>
        </w:rPr>
        <w:t>固定资产加计扣除794,247.46元，个人所得税手续费返还582,218.92元，增值税加计扣除7,858.16元。</w:t>
      </w:r>
    </w:p>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b/>
          <w:sz w:val="28"/>
          <w:szCs w:val="28"/>
        </w:rPr>
      </w:pPr>
      <w:r w:rsidRPr="00980BC4">
        <w:rPr>
          <w:rFonts w:ascii="仿宋" w:eastAsia="仿宋" w:hAnsi="仿宋" w:cs="Times New Roman"/>
          <w:b/>
          <w:sz w:val="28"/>
          <w:szCs w:val="28"/>
        </w:rPr>
        <w:t>将《公开发行证券的公司信息披露解释性公告第1号——非经常性损益》中列举的非经常性损益项目界定为经常性损益项目的情况说明</w:t>
      </w:r>
    </w:p>
    <w:p w:rsidR="00F67D6F" w:rsidRPr="00980BC4" w:rsidRDefault="00F67D6F" w:rsidP="00896A9C">
      <w:pPr>
        <w:pStyle w:val="a3"/>
        <w:spacing w:before="0" w:beforeAutospacing="0" w:after="0" w:afterAutospacing="0" w:line="540" w:lineRule="exact"/>
        <w:ind w:firstLine="482"/>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184DF8"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184DF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08" w:name="_Toc989299"/>
      <w:r w:rsidRPr="00980BC4">
        <w:rPr>
          <w:rFonts w:ascii="仿宋" w:eastAsia="仿宋" w:hAnsi="仿宋" w:cs="Times New Roman"/>
          <w:b/>
          <w:sz w:val="28"/>
          <w:szCs w:val="28"/>
        </w:rPr>
        <w:t>2、净资产收益率及每股收益</w:t>
      </w:r>
      <w:bookmarkEnd w:id="408"/>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085"/>
        <w:gridCol w:w="2268"/>
        <w:gridCol w:w="2126"/>
        <w:gridCol w:w="2160"/>
      </w:tblGrid>
      <w:tr w:rsidR="00F67D6F" w:rsidRPr="00980BC4" w:rsidTr="00184DF8">
        <w:trPr>
          <w:divId w:val="969553885"/>
          <w:trHeight w:val="240"/>
        </w:trPr>
        <w:tc>
          <w:tcPr>
            <w:tcW w:w="308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报告期利润</w:t>
            </w:r>
          </w:p>
        </w:tc>
        <w:tc>
          <w:tcPr>
            <w:tcW w:w="226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加权平均净资产收益率</w:t>
            </w:r>
          </w:p>
        </w:tc>
        <w:tc>
          <w:tcPr>
            <w:tcW w:w="428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每股收益</w:t>
            </w:r>
          </w:p>
        </w:tc>
      </w:tr>
      <w:tr w:rsidR="00F67D6F" w:rsidRPr="00980BC4" w:rsidTr="00184DF8">
        <w:trPr>
          <w:divId w:val="969553885"/>
          <w:trHeight w:val="240"/>
        </w:trPr>
        <w:tc>
          <w:tcPr>
            <w:tcW w:w="308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line="280" w:lineRule="exact"/>
            </w:pPr>
          </w:p>
        </w:tc>
        <w:tc>
          <w:tcPr>
            <w:tcW w:w="226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line="28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基本每股收益（元/股）</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jc w:val="center"/>
              <w:rPr>
                <w:rFonts w:ascii="宋体" w:eastAsia="宋体" w:hAnsi="宋体" w:cs="宋体"/>
                <w:sz w:val="18"/>
                <w:szCs w:val="18"/>
              </w:rPr>
            </w:pPr>
            <w:r w:rsidRPr="00980BC4">
              <w:rPr>
                <w:rFonts w:ascii="宋体" w:eastAsia="宋体" w:hAnsi="宋体" w:cs="宋体"/>
                <w:sz w:val="18"/>
                <w:szCs w:val="18"/>
              </w:rPr>
              <w:t>稀释每股收益（元/股）</w:t>
            </w:r>
          </w:p>
        </w:tc>
      </w:tr>
      <w:tr w:rsidR="00F67D6F" w:rsidRPr="00980BC4" w:rsidTr="00184DF8">
        <w:trPr>
          <w:divId w:val="969553885"/>
          <w:trHeight w:val="240"/>
        </w:trPr>
        <w:tc>
          <w:tcPr>
            <w:tcW w:w="308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rPr>
                <w:rFonts w:ascii="宋体" w:eastAsia="宋体" w:hAnsi="宋体" w:cs="宋体"/>
                <w:sz w:val="18"/>
                <w:szCs w:val="18"/>
              </w:rPr>
            </w:pPr>
            <w:r w:rsidRPr="00980BC4">
              <w:rPr>
                <w:rFonts w:ascii="宋体" w:eastAsia="宋体" w:hAnsi="宋体" w:cs="宋体"/>
                <w:sz w:val="18"/>
                <w:szCs w:val="18"/>
              </w:rPr>
              <w:t>归属于公司普通股股东的净利润</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7.07%</w:t>
            </w: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0.28</w:t>
            </w: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0.27</w:t>
            </w:r>
          </w:p>
        </w:tc>
      </w:tr>
      <w:tr w:rsidR="00F67D6F" w:rsidRPr="00980BC4" w:rsidTr="00184DF8">
        <w:trPr>
          <w:divId w:val="969553885"/>
          <w:trHeight w:val="240"/>
        </w:trPr>
        <w:tc>
          <w:tcPr>
            <w:tcW w:w="3085" w:type="dxa"/>
            <w:tcBorders>
              <w:top w:val="single" w:sz="2" w:space="0" w:color="auto"/>
              <w:left w:val="single" w:sz="2" w:space="0" w:color="auto"/>
              <w:bottom w:val="single" w:sz="2" w:space="0" w:color="auto"/>
              <w:right w:val="single" w:sz="2" w:space="0" w:color="auto"/>
            </w:tcBorders>
            <w:shd w:val="clear" w:color="auto" w:fill="D3D3D3"/>
            <w:vAlign w:val="center"/>
          </w:tcPr>
          <w:p w:rsidR="00F67D6F" w:rsidRPr="00980BC4" w:rsidRDefault="00F67D6F" w:rsidP="00184DF8">
            <w:pPr>
              <w:spacing w:before="40" w:after="40" w:line="280" w:lineRule="exact"/>
              <w:rPr>
                <w:rFonts w:ascii="宋体" w:eastAsia="宋体" w:hAnsi="宋体" w:cs="宋体"/>
                <w:sz w:val="18"/>
                <w:szCs w:val="18"/>
              </w:rPr>
            </w:pPr>
            <w:r w:rsidRPr="00980BC4">
              <w:rPr>
                <w:rFonts w:ascii="宋体" w:eastAsia="宋体" w:hAnsi="宋体" w:cs="宋体"/>
                <w:sz w:val="18"/>
                <w:szCs w:val="18"/>
              </w:rPr>
              <w:t>扣除非经常性损益后归属于公司普通股股东的净利润</w:t>
            </w:r>
          </w:p>
        </w:tc>
        <w:tc>
          <w:tcPr>
            <w:tcW w:w="2268"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5.87%</w:t>
            </w:r>
          </w:p>
        </w:tc>
        <w:tc>
          <w:tcPr>
            <w:tcW w:w="2126"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0.23</w:t>
            </w:r>
          </w:p>
        </w:tc>
        <w:tc>
          <w:tcPr>
            <w:tcW w:w="2160" w:type="dxa"/>
            <w:tcBorders>
              <w:top w:val="single" w:sz="2" w:space="0" w:color="auto"/>
              <w:left w:val="single" w:sz="2" w:space="0" w:color="auto"/>
              <w:bottom w:val="single" w:sz="2" w:space="0" w:color="auto"/>
              <w:right w:val="single" w:sz="2" w:space="0" w:color="auto"/>
            </w:tcBorders>
            <w:vAlign w:val="center"/>
          </w:tcPr>
          <w:p w:rsidR="00F67D6F" w:rsidRPr="00980BC4" w:rsidRDefault="00F67D6F" w:rsidP="00184DF8">
            <w:pPr>
              <w:spacing w:line="280" w:lineRule="exact"/>
              <w:jc w:val="right"/>
              <w:rPr>
                <w:rFonts w:ascii="宋体" w:eastAsia="宋体" w:hAnsi="宋体" w:cs="宋体"/>
                <w:sz w:val="18"/>
                <w:szCs w:val="18"/>
              </w:rPr>
            </w:pPr>
            <w:r w:rsidRPr="00980BC4">
              <w:rPr>
                <w:rFonts w:ascii="宋体" w:eastAsia="宋体" w:hAnsi="宋体" w:cs="宋体"/>
                <w:sz w:val="18"/>
                <w:szCs w:val="18"/>
              </w:rPr>
              <w:t>0.23</w:t>
            </w:r>
          </w:p>
        </w:tc>
      </w:tr>
    </w:tbl>
    <w:p w:rsidR="00F67D6F" w:rsidRPr="00980BC4" w:rsidRDefault="00F67D6F" w:rsidP="00184DF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09" w:name="_Toc989300"/>
      <w:r w:rsidRPr="00980BC4">
        <w:rPr>
          <w:rFonts w:ascii="仿宋" w:eastAsia="仿宋" w:hAnsi="仿宋" w:cs="Times New Roman"/>
          <w:b/>
          <w:sz w:val="28"/>
          <w:szCs w:val="28"/>
        </w:rPr>
        <w:t>3、境内外会计准则下会计数据差异</w:t>
      </w:r>
      <w:bookmarkEnd w:id="409"/>
    </w:p>
    <w:p w:rsidR="00F67D6F" w:rsidRPr="00980BC4" w:rsidRDefault="00F67D6F" w:rsidP="00184DF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10" w:name="_Toc989301"/>
      <w:r w:rsidRPr="00980BC4">
        <w:rPr>
          <w:rFonts w:ascii="仿宋" w:eastAsia="仿宋" w:hAnsi="仿宋" w:cs="Times New Roman"/>
          <w:b/>
          <w:sz w:val="28"/>
          <w:szCs w:val="28"/>
        </w:rPr>
        <w:t>（1）同时按照国际会计准则与按中国会计准则披露的财务报告中净利润和净资产差异情况</w:t>
      </w:r>
      <w:bookmarkEnd w:id="410"/>
    </w:p>
    <w:p w:rsidR="00F67D6F" w:rsidRPr="00980BC4" w:rsidRDefault="00F67D6F" w:rsidP="00184DF8">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□适用</w:t>
      </w:r>
      <w:r w:rsidR="00184DF8"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F67D6F" w:rsidRPr="00980BC4" w:rsidRDefault="00F67D6F" w:rsidP="00184DF8">
      <w:pPr>
        <w:pStyle w:val="a3"/>
        <w:spacing w:before="0" w:beforeAutospacing="0" w:after="0" w:afterAutospacing="0" w:line="560" w:lineRule="exact"/>
        <w:ind w:firstLine="480"/>
        <w:jc w:val="both"/>
        <w:divId w:val="969553885"/>
        <w:rPr>
          <w:rFonts w:ascii="仿宋" w:eastAsia="仿宋" w:hAnsi="仿宋" w:cs="Times New Roman"/>
          <w:b/>
          <w:sz w:val="28"/>
          <w:szCs w:val="28"/>
        </w:rPr>
      </w:pPr>
      <w:bookmarkStart w:id="411" w:name="_Toc989302"/>
      <w:r w:rsidRPr="00980BC4">
        <w:rPr>
          <w:rFonts w:ascii="仿宋" w:eastAsia="仿宋" w:hAnsi="仿宋" w:cs="Times New Roman"/>
          <w:b/>
          <w:sz w:val="28"/>
          <w:szCs w:val="28"/>
        </w:rPr>
        <w:t>（2）同时按照境外会计准则与按中国会计准则披露的财务报告中净利润和净资产差异情况</w:t>
      </w:r>
      <w:bookmarkEnd w:id="411"/>
    </w:p>
    <w:p w:rsidR="00F67D6F" w:rsidRPr="00980BC4" w:rsidRDefault="00F67D6F" w:rsidP="00184DF8">
      <w:pPr>
        <w:pStyle w:val="a3"/>
        <w:spacing w:before="0" w:beforeAutospacing="0" w:after="0" w:afterAutospacing="0" w:line="560" w:lineRule="exact"/>
        <w:ind w:firstLine="480"/>
        <w:jc w:val="both"/>
        <w:divId w:val="969553885"/>
        <w:rPr>
          <w:rFonts w:ascii="仿宋" w:eastAsia="仿宋" w:hAnsi="仿宋" w:cs="Times New Roman"/>
          <w:sz w:val="28"/>
          <w:szCs w:val="28"/>
        </w:rPr>
      </w:pPr>
      <w:r w:rsidRPr="00980BC4">
        <w:rPr>
          <w:rFonts w:ascii="仿宋" w:eastAsia="仿宋" w:hAnsi="仿宋" w:cs="Times New Roman"/>
          <w:sz w:val="28"/>
          <w:szCs w:val="28"/>
        </w:rPr>
        <w:t xml:space="preserve">□适用 </w:t>
      </w:r>
      <w:r w:rsidR="00184DF8" w:rsidRPr="00980BC4">
        <w:rPr>
          <w:rFonts w:ascii="仿宋" w:eastAsia="仿宋" w:hAnsi="仿宋" w:cs="Times New Roman" w:hint="eastAsia"/>
          <w:sz w:val="28"/>
          <w:szCs w:val="28"/>
        </w:rPr>
        <w:t xml:space="preserve"> </w:t>
      </w:r>
      <w:r w:rsidRPr="00980BC4">
        <w:rPr>
          <w:rFonts w:ascii="仿宋" w:eastAsia="仿宋" w:hAnsi="仿宋" w:cs="Times New Roman"/>
          <w:sz w:val="28"/>
          <w:szCs w:val="28"/>
        </w:rPr>
        <w:sym w:font="Wingdings 2" w:char="F052"/>
      </w:r>
      <w:r w:rsidRPr="00980BC4">
        <w:rPr>
          <w:rFonts w:ascii="仿宋" w:eastAsia="仿宋" w:hAnsi="仿宋" w:cs="Times New Roman"/>
          <w:sz w:val="28"/>
          <w:szCs w:val="28"/>
        </w:rPr>
        <w:t>不适用</w:t>
      </w:r>
    </w:p>
    <w:p w:rsidR="00896A9C" w:rsidRPr="00896A9C" w:rsidRDefault="00896A9C" w:rsidP="00896A9C">
      <w:pPr>
        <w:divId w:val="969553885"/>
      </w:pPr>
    </w:p>
    <w:p w:rsidR="002D1ED8" w:rsidRDefault="002D1ED8" w:rsidP="003E6AF0">
      <w:pPr>
        <w:autoSpaceDE w:val="0"/>
        <w:autoSpaceDN w:val="0"/>
        <w:adjustRightInd w:val="0"/>
        <w:ind w:firstLineChars="500" w:firstLine="1405"/>
        <w:divId w:val="969553885"/>
        <w:rPr>
          <w:rFonts w:ascii="宋体" w:hAnsi="宋体" w:cs="宋体"/>
          <w:b/>
          <w:kern w:val="0"/>
          <w:sz w:val="28"/>
          <w:szCs w:val="24"/>
          <w:lang w:val="zh-CN"/>
        </w:rPr>
      </w:pPr>
    </w:p>
    <w:p w:rsidR="00896A9C" w:rsidRPr="003E6AF0" w:rsidRDefault="00235AF3" w:rsidP="003E6AF0">
      <w:pPr>
        <w:autoSpaceDE w:val="0"/>
        <w:autoSpaceDN w:val="0"/>
        <w:adjustRightInd w:val="0"/>
        <w:ind w:firstLineChars="500" w:firstLine="1405"/>
        <w:divId w:val="969553885"/>
        <w:rPr>
          <w:rFonts w:ascii="仿宋" w:hAnsi="仿宋"/>
          <w:sz w:val="28"/>
          <w:szCs w:val="28"/>
        </w:rPr>
      </w:pPr>
      <w:r w:rsidRPr="00980BC4">
        <w:rPr>
          <w:rFonts w:ascii="宋体" w:hAnsi="宋体" w:cs="宋体" w:hint="eastAsia"/>
          <w:b/>
          <w:kern w:val="0"/>
          <w:sz w:val="28"/>
          <w:szCs w:val="24"/>
          <w:lang w:val="zh-CN"/>
        </w:rPr>
        <w:t>法定代表人</w:t>
      </w:r>
      <w:r w:rsidRPr="00980BC4">
        <w:rPr>
          <w:rFonts w:ascii="宋体" w:hAnsi="宋体" w:cs="宋体" w:hint="eastAsia"/>
          <w:b/>
          <w:kern w:val="0"/>
          <w:sz w:val="28"/>
          <w:szCs w:val="24"/>
        </w:rPr>
        <w:t>：</w:t>
      </w:r>
      <w:r w:rsidRPr="00980BC4">
        <w:rPr>
          <w:rFonts w:eastAsia="Times New Roman"/>
          <w:kern w:val="0"/>
          <w:sz w:val="28"/>
          <w:szCs w:val="24"/>
        </w:rPr>
        <w:t xml:space="preserve"> </w:t>
      </w:r>
      <w:r w:rsidR="003E6AF0">
        <w:rPr>
          <w:rFonts w:hint="eastAsia"/>
          <w:kern w:val="0"/>
          <w:sz w:val="28"/>
          <w:szCs w:val="24"/>
        </w:rPr>
        <w:t>黄克</w:t>
      </w:r>
    </w:p>
    <w:p w:rsidR="002D1ED8" w:rsidRDefault="002D1ED8" w:rsidP="00896A9C">
      <w:pPr>
        <w:autoSpaceDE w:val="0"/>
        <w:autoSpaceDN w:val="0"/>
        <w:adjustRightInd w:val="0"/>
        <w:ind w:firstLineChars="400" w:firstLine="1120"/>
        <w:jc w:val="right"/>
        <w:divId w:val="969553885"/>
        <w:rPr>
          <w:rFonts w:ascii="仿宋" w:eastAsia="仿宋" w:hAnsi="仿宋"/>
          <w:sz w:val="28"/>
          <w:szCs w:val="28"/>
        </w:rPr>
      </w:pPr>
    </w:p>
    <w:p w:rsidR="002D1ED8" w:rsidRDefault="002D1ED8" w:rsidP="00896A9C">
      <w:pPr>
        <w:autoSpaceDE w:val="0"/>
        <w:autoSpaceDN w:val="0"/>
        <w:adjustRightInd w:val="0"/>
        <w:ind w:firstLineChars="400" w:firstLine="1120"/>
        <w:jc w:val="right"/>
        <w:divId w:val="969553885"/>
        <w:rPr>
          <w:rFonts w:ascii="仿宋" w:eastAsia="仿宋" w:hAnsi="仿宋"/>
          <w:sz w:val="28"/>
          <w:szCs w:val="28"/>
        </w:rPr>
      </w:pPr>
    </w:p>
    <w:p w:rsidR="00235AF3" w:rsidRDefault="00235AF3" w:rsidP="00896A9C">
      <w:pPr>
        <w:autoSpaceDE w:val="0"/>
        <w:autoSpaceDN w:val="0"/>
        <w:adjustRightInd w:val="0"/>
        <w:ind w:firstLineChars="400" w:firstLine="1120"/>
        <w:jc w:val="right"/>
        <w:divId w:val="969553885"/>
        <w:rPr>
          <w:rFonts w:ascii="仿宋" w:eastAsia="仿宋" w:hAnsi="仿宋"/>
          <w:sz w:val="28"/>
          <w:szCs w:val="28"/>
        </w:rPr>
      </w:pPr>
      <w:r w:rsidRPr="00980BC4">
        <w:rPr>
          <w:rFonts w:ascii="仿宋" w:eastAsia="仿宋" w:hAnsi="仿宋" w:hint="eastAsia"/>
          <w:sz w:val="28"/>
          <w:szCs w:val="28"/>
        </w:rPr>
        <w:t>广东甘化科工股份有限公司董事会</w:t>
      </w:r>
    </w:p>
    <w:p w:rsidR="00235AF3" w:rsidRDefault="00235AF3" w:rsidP="00896A9C">
      <w:pPr>
        <w:snapToGrid w:val="0"/>
        <w:spacing w:line="560" w:lineRule="exact"/>
        <w:ind w:right="560" w:firstLineChars="200" w:firstLine="560"/>
        <w:jc w:val="right"/>
        <w:divId w:val="969553885"/>
        <w:rPr>
          <w:rFonts w:ascii="仿宋" w:eastAsia="仿宋" w:hAnsi="仿宋"/>
          <w:sz w:val="28"/>
          <w:szCs w:val="28"/>
        </w:rPr>
      </w:pPr>
      <w:r w:rsidRPr="00980BC4">
        <w:rPr>
          <w:rFonts w:ascii="仿宋" w:eastAsia="仿宋" w:hAnsi="仿宋" w:hint="eastAsia"/>
          <w:sz w:val="28"/>
          <w:szCs w:val="28"/>
        </w:rPr>
        <w:t>二〇二三年四月八日</w:t>
      </w:r>
    </w:p>
    <w:p w:rsidR="00235AF3" w:rsidRPr="00235AF3" w:rsidRDefault="00235AF3" w:rsidP="00235AF3">
      <w:pPr>
        <w:divId w:val="969553885"/>
      </w:pPr>
    </w:p>
    <w:sectPr w:rsidR="00235AF3" w:rsidRPr="00235AF3" w:rsidSect="002A3304">
      <w:headerReference w:type="default" r:id="rId10"/>
      <w:footerReference w:type="default" r:id="rId11"/>
      <w:pgSz w:w="11905" w:h="16840"/>
      <w:pgMar w:top="1440" w:right="1134" w:bottom="1440" w:left="1134" w:header="850"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82E" w:rsidRDefault="00F8582E" w:rsidP="002A3304">
      <w:r>
        <w:separator/>
      </w:r>
    </w:p>
  </w:endnote>
  <w:endnote w:type="continuationSeparator" w:id="0">
    <w:p w:rsidR="00F8582E" w:rsidRDefault="00F8582E" w:rsidP="002A33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创艺简仿宋">
    <w:altName w:val="方正舒体"/>
    <w:panose1 w:val="00000000000000000000"/>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20584"/>
      <w:docPartObj>
        <w:docPartGallery w:val="Page Numbers (Bottom of Page)"/>
        <w:docPartUnique/>
      </w:docPartObj>
    </w:sdtPr>
    <w:sdtContent>
      <w:p w:rsidR="00AF73AC" w:rsidRDefault="00A42485">
        <w:pPr>
          <w:pStyle w:val="a7"/>
          <w:jc w:val="center"/>
        </w:pPr>
        <w:r w:rsidRPr="00A42485">
          <w:fldChar w:fldCharType="begin"/>
        </w:r>
        <w:r w:rsidR="00AF73AC">
          <w:instrText xml:space="preserve"> PAGE   \* MERGEFORMAT </w:instrText>
        </w:r>
        <w:r w:rsidRPr="00A42485">
          <w:fldChar w:fldCharType="separate"/>
        </w:r>
        <w:r w:rsidR="00063F6C" w:rsidRPr="00063F6C">
          <w:rPr>
            <w:noProof/>
            <w:lang w:val="zh-CN"/>
          </w:rPr>
          <w:t>44</w:t>
        </w:r>
        <w:r>
          <w:rPr>
            <w:noProof/>
            <w:lang w:val="zh-CN"/>
          </w:rPr>
          <w:fldChar w:fldCharType="end"/>
        </w:r>
      </w:p>
    </w:sdtContent>
  </w:sdt>
  <w:p w:rsidR="00AF73AC" w:rsidRDefault="00AF73AC">
    <w:pPr>
      <w:pStyle w:val="fott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82E" w:rsidRDefault="00F8582E" w:rsidP="002A3304">
      <w:r>
        <w:separator/>
      </w:r>
    </w:p>
  </w:footnote>
  <w:footnote w:type="continuationSeparator" w:id="0">
    <w:p w:rsidR="00F8582E" w:rsidRDefault="00F8582E" w:rsidP="002A3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3AC" w:rsidRDefault="00AF73AC">
    <w:pPr>
      <w:pStyle w:val="Header1"/>
      <w:pBdr>
        <w:bottom w:val="single" w:sz="6" w:space="1" w:color="auto"/>
      </w:pBdr>
    </w:pPr>
    <w:r>
      <w:t>广东甘化科工股份有限公司2022年度报告全文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1F9"/>
    <w:multiLevelType w:val="multilevel"/>
    <w:tmpl w:val="C022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16580"/>
    <w:multiLevelType w:val="multilevel"/>
    <w:tmpl w:val="6E5A0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96481"/>
    <w:multiLevelType w:val="multilevel"/>
    <w:tmpl w:val="CD22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F20CD"/>
    <w:multiLevelType w:val="multilevel"/>
    <w:tmpl w:val="3B32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D218A"/>
    <w:multiLevelType w:val="multilevel"/>
    <w:tmpl w:val="B40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36041"/>
    <w:multiLevelType w:val="multilevel"/>
    <w:tmpl w:val="F2A2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448E3"/>
    <w:multiLevelType w:val="multilevel"/>
    <w:tmpl w:val="F9D8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8085A"/>
    <w:multiLevelType w:val="multilevel"/>
    <w:tmpl w:val="185C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40A99"/>
    <w:multiLevelType w:val="multilevel"/>
    <w:tmpl w:val="87AC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DC1A10"/>
    <w:multiLevelType w:val="multilevel"/>
    <w:tmpl w:val="295E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D36102"/>
    <w:multiLevelType w:val="multilevel"/>
    <w:tmpl w:val="A50E7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8244DB"/>
    <w:multiLevelType w:val="multilevel"/>
    <w:tmpl w:val="A8DC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8116FE"/>
    <w:multiLevelType w:val="multilevel"/>
    <w:tmpl w:val="6EA2A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D25AD9"/>
    <w:multiLevelType w:val="multilevel"/>
    <w:tmpl w:val="EB20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371468"/>
    <w:multiLevelType w:val="multilevel"/>
    <w:tmpl w:val="23A49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4678A4"/>
    <w:multiLevelType w:val="multilevel"/>
    <w:tmpl w:val="D77E8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1131ED"/>
    <w:multiLevelType w:val="multilevel"/>
    <w:tmpl w:val="00BC9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C255C2"/>
    <w:multiLevelType w:val="multilevel"/>
    <w:tmpl w:val="7C180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0973D3"/>
    <w:multiLevelType w:val="multilevel"/>
    <w:tmpl w:val="861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CF13BE"/>
    <w:multiLevelType w:val="multilevel"/>
    <w:tmpl w:val="2EE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D62A98"/>
    <w:multiLevelType w:val="multilevel"/>
    <w:tmpl w:val="6AF0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844DEE"/>
    <w:multiLevelType w:val="multilevel"/>
    <w:tmpl w:val="B042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DA0FE5"/>
    <w:multiLevelType w:val="multilevel"/>
    <w:tmpl w:val="09DA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FA62C2"/>
    <w:multiLevelType w:val="multilevel"/>
    <w:tmpl w:val="CEEE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341503"/>
    <w:multiLevelType w:val="multilevel"/>
    <w:tmpl w:val="B008D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9591086"/>
    <w:multiLevelType w:val="multilevel"/>
    <w:tmpl w:val="3E50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AA17F5"/>
    <w:multiLevelType w:val="multilevel"/>
    <w:tmpl w:val="4BE6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AB36C8"/>
    <w:multiLevelType w:val="multilevel"/>
    <w:tmpl w:val="BE264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7"/>
  </w:num>
  <w:num w:numId="3">
    <w:abstractNumId w:val="18"/>
  </w:num>
  <w:num w:numId="4">
    <w:abstractNumId w:val="14"/>
  </w:num>
  <w:num w:numId="5">
    <w:abstractNumId w:val="8"/>
  </w:num>
  <w:num w:numId="6">
    <w:abstractNumId w:val="9"/>
  </w:num>
  <w:num w:numId="7">
    <w:abstractNumId w:val="23"/>
  </w:num>
  <w:num w:numId="8">
    <w:abstractNumId w:val="3"/>
  </w:num>
  <w:num w:numId="9">
    <w:abstractNumId w:val="22"/>
  </w:num>
  <w:num w:numId="10">
    <w:abstractNumId w:val="1"/>
  </w:num>
  <w:num w:numId="11">
    <w:abstractNumId w:val="12"/>
  </w:num>
  <w:num w:numId="12">
    <w:abstractNumId w:val="21"/>
  </w:num>
  <w:num w:numId="13">
    <w:abstractNumId w:val="20"/>
  </w:num>
  <w:num w:numId="14">
    <w:abstractNumId w:val="6"/>
  </w:num>
  <w:num w:numId="15">
    <w:abstractNumId w:val="25"/>
  </w:num>
  <w:num w:numId="16">
    <w:abstractNumId w:val="0"/>
  </w:num>
  <w:num w:numId="17">
    <w:abstractNumId w:val="5"/>
  </w:num>
  <w:num w:numId="18">
    <w:abstractNumId w:val="11"/>
  </w:num>
  <w:num w:numId="19">
    <w:abstractNumId w:val="19"/>
  </w:num>
  <w:num w:numId="20">
    <w:abstractNumId w:val="15"/>
  </w:num>
  <w:num w:numId="21">
    <w:abstractNumId w:val="10"/>
  </w:num>
  <w:num w:numId="22">
    <w:abstractNumId w:val="17"/>
  </w:num>
  <w:num w:numId="23">
    <w:abstractNumId w:val="13"/>
  </w:num>
  <w:num w:numId="24">
    <w:abstractNumId w:val="4"/>
  </w:num>
  <w:num w:numId="25">
    <w:abstractNumId w:val="2"/>
  </w:num>
  <w:num w:numId="26">
    <w:abstractNumId w:val="27"/>
  </w:num>
  <w:num w:numId="27">
    <w:abstractNumId w:val="24"/>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characterSpacingControl w:val="doNotCompress"/>
  <w:hdrShapeDefaults>
    <o:shapedefaults v:ext="edit" spidmax="121858"/>
  </w:hdrShapeDefaults>
  <w:footnotePr>
    <w:footnote w:id="-1"/>
    <w:footnote w:id="0"/>
  </w:footnotePr>
  <w:endnotePr>
    <w:endnote w:id="-1"/>
    <w:endnote w:id="0"/>
  </w:endnotePr>
  <w:compat>
    <w:useFELayout/>
  </w:compat>
  <w:rsids>
    <w:rsidRoot w:val="002A3304"/>
    <w:rsid w:val="0000105E"/>
    <w:rsid w:val="000019C9"/>
    <w:rsid w:val="00002AA6"/>
    <w:rsid w:val="00011526"/>
    <w:rsid w:val="00014227"/>
    <w:rsid w:val="00016544"/>
    <w:rsid w:val="00016688"/>
    <w:rsid w:val="000271DD"/>
    <w:rsid w:val="000367D8"/>
    <w:rsid w:val="00041A31"/>
    <w:rsid w:val="000422C9"/>
    <w:rsid w:val="000437A7"/>
    <w:rsid w:val="00050011"/>
    <w:rsid w:val="0005283B"/>
    <w:rsid w:val="00056873"/>
    <w:rsid w:val="000569C9"/>
    <w:rsid w:val="00063F6C"/>
    <w:rsid w:val="0007181F"/>
    <w:rsid w:val="0007391C"/>
    <w:rsid w:val="00076CDE"/>
    <w:rsid w:val="00080972"/>
    <w:rsid w:val="00086AB2"/>
    <w:rsid w:val="00090ABD"/>
    <w:rsid w:val="000933DF"/>
    <w:rsid w:val="000A1806"/>
    <w:rsid w:val="000B17B9"/>
    <w:rsid w:val="000C285C"/>
    <w:rsid w:val="000C7563"/>
    <w:rsid w:val="000E6E4D"/>
    <w:rsid w:val="000F27C3"/>
    <w:rsid w:val="000F386A"/>
    <w:rsid w:val="000F3DA5"/>
    <w:rsid w:val="00100EA8"/>
    <w:rsid w:val="00106C3A"/>
    <w:rsid w:val="00123941"/>
    <w:rsid w:val="00127E5B"/>
    <w:rsid w:val="00131485"/>
    <w:rsid w:val="00135BF2"/>
    <w:rsid w:val="00153D25"/>
    <w:rsid w:val="0016577E"/>
    <w:rsid w:val="001671D5"/>
    <w:rsid w:val="00170887"/>
    <w:rsid w:val="00173D5E"/>
    <w:rsid w:val="00174117"/>
    <w:rsid w:val="001823FF"/>
    <w:rsid w:val="00184DF8"/>
    <w:rsid w:val="001851E8"/>
    <w:rsid w:val="00191707"/>
    <w:rsid w:val="00196AA5"/>
    <w:rsid w:val="001A7B71"/>
    <w:rsid w:val="001B075C"/>
    <w:rsid w:val="001B3D40"/>
    <w:rsid w:val="001B7C56"/>
    <w:rsid w:val="001D7B8A"/>
    <w:rsid w:val="001E3C82"/>
    <w:rsid w:val="001E4C92"/>
    <w:rsid w:val="001E6107"/>
    <w:rsid w:val="001F34A0"/>
    <w:rsid w:val="001F405D"/>
    <w:rsid w:val="0020409C"/>
    <w:rsid w:val="002255E9"/>
    <w:rsid w:val="002275D9"/>
    <w:rsid w:val="00233026"/>
    <w:rsid w:val="00235AF3"/>
    <w:rsid w:val="00237ACA"/>
    <w:rsid w:val="00244161"/>
    <w:rsid w:val="002608E0"/>
    <w:rsid w:val="00260A26"/>
    <w:rsid w:val="00261C11"/>
    <w:rsid w:val="00264B53"/>
    <w:rsid w:val="0026543D"/>
    <w:rsid w:val="0027289B"/>
    <w:rsid w:val="0029785A"/>
    <w:rsid w:val="00297DD5"/>
    <w:rsid w:val="00297F55"/>
    <w:rsid w:val="002A0AA7"/>
    <w:rsid w:val="002A119E"/>
    <w:rsid w:val="002A3304"/>
    <w:rsid w:val="002A3F27"/>
    <w:rsid w:val="002B2EFB"/>
    <w:rsid w:val="002D1ED8"/>
    <w:rsid w:val="002D6420"/>
    <w:rsid w:val="002E3684"/>
    <w:rsid w:val="002F1E29"/>
    <w:rsid w:val="002F73A1"/>
    <w:rsid w:val="002F7C8E"/>
    <w:rsid w:val="00305502"/>
    <w:rsid w:val="00313C8D"/>
    <w:rsid w:val="00313F3A"/>
    <w:rsid w:val="003158B2"/>
    <w:rsid w:val="00324C8F"/>
    <w:rsid w:val="003269D1"/>
    <w:rsid w:val="00326E85"/>
    <w:rsid w:val="003334AF"/>
    <w:rsid w:val="0034289D"/>
    <w:rsid w:val="0034617D"/>
    <w:rsid w:val="00352914"/>
    <w:rsid w:val="00354866"/>
    <w:rsid w:val="00356685"/>
    <w:rsid w:val="003569C8"/>
    <w:rsid w:val="00360D8C"/>
    <w:rsid w:val="003622D5"/>
    <w:rsid w:val="00364534"/>
    <w:rsid w:val="00376441"/>
    <w:rsid w:val="0037660D"/>
    <w:rsid w:val="00376A63"/>
    <w:rsid w:val="00380A83"/>
    <w:rsid w:val="00381999"/>
    <w:rsid w:val="003845E8"/>
    <w:rsid w:val="0038520B"/>
    <w:rsid w:val="00391C04"/>
    <w:rsid w:val="00392FF4"/>
    <w:rsid w:val="00397834"/>
    <w:rsid w:val="00397F42"/>
    <w:rsid w:val="003A3BCD"/>
    <w:rsid w:val="003B6A7A"/>
    <w:rsid w:val="003C067A"/>
    <w:rsid w:val="003C0FA0"/>
    <w:rsid w:val="003C23C3"/>
    <w:rsid w:val="003C4835"/>
    <w:rsid w:val="003C5E83"/>
    <w:rsid w:val="003C7438"/>
    <w:rsid w:val="003E03ED"/>
    <w:rsid w:val="003E190F"/>
    <w:rsid w:val="003E6AF0"/>
    <w:rsid w:val="003E72D9"/>
    <w:rsid w:val="003E7819"/>
    <w:rsid w:val="003F3025"/>
    <w:rsid w:val="003F4527"/>
    <w:rsid w:val="003F6D20"/>
    <w:rsid w:val="00400D10"/>
    <w:rsid w:val="00403E45"/>
    <w:rsid w:val="00411026"/>
    <w:rsid w:val="004133D6"/>
    <w:rsid w:val="004163C8"/>
    <w:rsid w:val="0042222A"/>
    <w:rsid w:val="00431981"/>
    <w:rsid w:val="00432E28"/>
    <w:rsid w:val="00434790"/>
    <w:rsid w:val="00435BBB"/>
    <w:rsid w:val="004473BC"/>
    <w:rsid w:val="004657B3"/>
    <w:rsid w:val="0046619B"/>
    <w:rsid w:val="00470416"/>
    <w:rsid w:val="00474677"/>
    <w:rsid w:val="00476082"/>
    <w:rsid w:val="0048419F"/>
    <w:rsid w:val="0048640F"/>
    <w:rsid w:val="004960F8"/>
    <w:rsid w:val="004A6762"/>
    <w:rsid w:val="004C6B03"/>
    <w:rsid w:val="004D1889"/>
    <w:rsid w:val="004D53B2"/>
    <w:rsid w:val="004E07E7"/>
    <w:rsid w:val="004E0EE9"/>
    <w:rsid w:val="004F2CDA"/>
    <w:rsid w:val="004F5134"/>
    <w:rsid w:val="004F52F3"/>
    <w:rsid w:val="00505BCF"/>
    <w:rsid w:val="005063EF"/>
    <w:rsid w:val="00507F7D"/>
    <w:rsid w:val="005117A4"/>
    <w:rsid w:val="005172E5"/>
    <w:rsid w:val="005211DD"/>
    <w:rsid w:val="00521EFB"/>
    <w:rsid w:val="005234F4"/>
    <w:rsid w:val="00526A10"/>
    <w:rsid w:val="00530883"/>
    <w:rsid w:val="00531BE2"/>
    <w:rsid w:val="00537ABE"/>
    <w:rsid w:val="00543582"/>
    <w:rsid w:val="0055302C"/>
    <w:rsid w:val="00563275"/>
    <w:rsid w:val="00565621"/>
    <w:rsid w:val="005663D6"/>
    <w:rsid w:val="0056658A"/>
    <w:rsid w:val="00571D5D"/>
    <w:rsid w:val="00573F82"/>
    <w:rsid w:val="00580527"/>
    <w:rsid w:val="00581499"/>
    <w:rsid w:val="00581EF4"/>
    <w:rsid w:val="00582DA1"/>
    <w:rsid w:val="00585A51"/>
    <w:rsid w:val="005872B1"/>
    <w:rsid w:val="0059084B"/>
    <w:rsid w:val="00590B93"/>
    <w:rsid w:val="00593FB3"/>
    <w:rsid w:val="00594E79"/>
    <w:rsid w:val="0059548C"/>
    <w:rsid w:val="00597911"/>
    <w:rsid w:val="005A46B9"/>
    <w:rsid w:val="005B4A94"/>
    <w:rsid w:val="005B64F6"/>
    <w:rsid w:val="005C5958"/>
    <w:rsid w:val="005D4120"/>
    <w:rsid w:val="005D475A"/>
    <w:rsid w:val="005D5147"/>
    <w:rsid w:val="005D527D"/>
    <w:rsid w:val="005D5EAB"/>
    <w:rsid w:val="005E1C7D"/>
    <w:rsid w:val="005F00C3"/>
    <w:rsid w:val="005F1409"/>
    <w:rsid w:val="006048B2"/>
    <w:rsid w:val="00612835"/>
    <w:rsid w:val="00613490"/>
    <w:rsid w:val="00613A4D"/>
    <w:rsid w:val="0061585C"/>
    <w:rsid w:val="0062244E"/>
    <w:rsid w:val="006240F2"/>
    <w:rsid w:val="00624C13"/>
    <w:rsid w:val="00632D28"/>
    <w:rsid w:val="00633FA8"/>
    <w:rsid w:val="006379BB"/>
    <w:rsid w:val="006423CD"/>
    <w:rsid w:val="00650A6A"/>
    <w:rsid w:val="00655E70"/>
    <w:rsid w:val="00664B0D"/>
    <w:rsid w:val="006654FD"/>
    <w:rsid w:val="00671D5E"/>
    <w:rsid w:val="00682072"/>
    <w:rsid w:val="00685343"/>
    <w:rsid w:val="00686CD1"/>
    <w:rsid w:val="006965E5"/>
    <w:rsid w:val="006971D3"/>
    <w:rsid w:val="006A26AC"/>
    <w:rsid w:val="006A6270"/>
    <w:rsid w:val="006A6758"/>
    <w:rsid w:val="006A7324"/>
    <w:rsid w:val="006B4A1B"/>
    <w:rsid w:val="006C2B1E"/>
    <w:rsid w:val="006C3165"/>
    <w:rsid w:val="006D0579"/>
    <w:rsid w:val="006D348E"/>
    <w:rsid w:val="006D741C"/>
    <w:rsid w:val="006E2AEC"/>
    <w:rsid w:val="006E6F73"/>
    <w:rsid w:val="006F00D1"/>
    <w:rsid w:val="006F54D5"/>
    <w:rsid w:val="00710761"/>
    <w:rsid w:val="00721AA9"/>
    <w:rsid w:val="007267DE"/>
    <w:rsid w:val="007268CB"/>
    <w:rsid w:val="0073076E"/>
    <w:rsid w:val="00733483"/>
    <w:rsid w:val="00733A14"/>
    <w:rsid w:val="00737B92"/>
    <w:rsid w:val="00742117"/>
    <w:rsid w:val="00753A2E"/>
    <w:rsid w:val="00753C0D"/>
    <w:rsid w:val="00787A73"/>
    <w:rsid w:val="00790CCF"/>
    <w:rsid w:val="007A0643"/>
    <w:rsid w:val="007A1C75"/>
    <w:rsid w:val="007B6B2B"/>
    <w:rsid w:val="007C7E7F"/>
    <w:rsid w:val="007E10ED"/>
    <w:rsid w:val="007E3769"/>
    <w:rsid w:val="007E58F7"/>
    <w:rsid w:val="007F0166"/>
    <w:rsid w:val="007F1C4E"/>
    <w:rsid w:val="00802681"/>
    <w:rsid w:val="00817BDD"/>
    <w:rsid w:val="008233D8"/>
    <w:rsid w:val="00824343"/>
    <w:rsid w:val="00826719"/>
    <w:rsid w:val="0083514B"/>
    <w:rsid w:val="008351B4"/>
    <w:rsid w:val="00850BB5"/>
    <w:rsid w:val="00852D1C"/>
    <w:rsid w:val="00853CC7"/>
    <w:rsid w:val="00856F25"/>
    <w:rsid w:val="00860607"/>
    <w:rsid w:val="0086366A"/>
    <w:rsid w:val="00863E71"/>
    <w:rsid w:val="00874773"/>
    <w:rsid w:val="00880C64"/>
    <w:rsid w:val="008867C4"/>
    <w:rsid w:val="00891A79"/>
    <w:rsid w:val="008930B2"/>
    <w:rsid w:val="00896A9C"/>
    <w:rsid w:val="008A2428"/>
    <w:rsid w:val="008A7691"/>
    <w:rsid w:val="008B0425"/>
    <w:rsid w:val="008B2FDC"/>
    <w:rsid w:val="008B44E8"/>
    <w:rsid w:val="008B6E6D"/>
    <w:rsid w:val="008B747A"/>
    <w:rsid w:val="008B7DED"/>
    <w:rsid w:val="008B7F99"/>
    <w:rsid w:val="008C07C2"/>
    <w:rsid w:val="008C1030"/>
    <w:rsid w:val="008C26E2"/>
    <w:rsid w:val="008C7829"/>
    <w:rsid w:val="008D0CA0"/>
    <w:rsid w:val="008D44CE"/>
    <w:rsid w:val="008D5B15"/>
    <w:rsid w:val="008D6E99"/>
    <w:rsid w:val="008D70D0"/>
    <w:rsid w:val="008D7887"/>
    <w:rsid w:val="008E1A77"/>
    <w:rsid w:val="008E304F"/>
    <w:rsid w:val="008E3E35"/>
    <w:rsid w:val="00902040"/>
    <w:rsid w:val="00903794"/>
    <w:rsid w:val="00906C26"/>
    <w:rsid w:val="0091521B"/>
    <w:rsid w:val="009249D8"/>
    <w:rsid w:val="009420B7"/>
    <w:rsid w:val="00943A1B"/>
    <w:rsid w:val="0094461B"/>
    <w:rsid w:val="00945017"/>
    <w:rsid w:val="00947202"/>
    <w:rsid w:val="00962A3C"/>
    <w:rsid w:val="0096653D"/>
    <w:rsid w:val="009679FB"/>
    <w:rsid w:val="00974AB5"/>
    <w:rsid w:val="00980BC4"/>
    <w:rsid w:val="00983FE3"/>
    <w:rsid w:val="0099782F"/>
    <w:rsid w:val="009A1DDA"/>
    <w:rsid w:val="009A69DF"/>
    <w:rsid w:val="009B58C9"/>
    <w:rsid w:val="009C5A91"/>
    <w:rsid w:val="009C7F2D"/>
    <w:rsid w:val="009D31A8"/>
    <w:rsid w:val="009D6013"/>
    <w:rsid w:val="009F33B7"/>
    <w:rsid w:val="009F37DF"/>
    <w:rsid w:val="009F4567"/>
    <w:rsid w:val="009F65A5"/>
    <w:rsid w:val="009F6A10"/>
    <w:rsid w:val="00A02B84"/>
    <w:rsid w:val="00A02DA7"/>
    <w:rsid w:val="00A034B9"/>
    <w:rsid w:val="00A045F9"/>
    <w:rsid w:val="00A05CB7"/>
    <w:rsid w:val="00A15171"/>
    <w:rsid w:val="00A204E5"/>
    <w:rsid w:val="00A2302D"/>
    <w:rsid w:val="00A25E43"/>
    <w:rsid w:val="00A276D5"/>
    <w:rsid w:val="00A31576"/>
    <w:rsid w:val="00A35826"/>
    <w:rsid w:val="00A42485"/>
    <w:rsid w:val="00A44BDC"/>
    <w:rsid w:val="00A47FA6"/>
    <w:rsid w:val="00A56CB0"/>
    <w:rsid w:val="00A64C60"/>
    <w:rsid w:val="00A703EC"/>
    <w:rsid w:val="00A70614"/>
    <w:rsid w:val="00A8053C"/>
    <w:rsid w:val="00A8241F"/>
    <w:rsid w:val="00A82FD6"/>
    <w:rsid w:val="00A835F0"/>
    <w:rsid w:val="00A837CA"/>
    <w:rsid w:val="00A85AC9"/>
    <w:rsid w:val="00A974FF"/>
    <w:rsid w:val="00AB5B62"/>
    <w:rsid w:val="00AB797C"/>
    <w:rsid w:val="00AC169D"/>
    <w:rsid w:val="00AC2450"/>
    <w:rsid w:val="00AC63D7"/>
    <w:rsid w:val="00AD0F69"/>
    <w:rsid w:val="00AD566F"/>
    <w:rsid w:val="00AD5712"/>
    <w:rsid w:val="00AE191C"/>
    <w:rsid w:val="00AE4D6C"/>
    <w:rsid w:val="00AF3897"/>
    <w:rsid w:val="00AF73AC"/>
    <w:rsid w:val="00B0167C"/>
    <w:rsid w:val="00B07078"/>
    <w:rsid w:val="00B17453"/>
    <w:rsid w:val="00B23EAC"/>
    <w:rsid w:val="00B408EE"/>
    <w:rsid w:val="00B41003"/>
    <w:rsid w:val="00B43277"/>
    <w:rsid w:val="00B436DE"/>
    <w:rsid w:val="00B61ECD"/>
    <w:rsid w:val="00B7436F"/>
    <w:rsid w:val="00B835A4"/>
    <w:rsid w:val="00B90BD5"/>
    <w:rsid w:val="00B973FF"/>
    <w:rsid w:val="00B97535"/>
    <w:rsid w:val="00BA10EA"/>
    <w:rsid w:val="00BA7506"/>
    <w:rsid w:val="00BB1824"/>
    <w:rsid w:val="00BB2458"/>
    <w:rsid w:val="00BB5142"/>
    <w:rsid w:val="00BB6765"/>
    <w:rsid w:val="00BC557F"/>
    <w:rsid w:val="00BD46F9"/>
    <w:rsid w:val="00BD60B9"/>
    <w:rsid w:val="00BE5329"/>
    <w:rsid w:val="00C03534"/>
    <w:rsid w:val="00C05D02"/>
    <w:rsid w:val="00C077F9"/>
    <w:rsid w:val="00C1417B"/>
    <w:rsid w:val="00C2141A"/>
    <w:rsid w:val="00C23FB2"/>
    <w:rsid w:val="00C30668"/>
    <w:rsid w:val="00C36319"/>
    <w:rsid w:val="00C379F5"/>
    <w:rsid w:val="00C4565D"/>
    <w:rsid w:val="00C47580"/>
    <w:rsid w:val="00C51864"/>
    <w:rsid w:val="00C55A4E"/>
    <w:rsid w:val="00C63C1D"/>
    <w:rsid w:val="00C65883"/>
    <w:rsid w:val="00C85B1B"/>
    <w:rsid w:val="00C871CC"/>
    <w:rsid w:val="00C879C4"/>
    <w:rsid w:val="00CA1756"/>
    <w:rsid w:val="00CA4A68"/>
    <w:rsid w:val="00CB2090"/>
    <w:rsid w:val="00CC3B47"/>
    <w:rsid w:val="00CD1289"/>
    <w:rsid w:val="00CD3141"/>
    <w:rsid w:val="00CD694F"/>
    <w:rsid w:val="00CD7921"/>
    <w:rsid w:val="00CE0018"/>
    <w:rsid w:val="00CE295B"/>
    <w:rsid w:val="00CF31FE"/>
    <w:rsid w:val="00CF37EB"/>
    <w:rsid w:val="00CF7985"/>
    <w:rsid w:val="00CF7B63"/>
    <w:rsid w:val="00D032EA"/>
    <w:rsid w:val="00D06D8B"/>
    <w:rsid w:val="00D309A4"/>
    <w:rsid w:val="00D36870"/>
    <w:rsid w:val="00D4075A"/>
    <w:rsid w:val="00D40A69"/>
    <w:rsid w:val="00D501A9"/>
    <w:rsid w:val="00D505E6"/>
    <w:rsid w:val="00D5210D"/>
    <w:rsid w:val="00D753D4"/>
    <w:rsid w:val="00D83997"/>
    <w:rsid w:val="00D84804"/>
    <w:rsid w:val="00D906B3"/>
    <w:rsid w:val="00D92211"/>
    <w:rsid w:val="00D955DC"/>
    <w:rsid w:val="00DA25EE"/>
    <w:rsid w:val="00DA3A19"/>
    <w:rsid w:val="00DA6377"/>
    <w:rsid w:val="00DB5B0A"/>
    <w:rsid w:val="00DB7B19"/>
    <w:rsid w:val="00DC298B"/>
    <w:rsid w:val="00DC3835"/>
    <w:rsid w:val="00DC5058"/>
    <w:rsid w:val="00DD6220"/>
    <w:rsid w:val="00DD710F"/>
    <w:rsid w:val="00DE0AFA"/>
    <w:rsid w:val="00DF46D6"/>
    <w:rsid w:val="00DF4EBF"/>
    <w:rsid w:val="00E001AA"/>
    <w:rsid w:val="00E01CD7"/>
    <w:rsid w:val="00E03A0E"/>
    <w:rsid w:val="00E0414E"/>
    <w:rsid w:val="00E060E5"/>
    <w:rsid w:val="00E365C5"/>
    <w:rsid w:val="00E37CA2"/>
    <w:rsid w:val="00E42982"/>
    <w:rsid w:val="00E46BCB"/>
    <w:rsid w:val="00E4707F"/>
    <w:rsid w:val="00E47CDC"/>
    <w:rsid w:val="00E604D3"/>
    <w:rsid w:val="00E6255F"/>
    <w:rsid w:val="00E62DCA"/>
    <w:rsid w:val="00E716C4"/>
    <w:rsid w:val="00E76CDC"/>
    <w:rsid w:val="00E76F37"/>
    <w:rsid w:val="00E80769"/>
    <w:rsid w:val="00E8451F"/>
    <w:rsid w:val="00E96F5E"/>
    <w:rsid w:val="00EB1BA4"/>
    <w:rsid w:val="00EB1BCC"/>
    <w:rsid w:val="00EB241E"/>
    <w:rsid w:val="00EB5661"/>
    <w:rsid w:val="00EC550C"/>
    <w:rsid w:val="00EC5ED4"/>
    <w:rsid w:val="00ED0820"/>
    <w:rsid w:val="00EE3120"/>
    <w:rsid w:val="00EE5CA1"/>
    <w:rsid w:val="00EE681A"/>
    <w:rsid w:val="00F02179"/>
    <w:rsid w:val="00F05366"/>
    <w:rsid w:val="00F06879"/>
    <w:rsid w:val="00F103F3"/>
    <w:rsid w:val="00F20D4A"/>
    <w:rsid w:val="00F266B9"/>
    <w:rsid w:val="00F3081A"/>
    <w:rsid w:val="00F32805"/>
    <w:rsid w:val="00F375A9"/>
    <w:rsid w:val="00F44538"/>
    <w:rsid w:val="00F54C6B"/>
    <w:rsid w:val="00F645A8"/>
    <w:rsid w:val="00F64C1E"/>
    <w:rsid w:val="00F66DDB"/>
    <w:rsid w:val="00F67D6F"/>
    <w:rsid w:val="00F70824"/>
    <w:rsid w:val="00F8582E"/>
    <w:rsid w:val="00F90852"/>
    <w:rsid w:val="00F9118B"/>
    <w:rsid w:val="00F95776"/>
    <w:rsid w:val="00F9671F"/>
    <w:rsid w:val="00FA07A0"/>
    <w:rsid w:val="00FA49CB"/>
    <w:rsid w:val="00FB1A81"/>
    <w:rsid w:val="00FB6866"/>
    <w:rsid w:val="00FC32F6"/>
    <w:rsid w:val="00FC4C18"/>
    <w:rsid w:val="00FC5521"/>
    <w:rsid w:val="00FC6E6B"/>
    <w:rsid w:val="00FE56C6"/>
    <w:rsid w:val="00FF03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304"/>
    <w:pPr>
      <w:widowControl w:val="0"/>
    </w:pPr>
  </w:style>
  <w:style w:type="paragraph" w:styleId="2">
    <w:name w:val="heading 2"/>
    <w:basedOn w:val="a"/>
    <w:next w:val="a"/>
    <w:uiPriority w:val="9"/>
    <w:unhideWhenUsed/>
    <w:qFormat/>
    <w:rsid w:val="002A3304"/>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rsid w:val="002A3304"/>
    <w:pPr>
      <w:jc w:val="right"/>
    </w:pPr>
    <w:rPr>
      <w:rFonts w:ascii="宋体" w:eastAsia="宋体"/>
      <w:sz w:val="18"/>
      <w:szCs w:val="18"/>
    </w:rPr>
  </w:style>
  <w:style w:type="paragraph" w:customStyle="1" w:styleId="headingh1">
    <w:name w:val="heading h1"/>
    <w:basedOn w:val="a"/>
    <w:next w:val="a"/>
    <w:uiPriority w:val="9"/>
    <w:qFormat/>
    <w:rsid w:val="002A3304"/>
    <w:pPr>
      <w:keepNext/>
      <w:keepLines/>
      <w:spacing w:before="240" w:after="240" w:line="578" w:lineRule="auto"/>
      <w:outlineLvl w:val="0"/>
    </w:pPr>
    <w:rPr>
      <w:kern w:val="44"/>
      <w:sz w:val="44"/>
      <w:szCs w:val="44"/>
    </w:rPr>
  </w:style>
  <w:style w:type="paragraph" w:customStyle="1" w:styleId="fotter1">
    <w:name w:val="fotter 1"/>
    <w:rsid w:val="002A3304"/>
    <w:pPr>
      <w:jc w:val="right"/>
    </w:pPr>
    <w:rPr>
      <w:rFonts w:ascii="宋体" w:eastAsia="宋体"/>
      <w:sz w:val="18"/>
      <w:szCs w:val="18"/>
    </w:rPr>
  </w:style>
  <w:style w:type="paragraph" w:styleId="1">
    <w:name w:val="toc 1"/>
    <w:basedOn w:val="a"/>
    <w:next w:val="a"/>
    <w:autoRedefine/>
    <w:uiPriority w:val="39"/>
    <w:rsid w:val="002A3304"/>
  </w:style>
  <w:style w:type="paragraph" w:styleId="20">
    <w:name w:val="toc 2"/>
    <w:basedOn w:val="a"/>
    <w:next w:val="a"/>
    <w:autoRedefine/>
    <w:uiPriority w:val="39"/>
    <w:unhideWhenUsed/>
    <w:rsid w:val="002A3304"/>
    <w:pPr>
      <w:ind w:leftChars="200" w:left="420"/>
    </w:pPr>
  </w:style>
  <w:style w:type="paragraph" w:styleId="a3">
    <w:name w:val="Normal (Web)"/>
    <w:basedOn w:val="a"/>
    <w:uiPriority w:val="99"/>
    <w:unhideWhenUsed/>
    <w:rsid w:val="002A3304"/>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sid w:val="002A3304"/>
    <w:rPr>
      <w:b/>
      <w:bCs/>
    </w:rPr>
  </w:style>
  <w:style w:type="character" w:styleId="a5">
    <w:name w:val="Emphasis"/>
    <w:basedOn w:val="a0"/>
    <w:uiPriority w:val="20"/>
    <w:qFormat/>
    <w:rsid w:val="002A3304"/>
    <w:rPr>
      <w:i/>
      <w:iCs/>
    </w:rPr>
  </w:style>
  <w:style w:type="paragraph" w:styleId="a6">
    <w:name w:val="header"/>
    <w:basedOn w:val="a"/>
    <w:link w:val="Char"/>
    <w:uiPriority w:val="99"/>
    <w:semiHidden/>
    <w:unhideWhenUsed/>
    <w:rsid w:val="00376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376441"/>
    <w:rPr>
      <w:sz w:val="18"/>
      <w:szCs w:val="18"/>
    </w:rPr>
  </w:style>
  <w:style w:type="paragraph" w:styleId="a7">
    <w:name w:val="footer"/>
    <w:basedOn w:val="a"/>
    <w:link w:val="Char0"/>
    <w:uiPriority w:val="99"/>
    <w:unhideWhenUsed/>
    <w:rsid w:val="00376441"/>
    <w:pPr>
      <w:tabs>
        <w:tab w:val="center" w:pos="4153"/>
        <w:tab w:val="right" w:pos="8306"/>
      </w:tabs>
      <w:snapToGrid w:val="0"/>
    </w:pPr>
    <w:rPr>
      <w:sz w:val="18"/>
      <w:szCs w:val="18"/>
    </w:rPr>
  </w:style>
  <w:style w:type="character" w:customStyle="1" w:styleId="Char0">
    <w:name w:val="页脚 Char"/>
    <w:basedOn w:val="a0"/>
    <w:link w:val="a7"/>
    <w:uiPriority w:val="99"/>
    <w:rsid w:val="00376441"/>
    <w:rPr>
      <w:sz w:val="18"/>
      <w:szCs w:val="18"/>
    </w:rPr>
  </w:style>
  <w:style w:type="paragraph" w:styleId="a8">
    <w:name w:val="Balloon Text"/>
    <w:basedOn w:val="a"/>
    <w:link w:val="Char1"/>
    <w:uiPriority w:val="99"/>
    <w:semiHidden/>
    <w:unhideWhenUsed/>
    <w:rsid w:val="00376441"/>
    <w:rPr>
      <w:sz w:val="18"/>
      <w:szCs w:val="18"/>
    </w:rPr>
  </w:style>
  <w:style w:type="character" w:customStyle="1" w:styleId="Char1">
    <w:name w:val="批注框文本 Char"/>
    <w:basedOn w:val="a0"/>
    <w:link w:val="a8"/>
    <w:uiPriority w:val="99"/>
    <w:semiHidden/>
    <w:rsid w:val="00376441"/>
    <w:rPr>
      <w:sz w:val="18"/>
      <w:szCs w:val="18"/>
    </w:rPr>
  </w:style>
  <w:style w:type="character" w:styleId="a9">
    <w:name w:val="Hyperlink"/>
    <w:basedOn w:val="a0"/>
    <w:uiPriority w:val="99"/>
    <w:unhideWhenUsed/>
    <w:rsid w:val="00F645A8"/>
    <w:rPr>
      <w:rFonts w:cs="Times New Roman"/>
      <w:color w:val="0000FF" w:themeColor="hyperlink"/>
      <w:u w:val="single"/>
    </w:rPr>
  </w:style>
  <w:style w:type="paragraph" w:customStyle="1" w:styleId="Chapter">
    <w:name w:val="Chapter"/>
    <w:next w:val="a"/>
    <w:uiPriority w:val="99"/>
    <w:rsid w:val="00DF4EBF"/>
    <w:pPr>
      <w:keepNext/>
      <w:keepLines/>
      <w:widowControl w:val="0"/>
      <w:spacing w:before="300" w:after="300" w:line="241" w:lineRule="auto"/>
      <w:jc w:val="both"/>
    </w:pPr>
    <w:rPr>
      <w:rFonts w:ascii="Times New Roman" w:eastAsia="宋体" w:hAnsi="Times New Roman" w:cs="Times New Roman"/>
      <w:b/>
      <w:bCs/>
      <w:kern w:val="28"/>
      <w:sz w:val="24"/>
      <w:szCs w:val="24"/>
    </w:rPr>
  </w:style>
  <w:style w:type="paragraph" w:styleId="30">
    <w:name w:val="toc 3"/>
    <w:basedOn w:val="a"/>
    <w:next w:val="a"/>
    <w:autoRedefine/>
    <w:uiPriority w:val="39"/>
    <w:unhideWhenUsed/>
    <w:rsid w:val="007267DE"/>
    <w:pPr>
      <w:ind w:leftChars="400" w:left="840"/>
      <w:jc w:val="both"/>
    </w:pPr>
  </w:style>
  <w:style w:type="paragraph" w:styleId="4">
    <w:name w:val="toc 4"/>
    <w:basedOn w:val="a"/>
    <w:next w:val="a"/>
    <w:autoRedefine/>
    <w:uiPriority w:val="39"/>
    <w:unhideWhenUsed/>
    <w:rsid w:val="007267DE"/>
    <w:pPr>
      <w:ind w:leftChars="600" w:left="1260"/>
      <w:jc w:val="both"/>
    </w:pPr>
  </w:style>
  <w:style w:type="paragraph" w:styleId="5">
    <w:name w:val="toc 5"/>
    <w:basedOn w:val="a"/>
    <w:next w:val="a"/>
    <w:autoRedefine/>
    <w:uiPriority w:val="39"/>
    <w:unhideWhenUsed/>
    <w:rsid w:val="007267DE"/>
    <w:pPr>
      <w:ind w:leftChars="800" w:left="1680"/>
      <w:jc w:val="both"/>
    </w:pPr>
  </w:style>
  <w:style w:type="paragraph" w:styleId="6">
    <w:name w:val="toc 6"/>
    <w:basedOn w:val="a"/>
    <w:next w:val="a"/>
    <w:autoRedefine/>
    <w:uiPriority w:val="39"/>
    <w:unhideWhenUsed/>
    <w:rsid w:val="007267DE"/>
    <w:pPr>
      <w:ind w:leftChars="1000" w:left="2100"/>
      <w:jc w:val="both"/>
    </w:pPr>
  </w:style>
  <w:style w:type="paragraph" w:styleId="7">
    <w:name w:val="toc 7"/>
    <w:basedOn w:val="a"/>
    <w:next w:val="a"/>
    <w:autoRedefine/>
    <w:uiPriority w:val="39"/>
    <w:unhideWhenUsed/>
    <w:rsid w:val="007267DE"/>
    <w:pPr>
      <w:ind w:leftChars="1200" w:left="2520"/>
      <w:jc w:val="both"/>
    </w:pPr>
  </w:style>
  <w:style w:type="paragraph" w:styleId="8">
    <w:name w:val="toc 8"/>
    <w:basedOn w:val="a"/>
    <w:next w:val="a"/>
    <w:autoRedefine/>
    <w:uiPriority w:val="39"/>
    <w:unhideWhenUsed/>
    <w:rsid w:val="007267DE"/>
    <w:pPr>
      <w:ind w:leftChars="1400" w:left="2940"/>
      <w:jc w:val="both"/>
    </w:pPr>
  </w:style>
  <w:style w:type="paragraph" w:styleId="9">
    <w:name w:val="toc 9"/>
    <w:basedOn w:val="a"/>
    <w:next w:val="a"/>
    <w:autoRedefine/>
    <w:uiPriority w:val="39"/>
    <w:unhideWhenUsed/>
    <w:rsid w:val="007267DE"/>
    <w:pPr>
      <w:ind w:leftChars="1600" w:left="3360"/>
      <w:jc w:val="both"/>
    </w:pPr>
  </w:style>
  <w:style w:type="character" w:customStyle="1" w:styleId="fontstyle21">
    <w:name w:val="fontstyle21"/>
    <w:basedOn w:val="a0"/>
    <w:rsid w:val="00BD60B9"/>
    <w:rPr>
      <w:rFonts w:ascii="仿宋" w:eastAsia="仿宋" w:hAnsi="仿宋" w:hint="eastAsia"/>
      <w:color w:val="000000"/>
      <w:sz w:val="30"/>
      <w:szCs w:val="30"/>
    </w:rPr>
  </w:style>
  <w:style w:type="paragraph" w:styleId="aa">
    <w:name w:val="Body Text Indent"/>
    <w:basedOn w:val="a"/>
    <w:link w:val="Char2"/>
    <w:rsid w:val="00E03A0E"/>
    <w:pPr>
      <w:spacing w:line="700" w:lineRule="exact"/>
      <w:ind w:firstLineChars="200" w:firstLine="640"/>
      <w:jc w:val="both"/>
    </w:pPr>
    <w:rPr>
      <w:rFonts w:ascii="创艺简仿宋" w:eastAsia="创艺简仿宋" w:hAnsi="Times New Roman" w:cs="Times New Roman"/>
      <w:sz w:val="32"/>
      <w:szCs w:val="24"/>
    </w:rPr>
  </w:style>
  <w:style w:type="character" w:customStyle="1" w:styleId="Char2">
    <w:name w:val="正文文本缩进 Char"/>
    <w:basedOn w:val="a0"/>
    <w:link w:val="aa"/>
    <w:rsid w:val="00E03A0E"/>
    <w:rPr>
      <w:rFonts w:ascii="创艺简仿宋" w:eastAsia="创艺简仿宋"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573">
      <w:bodyDiv w:val="1"/>
      <w:marLeft w:val="0"/>
      <w:marRight w:val="0"/>
      <w:marTop w:val="0"/>
      <w:marBottom w:val="0"/>
      <w:divBdr>
        <w:top w:val="none" w:sz="0" w:space="0" w:color="auto"/>
        <w:left w:val="none" w:sz="0" w:space="0" w:color="auto"/>
        <w:bottom w:val="none" w:sz="0" w:space="0" w:color="auto"/>
        <w:right w:val="none" w:sz="0" w:space="0" w:color="auto"/>
      </w:divBdr>
    </w:div>
    <w:div w:id="6175900">
      <w:bodyDiv w:val="1"/>
      <w:marLeft w:val="0"/>
      <w:marRight w:val="0"/>
      <w:marTop w:val="0"/>
      <w:marBottom w:val="0"/>
      <w:divBdr>
        <w:top w:val="none" w:sz="0" w:space="0" w:color="auto"/>
        <w:left w:val="none" w:sz="0" w:space="0" w:color="auto"/>
        <w:bottom w:val="none" w:sz="0" w:space="0" w:color="auto"/>
        <w:right w:val="none" w:sz="0" w:space="0" w:color="auto"/>
      </w:divBdr>
    </w:div>
    <w:div w:id="9333992">
      <w:bodyDiv w:val="1"/>
      <w:marLeft w:val="0"/>
      <w:marRight w:val="0"/>
      <w:marTop w:val="0"/>
      <w:marBottom w:val="0"/>
      <w:divBdr>
        <w:top w:val="none" w:sz="0" w:space="0" w:color="auto"/>
        <w:left w:val="none" w:sz="0" w:space="0" w:color="auto"/>
        <w:bottom w:val="none" w:sz="0" w:space="0" w:color="auto"/>
        <w:right w:val="none" w:sz="0" w:space="0" w:color="auto"/>
      </w:divBdr>
    </w:div>
    <w:div w:id="9987607">
      <w:bodyDiv w:val="1"/>
      <w:marLeft w:val="0"/>
      <w:marRight w:val="0"/>
      <w:marTop w:val="0"/>
      <w:marBottom w:val="0"/>
      <w:divBdr>
        <w:top w:val="none" w:sz="0" w:space="0" w:color="auto"/>
        <w:left w:val="none" w:sz="0" w:space="0" w:color="auto"/>
        <w:bottom w:val="none" w:sz="0" w:space="0" w:color="auto"/>
        <w:right w:val="none" w:sz="0" w:space="0" w:color="auto"/>
      </w:divBdr>
    </w:div>
    <w:div w:id="11303862">
      <w:bodyDiv w:val="1"/>
      <w:marLeft w:val="0"/>
      <w:marRight w:val="0"/>
      <w:marTop w:val="0"/>
      <w:marBottom w:val="0"/>
      <w:divBdr>
        <w:top w:val="none" w:sz="0" w:space="0" w:color="auto"/>
        <w:left w:val="none" w:sz="0" w:space="0" w:color="auto"/>
        <w:bottom w:val="none" w:sz="0" w:space="0" w:color="auto"/>
        <w:right w:val="none" w:sz="0" w:space="0" w:color="auto"/>
      </w:divBdr>
    </w:div>
    <w:div w:id="20327550">
      <w:bodyDiv w:val="1"/>
      <w:marLeft w:val="0"/>
      <w:marRight w:val="0"/>
      <w:marTop w:val="0"/>
      <w:marBottom w:val="0"/>
      <w:divBdr>
        <w:top w:val="none" w:sz="0" w:space="0" w:color="auto"/>
        <w:left w:val="none" w:sz="0" w:space="0" w:color="auto"/>
        <w:bottom w:val="none" w:sz="0" w:space="0" w:color="auto"/>
        <w:right w:val="none" w:sz="0" w:space="0" w:color="auto"/>
      </w:divBdr>
    </w:div>
    <w:div w:id="28770431">
      <w:bodyDiv w:val="1"/>
      <w:marLeft w:val="0"/>
      <w:marRight w:val="0"/>
      <w:marTop w:val="0"/>
      <w:marBottom w:val="0"/>
      <w:divBdr>
        <w:top w:val="none" w:sz="0" w:space="0" w:color="auto"/>
        <w:left w:val="none" w:sz="0" w:space="0" w:color="auto"/>
        <w:bottom w:val="none" w:sz="0" w:space="0" w:color="auto"/>
        <w:right w:val="none" w:sz="0" w:space="0" w:color="auto"/>
      </w:divBdr>
    </w:div>
    <w:div w:id="32577193">
      <w:bodyDiv w:val="1"/>
      <w:marLeft w:val="0"/>
      <w:marRight w:val="0"/>
      <w:marTop w:val="0"/>
      <w:marBottom w:val="0"/>
      <w:divBdr>
        <w:top w:val="none" w:sz="0" w:space="0" w:color="auto"/>
        <w:left w:val="none" w:sz="0" w:space="0" w:color="auto"/>
        <w:bottom w:val="none" w:sz="0" w:space="0" w:color="auto"/>
        <w:right w:val="none" w:sz="0" w:space="0" w:color="auto"/>
      </w:divBdr>
    </w:div>
    <w:div w:id="55276301">
      <w:bodyDiv w:val="1"/>
      <w:marLeft w:val="0"/>
      <w:marRight w:val="0"/>
      <w:marTop w:val="0"/>
      <w:marBottom w:val="0"/>
      <w:divBdr>
        <w:top w:val="none" w:sz="0" w:space="0" w:color="auto"/>
        <w:left w:val="none" w:sz="0" w:space="0" w:color="auto"/>
        <w:bottom w:val="none" w:sz="0" w:space="0" w:color="auto"/>
        <w:right w:val="none" w:sz="0" w:space="0" w:color="auto"/>
      </w:divBdr>
    </w:div>
    <w:div w:id="56100996">
      <w:bodyDiv w:val="1"/>
      <w:marLeft w:val="0"/>
      <w:marRight w:val="0"/>
      <w:marTop w:val="0"/>
      <w:marBottom w:val="0"/>
      <w:divBdr>
        <w:top w:val="none" w:sz="0" w:space="0" w:color="auto"/>
        <w:left w:val="none" w:sz="0" w:space="0" w:color="auto"/>
        <w:bottom w:val="none" w:sz="0" w:space="0" w:color="auto"/>
        <w:right w:val="none" w:sz="0" w:space="0" w:color="auto"/>
      </w:divBdr>
    </w:div>
    <w:div w:id="56169937">
      <w:bodyDiv w:val="1"/>
      <w:marLeft w:val="0"/>
      <w:marRight w:val="0"/>
      <w:marTop w:val="0"/>
      <w:marBottom w:val="0"/>
      <w:divBdr>
        <w:top w:val="none" w:sz="0" w:space="0" w:color="auto"/>
        <w:left w:val="none" w:sz="0" w:space="0" w:color="auto"/>
        <w:bottom w:val="none" w:sz="0" w:space="0" w:color="auto"/>
        <w:right w:val="none" w:sz="0" w:space="0" w:color="auto"/>
      </w:divBdr>
    </w:div>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60492038">
      <w:bodyDiv w:val="1"/>
      <w:marLeft w:val="0"/>
      <w:marRight w:val="0"/>
      <w:marTop w:val="0"/>
      <w:marBottom w:val="0"/>
      <w:divBdr>
        <w:top w:val="none" w:sz="0" w:space="0" w:color="auto"/>
        <w:left w:val="none" w:sz="0" w:space="0" w:color="auto"/>
        <w:bottom w:val="none" w:sz="0" w:space="0" w:color="auto"/>
        <w:right w:val="none" w:sz="0" w:space="0" w:color="auto"/>
      </w:divBdr>
    </w:div>
    <w:div w:id="61367601">
      <w:bodyDiv w:val="1"/>
      <w:marLeft w:val="0"/>
      <w:marRight w:val="0"/>
      <w:marTop w:val="0"/>
      <w:marBottom w:val="0"/>
      <w:divBdr>
        <w:top w:val="none" w:sz="0" w:space="0" w:color="auto"/>
        <w:left w:val="none" w:sz="0" w:space="0" w:color="auto"/>
        <w:bottom w:val="none" w:sz="0" w:space="0" w:color="auto"/>
        <w:right w:val="none" w:sz="0" w:space="0" w:color="auto"/>
      </w:divBdr>
    </w:div>
    <w:div w:id="71508549">
      <w:bodyDiv w:val="1"/>
      <w:marLeft w:val="0"/>
      <w:marRight w:val="0"/>
      <w:marTop w:val="0"/>
      <w:marBottom w:val="0"/>
      <w:divBdr>
        <w:top w:val="none" w:sz="0" w:space="0" w:color="auto"/>
        <w:left w:val="none" w:sz="0" w:space="0" w:color="auto"/>
        <w:bottom w:val="none" w:sz="0" w:space="0" w:color="auto"/>
        <w:right w:val="none" w:sz="0" w:space="0" w:color="auto"/>
      </w:divBdr>
    </w:div>
    <w:div w:id="72514990">
      <w:bodyDiv w:val="1"/>
      <w:marLeft w:val="0"/>
      <w:marRight w:val="0"/>
      <w:marTop w:val="0"/>
      <w:marBottom w:val="0"/>
      <w:divBdr>
        <w:top w:val="none" w:sz="0" w:space="0" w:color="auto"/>
        <w:left w:val="none" w:sz="0" w:space="0" w:color="auto"/>
        <w:bottom w:val="none" w:sz="0" w:space="0" w:color="auto"/>
        <w:right w:val="none" w:sz="0" w:space="0" w:color="auto"/>
      </w:divBdr>
    </w:div>
    <w:div w:id="86269091">
      <w:bodyDiv w:val="1"/>
      <w:marLeft w:val="0"/>
      <w:marRight w:val="0"/>
      <w:marTop w:val="0"/>
      <w:marBottom w:val="0"/>
      <w:divBdr>
        <w:top w:val="none" w:sz="0" w:space="0" w:color="auto"/>
        <w:left w:val="none" w:sz="0" w:space="0" w:color="auto"/>
        <w:bottom w:val="none" w:sz="0" w:space="0" w:color="auto"/>
        <w:right w:val="none" w:sz="0" w:space="0" w:color="auto"/>
      </w:divBdr>
    </w:div>
    <w:div w:id="88045851">
      <w:bodyDiv w:val="1"/>
      <w:marLeft w:val="0"/>
      <w:marRight w:val="0"/>
      <w:marTop w:val="0"/>
      <w:marBottom w:val="0"/>
      <w:divBdr>
        <w:top w:val="none" w:sz="0" w:space="0" w:color="auto"/>
        <w:left w:val="none" w:sz="0" w:space="0" w:color="auto"/>
        <w:bottom w:val="none" w:sz="0" w:space="0" w:color="auto"/>
        <w:right w:val="none" w:sz="0" w:space="0" w:color="auto"/>
      </w:divBdr>
    </w:div>
    <w:div w:id="90973898">
      <w:bodyDiv w:val="1"/>
      <w:marLeft w:val="0"/>
      <w:marRight w:val="0"/>
      <w:marTop w:val="0"/>
      <w:marBottom w:val="0"/>
      <w:divBdr>
        <w:top w:val="none" w:sz="0" w:space="0" w:color="auto"/>
        <w:left w:val="none" w:sz="0" w:space="0" w:color="auto"/>
        <w:bottom w:val="none" w:sz="0" w:space="0" w:color="auto"/>
        <w:right w:val="none" w:sz="0" w:space="0" w:color="auto"/>
      </w:divBdr>
    </w:div>
    <w:div w:id="90976032">
      <w:bodyDiv w:val="1"/>
      <w:marLeft w:val="0"/>
      <w:marRight w:val="0"/>
      <w:marTop w:val="0"/>
      <w:marBottom w:val="0"/>
      <w:divBdr>
        <w:top w:val="none" w:sz="0" w:space="0" w:color="auto"/>
        <w:left w:val="none" w:sz="0" w:space="0" w:color="auto"/>
        <w:bottom w:val="none" w:sz="0" w:space="0" w:color="auto"/>
        <w:right w:val="none" w:sz="0" w:space="0" w:color="auto"/>
      </w:divBdr>
    </w:div>
    <w:div w:id="94791367">
      <w:bodyDiv w:val="1"/>
      <w:marLeft w:val="0"/>
      <w:marRight w:val="0"/>
      <w:marTop w:val="0"/>
      <w:marBottom w:val="0"/>
      <w:divBdr>
        <w:top w:val="none" w:sz="0" w:space="0" w:color="auto"/>
        <w:left w:val="none" w:sz="0" w:space="0" w:color="auto"/>
        <w:bottom w:val="none" w:sz="0" w:space="0" w:color="auto"/>
        <w:right w:val="none" w:sz="0" w:space="0" w:color="auto"/>
      </w:divBdr>
    </w:div>
    <w:div w:id="110563011">
      <w:bodyDiv w:val="1"/>
      <w:marLeft w:val="0"/>
      <w:marRight w:val="0"/>
      <w:marTop w:val="0"/>
      <w:marBottom w:val="0"/>
      <w:divBdr>
        <w:top w:val="none" w:sz="0" w:space="0" w:color="auto"/>
        <w:left w:val="none" w:sz="0" w:space="0" w:color="auto"/>
        <w:bottom w:val="none" w:sz="0" w:space="0" w:color="auto"/>
        <w:right w:val="none" w:sz="0" w:space="0" w:color="auto"/>
      </w:divBdr>
    </w:div>
    <w:div w:id="138571256">
      <w:bodyDiv w:val="1"/>
      <w:marLeft w:val="0"/>
      <w:marRight w:val="0"/>
      <w:marTop w:val="0"/>
      <w:marBottom w:val="0"/>
      <w:divBdr>
        <w:top w:val="none" w:sz="0" w:space="0" w:color="auto"/>
        <w:left w:val="none" w:sz="0" w:space="0" w:color="auto"/>
        <w:bottom w:val="none" w:sz="0" w:space="0" w:color="auto"/>
        <w:right w:val="none" w:sz="0" w:space="0" w:color="auto"/>
      </w:divBdr>
    </w:div>
    <w:div w:id="138765697">
      <w:bodyDiv w:val="1"/>
      <w:marLeft w:val="0"/>
      <w:marRight w:val="0"/>
      <w:marTop w:val="0"/>
      <w:marBottom w:val="0"/>
      <w:divBdr>
        <w:top w:val="none" w:sz="0" w:space="0" w:color="auto"/>
        <w:left w:val="none" w:sz="0" w:space="0" w:color="auto"/>
        <w:bottom w:val="none" w:sz="0" w:space="0" w:color="auto"/>
        <w:right w:val="none" w:sz="0" w:space="0" w:color="auto"/>
      </w:divBdr>
    </w:div>
    <w:div w:id="145753225">
      <w:bodyDiv w:val="1"/>
      <w:marLeft w:val="0"/>
      <w:marRight w:val="0"/>
      <w:marTop w:val="0"/>
      <w:marBottom w:val="0"/>
      <w:divBdr>
        <w:top w:val="none" w:sz="0" w:space="0" w:color="auto"/>
        <w:left w:val="none" w:sz="0" w:space="0" w:color="auto"/>
        <w:bottom w:val="none" w:sz="0" w:space="0" w:color="auto"/>
        <w:right w:val="none" w:sz="0" w:space="0" w:color="auto"/>
      </w:divBdr>
    </w:div>
    <w:div w:id="147869068">
      <w:bodyDiv w:val="1"/>
      <w:marLeft w:val="0"/>
      <w:marRight w:val="0"/>
      <w:marTop w:val="0"/>
      <w:marBottom w:val="0"/>
      <w:divBdr>
        <w:top w:val="none" w:sz="0" w:space="0" w:color="auto"/>
        <w:left w:val="none" w:sz="0" w:space="0" w:color="auto"/>
        <w:bottom w:val="none" w:sz="0" w:space="0" w:color="auto"/>
        <w:right w:val="none" w:sz="0" w:space="0" w:color="auto"/>
      </w:divBdr>
      <w:divsChild>
        <w:div w:id="1161123612">
          <w:marLeft w:val="0"/>
          <w:marRight w:val="0"/>
          <w:marTop w:val="0"/>
          <w:marBottom w:val="0"/>
          <w:divBdr>
            <w:top w:val="none" w:sz="0" w:space="0" w:color="auto"/>
            <w:left w:val="none" w:sz="0" w:space="0" w:color="auto"/>
            <w:bottom w:val="none" w:sz="0" w:space="0" w:color="auto"/>
            <w:right w:val="none" w:sz="0" w:space="0" w:color="auto"/>
          </w:divBdr>
        </w:div>
        <w:div w:id="1529757874">
          <w:marLeft w:val="0"/>
          <w:marRight w:val="0"/>
          <w:marTop w:val="0"/>
          <w:marBottom w:val="0"/>
          <w:divBdr>
            <w:top w:val="none" w:sz="0" w:space="0" w:color="auto"/>
            <w:left w:val="none" w:sz="0" w:space="0" w:color="auto"/>
            <w:bottom w:val="none" w:sz="0" w:space="0" w:color="auto"/>
            <w:right w:val="none" w:sz="0" w:space="0" w:color="auto"/>
          </w:divBdr>
        </w:div>
      </w:divsChild>
    </w:div>
    <w:div w:id="150760731">
      <w:bodyDiv w:val="1"/>
      <w:marLeft w:val="0"/>
      <w:marRight w:val="0"/>
      <w:marTop w:val="0"/>
      <w:marBottom w:val="0"/>
      <w:divBdr>
        <w:top w:val="none" w:sz="0" w:space="0" w:color="auto"/>
        <w:left w:val="none" w:sz="0" w:space="0" w:color="auto"/>
        <w:bottom w:val="none" w:sz="0" w:space="0" w:color="auto"/>
        <w:right w:val="none" w:sz="0" w:space="0" w:color="auto"/>
      </w:divBdr>
    </w:div>
    <w:div w:id="160196796">
      <w:bodyDiv w:val="1"/>
      <w:marLeft w:val="0"/>
      <w:marRight w:val="0"/>
      <w:marTop w:val="0"/>
      <w:marBottom w:val="0"/>
      <w:divBdr>
        <w:top w:val="none" w:sz="0" w:space="0" w:color="auto"/>
        <w:left w:val="none" w:sz="0" w:space="0" w:color="auto"/>
        <w:bottom w:val="none" w:sz="0" w:space="0" w:color="auto"/>
        <w:right w:val="none" w:sz="0" w:space="0" w:color="auto"/>
      </w:divBdr>
    </w:div>
    <w:div w:id="169177788">
      <w:bodyDiv w:val="1"/>
      <w:marLeft w:val="0"/>
      <w:marRight w:val="0"/>
      <w:marTop w:val="0"/>
      <w:marBottom w:val="0"/>
      <w:divBdr>
        <w:top w:val="none" w:sz="0" w:space="0" w:color="auto"/>
        <w:left w:val="none" w:sz="0" w:space="0" w:color="auto"/>
        <w:bottom w:val="none" w:sz="0" w:space="0" w:color="auto"/>
        <w:right w:val="none" w:sz="0" w:space="0" w:color="auto"/>
      </w:divBdr>
    </w:div>
    <w:div w:id="180507974">
      <w:bodyDiv w:val="1"/>
      <w:marLeft w:val="0"/>
      <w:marRight w:val="0"/>
      <w:marTop w:val="0"/>
      <w:marBottom w:val="0"/>
      <w:divBdr>
        <w:top w:val="none" w:sz="0" w:space="0" w:color="auto"/>
        <w:left w:val="none" w:sz="0" w:space="0" w:color="auto"/>
        <w:bottom w:val="none" w:sz="0" w:space="0" w:color="auto"/>
        <w:right w:val="none" w:sz="0" w:space="0" w:color="auto"/>
      </w:divBdr>
    </w:div>
    <w:div w:id="180900446">
      <w:bodyDiv w:val="1"/>
      <w:marLeft w:val="0"/>
      <w:marRight w:val="0"/>
      <w:marTop w:val="0"/>
      <w:marBottom w:val="0"/>
      <w:divBdr>
        <w:top w:val="none" w:sz="0" w:space="0" w:color="auto"/>
        <w:left w:val="none" w:sz="0" w:space="0" w:color="auto"/>
        <w:bottom w:val="none" w:sz="0" w:space="0" w:color="auto"/>
        <w:right w:val="none" w:sz="0" w:space="0" w:color="auto"/>
      </w:divBdr>
    </w:div>
    <w:div w:id="183447443">
      <w:bodyDiv w:val="1"/>
      <w:marLeft w:val="0"/>
      <w:marRight w:val="0"/>
      <w:marTop w:val="0"/>
      <w:marBottom w:val="0"/>
      <w:divBdr>
        <w:top w:val="none" w:sz="0" w:space="0" w:color="auto"/>
        <w:left w:val="none" w:sz="0" w:space="0" w:color="auto"/>
        <w:bottom w:val="none" w:sz="0" w:space="0" w:color="auto"/>
        <w:right w:val="none" w:sz="0" w:space="0" w:color="auto"/>
      </w:divBdr>
    </w:div>
    <w:div w:id="187834876">
      <w:bodyDiv w:val="1"/>
      <w:marLeft w:val="0"/>
      <w:marRight w:val="0"/>
      <w:marTop w:val="0"/>
      <w:marBottom w:val="0"/>
      <w:divBdr>
        <w:top w:val="none" w:sz="0" w:space="0" w:color="auto"/>
        <w:left w:val="none" w:sz="0" w:space="0" w:color="auto"/>
        <w:bottom w:val="none" w:sz="0" w:space="0" w:color="auto"/>
        <w:right w:val="none" w:sz="0" w:space="0" w:color="auto"/>
      </w:divBdr>
    </w:div>
    <w:div w:id="205214349">
      <w:bodyDiv w:val="1"/>
      <w:marLeft w:val="0"/>
      <w:marRight w:val="0"/>
      <w:marTop w:val="0"/>
      <w:marBottom w:val="0"/>
      <w:divBdr>
        <w:top w:val="none" w:sz="0" w:space="0" w:color="auto"/>
        <w:left w:val="none" w:sz="0" w:space="0" w:color="auto"/>
        <w:bottom w:val="none" w:sz="0" w:space="0" w:color="auto"/>
        <w:right w:val="none" w:sz="0" w:space="0" w:color="auto"/>
      </w:divBdr>
    </w:div>
    <w:div w:id="212275245">
      <w:bodyDiv w:val="1"/>
      <w:marLeft w:val="0"/>
      <w:marRight w:val="0"/>
      <w:marTop w:val="0"/>
      <w:marBottom w:val="0"/>
      <w:divBdr>
        <w:top w:val="none" w:sz="0" w:space="0" w:color="auto"/>
        <w:left w:val="none" w:sz="0" w:space="0" w:color="auto"/>
        <w:bottom w:val="none" w:sz="0" w:space="0" w:color="auto"/>
        <w:right w:val="none" w:sz="0" w:space="0" w:color="auto"/>
      </w:divBdr>
    </w:div>
    <w:div w:id="222258322">
      <w:bodyDiv w:val="1"/>
      <w:marLeft w:val="0"/>
      <w:marRight w:val="0"/>
      <w:marTop w:val="0"/>
      <w:marBottom w:val="0"/>
      <w:divBdr>
        <w:top w:val="none" w:sz="0" w:space="0" w:color="auto"/>
        <w:left w:val="none" w:sz="0" w:space="0" w:color="auto"/>
        <w:bottom w:val="none" w:sz="0" w:space="0" w:color="auto"/>
        <w:right w:val="none" w:sz="0" w:space="0" w:color="auto"/>
      </w:divBdr>
    </w:div>
    <w:div w:id="225841898">
      <w:bodyDiv w:val="1"/>
      <w:marLeft w:val="0"/>
      <w:marRight w:val="0"/>
      <w:marTop w:val="0"/>
      <w:marBottom w:val="0"/>
      <w:divBdr>
        <w:top w:val="none" w:sz="0" w:space="0" w:color="auto"/>
        <w:left w:val="none" w:sz="0" w:space="0" w:color="auto"/>
        <w:bottom w:val="none" w:sz="0" w:space="0" w:color="auto"/>
        <w:right w:val="none" w:sz="0" w:space="0" w:color="auto"/>
      </w:divBdr>
    </w:div>
    <w:div w:id="230507987">
      <w:bodyDiv w:val="1"/>
      <w:marLeft w:val="0"/>
      <w:marRight w:val="0"/>
      <w:marTop w:val="0"/>
      <w:marBottom w:val="0"/>
      <w:divBdr>
        <w:top w:val="none" w:sz="0" w:space="0" w:color="auto"/>
        <w:left w:val="none" w:sz="0" w:space="0" w:color="auto"/>
        <w:bottom w:val="none" w:sz="0" w:space="0" w:color="auto"/>
        <w:right w:val="none" w:sz="0" w:space="0" w:color="auto"/>
      </w:divBdr>
    </w:div>
    <w:div w:id="234899776">
      <w:bodyDiv w:val="1"/>
      <w:marLeft w:val="0"/>
      <w:marRight w:val="0"/>
      <w:marTop w:val="0"/>
      <w:marBottom w:val="0"/>
      <w:divBdr>
        <w:top w:val="none" w:sz="0" w:space="0" w:color="auto"/>
        <w:left w:val="none" w:sz="0" w:space="0" w:color="auto"/>
        <w:bottom w:val="none" w:sz="0" w:space="0" w:color="auto"/>
        <w:right w:val="none" w:sz="0" w:space="0" w:color="auto"/>
      </w:divBdr>
    </w:div>
    <w:div w:id="235628573">
      <w:bodyDiv w:val="1"/>
      <w:marLeft w:val="0"/>
      <w:marRight w:val="0"/>
      <w:marTop w:val="0"/>
      <w:marBottom w:val="0"/>
      <w:divBdr>
        <w:top w:val="none" w:sz="0" w:space="0" w:color="auto"/>
        <w:left w:val="none" w:sz="0" w:space="0" w:color="auto"/>
        <w:bottom w:val="none" w:sz="0" w:space="0" w:color="auto"/>
        <w:right w:val="none" w:sz="0" w:space="0" w:color="auto"/>
      </w:divBdr>
    </w:div>
    <w:div w:id="247733920">
      <w:bodyDiv w:val="1"/>
      <w:marLeft w:val="0"/>
      <w:marRight w:val="0"/>
      <w:marTop w:val="0"/>
      <w:marBottom w:val="0"/>
      <w:divBdr>
        <w:top w:val="none" w:sz="0" w:space="0" w:color="auto"/>
        <w:left w:val="none" w:sz="0" w:space="0" w:color="auto"/>
        <w:bottom w:val="none" w:sz="0" w:space="0" w:color="auto"/>
        <w:right w:val="none" w:sz="0" w:space="0" w:color="auto"/>
      </w:divBdr>
    </w:div>
    <w:div w:id="248124083">
      <w:bodyDiv w:val="1"/>
      <w:marLeft w:val="0"/>
      <w:marRight w:val="0"/>
      <w:marTop w:val="0"/>
      <w:marBottom w:val="0"/>
      <w:divBdr>
        <w:top w:val="none" w:sz="0" w:space="0" w:color="auto"/>
        <w:left w:val="none" w:sz="0" w:space="0" w:color="auto"/>
        <w:bottom w:val="none" w:sz="0" w:space="0" w:color="auto"/>
        <w:right w:val="none" w:sz="0" w:space="0" w:color="auto"/>
      </w:divBdr>
    </w:div>
    <w:div w:id="248194434">
      <w:bodyDiv w:val="1"/>
      <w:marLeft w:val="0"/>
      <w:marRight w:val="0"/>
      <w:marTop w:val="0"/>
      <w:marBottom w:val="0"/>
      <w:divBdr>
        <w:top w:val="none" w:sz="0" w:space="0" w:color="auto"/>
        <w:left w:val="none" w:sz="0" w:space="0" w:color="auto"/>
        <w:bottom w:val="none" w:sz="0" w:space="0" w:color="auto"/>
        <w:right w:val="none" w:sz="0" w:space="0" w:color="auto"/>
      </w:divBdr>
    </w:div>
    <w:div w:id="251352711">
      <w:bodyDiv w:val="1"/>
      <w:marLeft w:val="0"/>
      <w:marRight w:val="0"/>
      <w:marTop w:val="0"/>
      <w:marBottom w:val="0"/>
      <w:divBdr>
        <w:top w:val="none" w:sz="0" w:space="0" w:color="auto"/>
        <w:left w:val="none" w:sz="0" w:space="0" w:color="auto"/>
        <w:bottom w:val="none" w:sz="0" w:space="0" w:color="auto"/>
        <w:right w:val="none" w:sz="0" w:space="0" w:color="auto"/>
      </w:divBdr>
    </w:div>
    <w:div w:id="256905184">
      <w:bodyDiv w:val="1"/>
      <w:marLeft w:val="0"/>
      <w:marRight w:val="0"/>
      <w:marTop w:val="0"/>
      <w:marBottom w:val="0"/>
      <w:divBdr>
        <w:top w:val="none" w:sz="0" w:space="0" w:color="auto"/>
        <w:left w:val="none" w:sz="0" w:space="0" w:color="auto"/>
        <w:bottom w:val="none" w:sz="0" w:space="0" w:color="auto"/>
        <w:right w:val="none" w:sz="0" w:space="0" w:color="auto"/>
      </w:divBdr>
    </w:div>
    <w:div w:id="258946986">
      <w:bodyDiv w:val="1"/>
      <w:marLeft w:val="0"/>
      <w:marRight w:val="0"/>
      <w:marTop w:val="0"/>
      <w:marBottom w:val="0"/>
      <w:divBdr>
        <w:top w:val="none" w:sz="0" w:space="0" w:color="auto"/>
        <w:left w:val="none" w:sz="0" w:space="0" w:color="auto"/>
        <w:bottom w:val="none" w:sz="0" w:space="0" w:color="auto"/>
        <w:right w:val="none" w:sz="0" w:space="0" w:color="auto"/>
      </w:divBdr>
    </w:div>
    <w:div w:id="266083461">
      <w:bodyDiv w:val="1"/>
      <w:marLeft w:val="0"/>
      <w:marRight w:val="0"/>
      <w:marTop w:val="0"/>
      <w:marBottom w:val="0"/>
      <w:divBdr>
        <w:top w:val="none" w:sz="0" w:space="0" w:color="auto"/>
        <w:left w:val="none" w:sz="0" w:space="0" w:color="auto"/>
        <w:bottom w:val="none" w:sz="0" w:space="0" w:color="auto"/>
        <w:right w:val="none" w:sz="0" w:space="0" w:color="auto"/>
      </w:divBdr>
    </w:div>
    <w:div w:id="268203145">
      <w:bodyDiv w:val="1"/>
      <w:marLeft w:val="0"/>
      <w:marRight w:val="0"/>
      <w:marTop w:val="0"/>
      <w:marBottom w:val="0"/>
      <w:divBdr>
        <w:top w:val="none" w:sz="0" w:space="0" w:color="auto"/>
        <w:left w:val="none" w:sz="0" w:space="0" w:color="auto"/>
        <w:bottom w:val="none" w:sz="0" w:space="0" w:color="auto"/>
        <w:right w:val="none" w:sz="0" w:space="0" w:color="auto"/>
      </w:divBdr>
    </w:div>
    <w:div w:id="286552773">
      <w:bodyDiv w:val="1"/>
      <w:marLeft w:val="0"/>
      <w:marRight w:val="0"/>
      <w:marTop w:val="0"/>
      <w:marBottom w:val="0"/>
      <w:divBdr>
        <w:top w:val="none" w:sz="0" w:space="0" w:color="auto"/>
        <w:left w:val="none" w:sz="0" w:space="0" w:color="auto"/>
        <w:bottom w:val="none" w:sz="0" w:space="0" w:color="auto"/>
        <w:right w:val="none" w:sz="0" w:space="0" w:color="auto"/>
      </w:divBdr>
    </w:div>
    <w:div w:id="290402184">
      <w:bodyDiv w:val="1"/>
      <w:marLeft w:val="0"/>
      <w:marRight w:val="0"/>
      <w:marTop w:val="0"/>
      <w:marBottom w:val="0"/>
      <w:divBdr>
        <w:top w:val="none" w:sz="0" w:space="0" w:color="auto"/>
        <w:left w:val="none" w:sz="0" w:space="0" w:color="auto"/>
        <w:bottom w:val="none" w:sz="0" w:space="0" w:color="auto"/>
        <w:right w:val="none" w:sz="0" w:space="0" w:color="auto"/>
      </w:divBdr>
    </w:div>
    <w:div w:id="291518806">
      <w:bodyDiv w:val="1"/>
      <w:marLeft w:val="0"/>
      <w:marRight w:val="0"/>
      <w:marTop w:val="0"/>
      <w:marBottom w:val="0"/>
      <w:divBdr>
        <w:top w:val="none" w:sz="0" w:space="0" w:color="auto"/>
        <w:left w:val="none" w:sz="0" w:space="0" w:color="auto"/>
        <w:bottom w:val="none" w:sz="0" w:space="0" w:color="auto"/>
        <w:right w:val="none" w:sz="0" w:space="0" w:color="auto"/>
      </w:divBdr>
    </w:div>
    <w:div w:id="300580468">
      <w:bodyDiv w:val="1"/>
      <w:marLeft w:val="0"/>
      <w:marRight w:val="0"/>
      <w:marTop w:val="0"/>
      <w:marBottom w:val="0"/>
      <w:divBdr>
        <w:top w:val="none" w:sz="0" w:space="0" w:color="auto"/>
        <w:left w:val="none" w:sz="0" w:space="0" w:color="auto"/>
        <w:bottom w:val="none" w:sz="0" w:space="0" w:color="auto"/>
        <w:right w:val="none" w:sz="0" w:space="0" w:color="auto"/>
      </w:divBdr>
    </w:div>
    <w:div w:id="304044108">
      <w:bodyDiv w:val="1"/>
      <w:marLeft w:val="0"/>
      <w:marRight w:val="0"/>
      <w:marTop w:val="0"/>
      <w:marBottom w:val="0"/>
      <w:divBdr>
        <w:top w:val="none" w:sz="0" w:space="0" w:color="auto"/>
        <w:left w:val="none" w:sz="0" w:space="0" w:color="auto"/>
        <w:bottom w:val="none" w:sz="0" w:space="0" w:color="auto"/>
        <w:right w:val="none" w:sz="0" w:space="0" w:color="auto"/>
      </w:divBdr>
    </w:div>
    <w:div w:id="308364535">
      <w:bodyDiv w:val="1"/>
      <w:marLeft w:val="0"/>
      <w:marRight w:val="0"/>
      <w:marTop w:val="0"/>
      <w:marBottom w:val="0"/>
      <w:divBdr>
        <w:top w:val="none" w:sz="0" w:space="0" w:color="auto"/>
        <w:left w:val="none" w:sz="0" w:space="0" w:color="auto"/>
        <w:bottom w:val="none" w:sz="0" w:space="0" w:color="auto"/>
        <w:right w:val="none" w:sz="0" w:space="0" w:color="auto"/>
      </w:divBdr>
    </w:div>
    <w:div w:id="309402824">
      <w:bodyDiv w:val="1"/>
      <w:marLeft w:val="0"/>
      <w:marRight w:val="0"/>
      <w:marTop w:val="0"/>
      <w:marBottom w:val="0"/>
      <w:divBdr>
        <w:top w:val="none" w:sz="0" w:space="0" w:color="auto"/>
        <w:left w:val="none" w:sz="0" w:space="0" w:color="auto"/>
        <w:bottom w:val="none" w:sz="0" w:space="0" w:color="auto"/>
        <w:right w:val="none" w:sz="0" w:space="0" w:color="auto"/>
      </w:divBdr>
    </w:div>
    <w:div w:id="311494297">
      <w:bodyDiv w:val="1"/>
      <w:marLeft w:val="0"/>
      <w:marRight w:val="0"/>
      <w:marTop w:val="0"/>
      <w:marBottom w:val="0"/>
      <w:divBdr>
        <w:top w:val="none" w:sz="0" w:space="0" w:color="auto"/>
        <w:left w:val="none" w:sz="0" w:space="0" w:color="auto"/>
        <w:bottom w:val="none" w:sz="0" w:space="0" w:color="auto"/>
        <w:right w:val="none" w:sz="0" w:space="0" w:color="auto"/>
      </w:divBdr>
    </w:div>
    <w:div w:id="313921155">
      <w:bodyDiv w:val="1"/>
      <w:marLeft w:val="0"/>
      <w:marRight w:val="0"/>
      <w:marTop w:val="0"/>
      <w:marBottom w:val="0"/>
      <w:divBdr>
        <w:top w:val="none" w:sz="0" w:space="0" w:color="auto"/>
        <w:left w:val="none" w:sz="0" w:space="0" w:color="auto"/>
        <w:bottom w:val="none" w:sz="0" w:space="0" w:color="auto"/>
        <w:right w:val="none" w:sz="0" w:space="0" w:color="auto"/>
      </w:divBdr>
    </w:div>
    <w:div w:id="316037360">
      <w:bodyDiv w:val="1"/>
      <w:marLeft w:val="0"/>
      <w:marRight w:val="0"/>
      <w:marTop w:val="0"/>
      <w:marBottom w:val="0"/>
      <w:divBdr>
        <w:top w:val="none" w:sz="0" w:space="0" w:color="auto"/>
        <w:left w:val="none" w:sz="0" w:space="0" w:color="auto"/>
        <w:bottom w:val="none" w:sz="0" w:space="0" w:color="auto"/>
        <w:right w:val="none" w:sz="0" w:space="0" w:color="auto"/>
      </w:divBdr>
    </w:div>
    <w:div w:id="318267683">
      <w:bodyDiv w:val="1"/>
      <w:marLeft w:val="0"/>
      <w:marRight w:val="0"/>
      <w:marTop w:val="0"/>
      <w:marBottom w:val="0"/>
      <w:divBdr>
        <w:top w:val="none" w:sz="0" w:space="0" w:color="auto"/>
        <w:left w:val="none" w:sz="0" w:space="0" w:color="auto"/>
        <w:bottom w:val="none" w:sz="0" w:space="0" w:color="auto"/>
        <w:right w:val="none" w:sz="0" w:space="0" w:color="auto"/>
      </w:divBdr>
    </w:div>
    <w:div w:id="319164479">
      <w:bodyDiv w:val="1"/>
      <w:marLeft w:val="0"/>
      <w:marRight w:val="0"/>
      <w:marTop w:val="0"/>
      <w:marBottom w:val="0"/>
      <w:divBdr>
        <w:top w:val="none" w:sz="0" w:space="0" w:color="auto"/>
        <w:left w:val="none" w:sz="0" w:space="0" w:color="auto"/>
        <w:bottom w:val="none" w:sz="0" w:space="0" w:color="auto"/>
        <w:right w:val="none" w:sz="0" w:space="0" w:color="auto"/>
      </w:divBdr>
    </w:div>
    <w:div w:id="321086695">
      <w:bodyDiv w:val="1"/>
      <w:marLeft w:val="0"/>
      <w:marRight w:val="0"/>
      <w:marTop w:val="0"/>
      <w:marBottom w:val="0"/>
      <w:divBdr>
        <w:top w:val="none" w:sz="0" w:space="0" w:color="auto"/>
        <w:left w:val="none" w:sz="0" w:space="0" w:color="auto"/>
        <w:bottom w:val="none" w:sz="0" w:space="0" w:color="auto"/>
        <w:right w:val="none" w:sz="0" w:space="0" w:color="auto"/>
      </w:divBdr>
    </w:div>
    <w:div w:id="337657713">
      <w:bodyDiv w:val="1"/>
      <w:marLeft w:val="0"/>
      <w:marRight w:val="0"/>
      <w:marTop w:val="0"/>
      <w:marBottom w:val="0"/>
      <w:divBdr>
        <w:top w:val="none" w:sz="0" w:space="0" w:color="auto"/>
        <w:left w:val="none" w:sz="0" w:space="0" w:color="auto"/>
        <w:bottom w:val="none" w:sz="0" w:space="0" w:color="auto"/>
        <w:right w:val="none" w:sz="0" w:space="0" w:color="auto"/>
      </w:divBdr>
    </w:div>
    <w:div w:id="342318971">
      <w:bodyDiv w:val="1"/>
      <w:marLeft w:val="0"/>
      <w:marRight w:val="0"/>
      <w:marTop w:val="0"/>
      <w:marBottom w:val="0"/>
      <w:divBdr>
        <w:top w:val="none" w:sz="0" w:space="0" w:color="auto"/>
        <w:left w:val="none" w:sz="0" w:space="0" w:color="auto"/>
        <w:bottom w:val="none" w:sz="0" w:space="0" w:color="auto"/>
        <w:right w:val="none" w:sz="0" w:space="0" w:color="auto"/>
      </w:divBdr>
    </w:div>
    <w:div w:id="344593809">
      <w:bodyDiv w:val="1"/>
      <w:marLeft w:val="0"/>
      <w:marRight w:val="0"/>
      <w:marTop w:val="0"/>
      <w:marBottom w:val="0"/>
      <w:divBdr>
        <w:top w:val="none" w:sz="0" w:space="0" w:color="auto"/>
        <w:left w:val="none" w:sz="0" w:space="0" w:color="auto"/>
        <w:bottom w:val="none" w:sz="0" w:space="0" w:color="auto"/>
        <w:right w:val="none" w:sz="0" w:space="0" w:color="auto"/>
      </w:divBdr>
    </w:div>
    <w:div w:id="348025091">
      <w:bodyDiv w:val="1"/>
      <w:marLeft w:val="0"/>
      <w:marRight w:val="0"/>
      <w:marTop w:val="0"/>
      <w:marBottom w:val="0"/>
      <w:divBdr>
        <w:top w:val="none" w:sz="0" w:space="0" w:color="auto"/>
        <w:left w:val="none" w:sz="0" w:space="0" w:color="auto"/>
        <w:bottom w:val="none" w:sz="0" w:space="0" w:color="auto"/>
        <w:right w:val="none" w:sz="0" w:space="0" w:color="auto"/>
      </w:divBdr>
    </w:div>
    <w:div w:id="361243793">
      <w:bodyDiv w:val="1"/>
      <w:marLeft w:val="0"/>
      <w:marRight w:val="0"/>
      <w:marTop w:val="0"/>
      <w:marBottom w:val="0"/>
      <w:divBdr>
        <w:top w:val="none" w:sz="0" w:space="0" w:color="auto"/>
        <w:left w:val="none" w:sz="0" w:space="0" w:color="auto"/>
        <w:bottom w:val="none" w:sz="0" w:space="0" w:color="auto"/>
        <w:right w:val="none" w:sz="0" w:space="0" w:color="auto"/>
      </w:divBdr>
    </w:div>
    <w:div w:id="371880900">
      <w:bodyDiv w:val="1"/>
      <w:marLeft w:val="0"/>
      <w:marRight w:val="0"/>
      <w:marTop w:val="0"/>
      <w:marBottom w:val="0"/>
      <w:divBdr>
        <w:top w:val="none" w:sz="0" w:space="0" w:color="auto"/>
        <w:left w:val="none" w:sz="0" w:space="0" w:color="auto"/>
        <w:bottom w:val="none" w:sz="0" w:space="0" w:color="auto"/>
        <w:right w:val="none" w:sz="0" w:space="0" w:color="auto"/>
      </w:divBdr>
    </w:div>
    <w:div w:id="382753968">
      <w:bodyDiv w:val="1"/>
      <w:marLeft w:val="0"/>
      <w:marRight w:val="0"/>
      <w:marTop w:val="0"/>
      <w:marBottom w:val="0"/>
      <w:divBdr>
        <w:top w:val="none" w:sz="0" w:space="0" w:color="auto"/>
        <w:left w:val="none" w:sz="0" w:space="0" w:color="auto"/>
        <w:bottom w:val="none" w:sz="0" w:space="0" w:color="auto"/>
        <w:right w:val="none" w:sz="0" w:space="0" w:color="auto"/>
      </w:divBdr>
    </w:div>
    <w:div w:id="383531434">
      <w:bodyDiv w:val="1"/>
      <w:marLeft w:val="0"/>
      <w:marRight w:val="0"/>
      <w:marTop w:val="0"/>
      <w:marBottom w:val="0"/>
      <w:divBdr>
        <w:top w:val="none" w:sz="0" w:space="0" w:color="auto"/>
        <w:left w:val="none" w:sz="0" w:space="0" w:color="auto"/>
        <w:bottom w:val="none" w:sz="0" w:space="0" w:color="auto"/>
        <w:right w:val="none" w:sz="0" w:space="0" w:color="auto"/>
      </w:divBdr>
    </w:div>
    <w:div w:id="392430442">
      <w:bodyDiv w:val="1"/>
      <w:marLeft w:val="0"/>
      <w:marRight w:val="0"/>
      <w:marTop w:val="0"/>
      <w:marBottom w:val="0"/>
      <w:divBdr>
        <w:top w:val="none" w:sz="0" w:space="0" w:color="auto"/>
        <w:left w:val="none" w:sz="0" w:space="0" w:color="auto"/>
        <w:bottom w:val="none" w:sz="0" w:space="0" w:color="auto"/>
        <w:right w:val="none" w:sz="0" w:space="0" w:color="auto"/>
      </w:divBdr>
    </w:div>
    <w:div w:id="394741258">
      <w:bodyDiv w:val="1"/>
      <w:marLeft w:val="0"/>
      <w:marRight w:val="0"/>
      <w:marTop w:val="0"/>
      <w:marBottom w:val="0"/>
      <w:divBdr>
        <w:top w:val="none" w:sz="0" w:space="0" w:color="auto"/>
        <w:left w:val="none" w:sz="0" w:space="0" w:color="auto"/>
        <w:bottom w:val="none" w:sz="0" w:space="0" w:color="auto"/>
        <w:right w:val="none" w:sz="0" w:space="0" w:color="auto"/>
      </w:divBdr>
    </w:div>
    <w:div w:id="395126761">
      <w:bodyDiv w:val="1"/>
      <w:marLeft w:val="0"/>
      <w:marRight w:val="0"/>
      <w:marTop w:val="0"/>
      <w:marBottom w:val="0"/>
      <w:divBdr>
        <w:top w:val="none" w:sz="0" w:space="0" w:color="auto"/>
        <w:left w:val="none" w:sz="0" w:space="0" w:color="auto"/>
        <w:bottom w:val="none" w:sz="0" w:space="0" w:color="auto"/>
        <w:right w:val="none" w:sz="0" w:space="0" w:color="auto"/>
      </w:divBdr>
    </w:div>
    <w:div w:id="412435348">
      <w:bodyDiv w:val="1"/>
      <w:marLeft w:val="0"/>
      <w:marRight w:val="0"/>
      <w:marTop w:val="0"/>
      <w:marBottom w:val="0"/>
      <w:divBdr>
        <w:top w:val="none" w:sz="0" w:space="0" w:color="auto"/>
        <w:left w:val="none" w:sz="0" w:space="0" w:color="auto"/>
        <w:bottom w:val="none" w:sz="0" w:space="0" w:color="auto"/>
        <w:right w:val="none" w:sz="0" w:space="0" w:color="auto"/>
      </w:divBdr>
    </w:div>
    <w:div w:id="416899442">
      <w:bodyDiv w:val="1"/>
      <w:marLeft w:val="0"/>
      <w:marRight w:val="0"/>
      <w:marTop w:val="0"/>
      <w:marBottom w:val="0"/>
      <w:divBdr>
        <w:top w:val="none" w:sz="0" w:space="0" w:color="auto"/>
        <w:left w:val="none" w:sz="0" w:space="0" w:color="auto"/>
        <w:bottom w:val="none" w:sz="0" w:space="0" w:color="auto"/>
        <w:right w:val="none" w:sz="0" w:space="0" w:color="auto"/>
      </w:divBdr>
    </w:div>
    <w:div w:id="417219689">
      <w:bodyDiv w:val="1"/>
      <w:marLeft w:val="0"/>
      <w:marRight w:val="0"/>
      <w:marTop w:val="0"/>
      <w:marBottom w:val="0"/>
      <w:divBdr>
        <w:top w:val="none" w:sz="0" w:space="0" w:color="auto"/>
        <w:left w:val="none" w:sz="0" w:space="0" w:color="auto"/>
        <w:bottom w:val="none" w:sz="0" w:space="0" w:color="auto"/>
        <w:right w:val="none" w:sz="0" w:space="0" w:color="auto"/>
      </w:divBdr>
    </w:div>
    <w:div w:id="418605768">
      <w:bodyDiv w:val="1"/>
      <w:marLeft w:val="0"/>
      <w:marRight w:val="0"/>
      <w:marTop w:val="0"/>
      <w:marBottom w:val="0"/>
      <w:divBdr>
        <w:top w:val="none" w:sz="0" w:space="0" w:color="auto"/>
        <w:left w:val="none" w:sz="0" w:space="0" w:color="auto"/>
        <w:bottom w:val="none" w:sz="0" w:space="0" w:color="auto"/>
        <w:right w:val="none" w:sz="0" w:space="0" w:color="auto"/>
      </w:divBdr>
    </w:div>
    <w:div w:id="418720832">
      <w:bodyDiv w:val="1"/>
      <w:marLeft w:val="0"/>
      <w:marRight w:val="0"/>
      <w:marTop w:val="0"/>
      <w:marBottom w:val="0"/>
      <w:divBdr>
        <w:top w:val="none" w:sz="0" w:space="0" w:color="auto"/>
        <w:left w:val="none" w:sz="0" w:space="0" w:color="auto"/>
        <w:bottom w:val="none" w:sz="0" w:space="0" w:color="auto"/>
        <w:right w:val="none" w:sz="0" w:space="0" w:color="auto"/>
      </w:divBdr>
    </w:div>
    <w:div w:id="429857749">
      <w:bodyDiv w:val="1"/>
      <w:marLeft w:val="0"/>
      <w:marRight w:val="0"/>
      <w:marTop w:val="0"/>
      <w:marBottom w:val="0"/>
      <w:divBdr>
        <w:top w:val="none" w:sz="0" w:space="0" w:color="auto"/>
        <w:left w:val="none" w:sz="0" w:space="0" w:color="auto"/>
        <w:bottom w:val="none" w:sz="0" w:space="0" w:color="auto"/>
        <w:right w:val="none" w:sz="0" w:space="0" w:color="auto"/>
      </w:divBdr>
    </w:div>
    <w:div w:id="434903604">
      <w:bodyDiv w:val="1"/>
      <w:marLeft w:val="0"/>
      <w:marRight w:val="0"/>
      <w:marTop w:val="0"/>
      <w:marBottom w:val="0"/>
      <w:divBdr>
        <w:top w:val="none" w:sz="0" w:space="0" w:color="auto"/>
        <w:left w:val="none" w:sz="0" w:space="0" w:color="auto"/>
        <w:bottom w:val="none" w:sz="0" w:space="0" w:color="auto"/>
        <w:right w:val="none" w:sz="0" w:space="0" w:color="auto"/>
      </w:divBdr>
    </w:div>
    <w:div w:id="435751173">
      <w:bodyDiv w:val="1"/>
      <w:marLeft w:val="0"/>
      <w:marRight w:val="0"/>
      <w:marTop w:val="0"/>
      <w:marBottom w:val="0"/>
      <w:divBdr>
        <w:top w:val="none" w:sz="0" w:space="0" w:color="auto"/>
        <w:left w:val="none" w:sz="0" w:space="0" w:color="auto"/>
        <w:bottom w:val="none" w:sz="0" w:space="0" w:color="auto"/>
        <w:right w:val="none" w:sz="0" w:space="0" w:color="auto"/>
      </w:divBdr>
    </w:div>
    <w:div w:id="437794574">
      <w:bodyDiv w:val="1"/>
      <w:marLeft w:val="0"/>
      <w:marRight w:val="0"/>
      <w:marTop w:val="0"/>
      <w:marBottom w:val="0"/>
      <w:divBdr>
        <w:top w:val="none" w:sz="0" w:space="0" w:color="auto"/>
        <w:left w:val="none" w:sz="0" w:space="0" w:color="auto"/>
        <w:bottom w:val="none" w:sz="0" w:space="0" w:color="auto"/>
        <w:right w:val="none" w:sz="0" w:space="0" w:color="auto"/>
      </w:divBdr>
    </w:div>
    <w:div w:id="439647107">
      <w:bodyDiv w:val="1"/>
      <w:marLeft w:val="0"/>
      <w:marRight w:val="0"/>
      <w:marTop w:val="0"/>
      <w:marBottom w:val="0"/>
      <w:divBdr>
        <w:top w:val="none" w:sz="0" w:space="0" w:color="auto"/>
        <w:left w:val="none" w:sz="0" w:space="0" w:color="auto"/>
        <w:bottom w:val="none" w:sz="0" w:space="0" w:color="auto"/>
        <w:right w:val="none" w:sz="0" w:space="0" w:color="auto"/>
      </w:divBdr>
    </w:div>
    <w:div w:id="444613946">
      <w:bodyDiv w:val="1"/>
      <w:marLeft w:val="0"/>
      <w:marRight w:val="0"/>
      <w:marTop w:val="0"/>
      <w:marBottom w:val="0"/>
      <w:divBdr>
        <w:top w:val="none" w:sz="0" w:space="0" w:color="auto"/>
        <w:left w:val="none" w:sz="0" w:space="0" w:color="auto"/>
        <w:bottom w:val="none" w:sz="0" w:space="0" w:color="auto"/>
        <w:right w:val="none" w:sz="0" w:space="0" w:color="auto"/>
      </w:divBdr>
    </w:div>
    <w:div w:id="456414030">
      <w:bodyDiv w:val="1"/>
      <w:marLeft w:val="0"/>
      <w:marRight w:val="0"/>
      <w:marTop w:val="0"/>
      <w:marBottom w:val="0"/>
      <w:divBdr>
        <w:top w:val="none" w:sz="0" w:space="0" w:color="auto"/>
        <w:left w:val="none" w:sz="0" w:space="0" w:color="auto"/>
        <w:bottom w:val="none" w:sz="0" w:space="0" w:color="auto"/>
        <w:right w:val="none" w:sz="0" w:space="0" w:color="auto"/>
      </w:divBdr>
    </w:div>
    <w:div w:id="473644437">
      <w:bodyDiv w:val="1"/>
      <w:marLeft w:val="0"/>
      <w:marRight w:val="0"/>
      <w:marTop w:val="0"/>
      <w:marBottom w:val="0"/>
      <w:divBdr>
        <w:top w:val="none" w:sz="0" w:space="0" w:color="auto"/>
        <w:left w:val="none" w:sz="0" w:space="0" w:color="auto"/>
        <w:bottom w:val="none" w:sz="0" w:space="0" w:color="auto"/>
        <w:right w:val="none" w:sz="0" w:space="0" w:color="auto"/>
      </w:divBdr>
    </w:div>
    <w:div w:id="481048465">
      <w:bodyDiv w:val="1"/>
      <w:marLeft w:val="0"/>
      <w:marRight w:val="0"/>
      <w:marTop w:val="0"/>
      <w:marBottom w:val="0"/>
      <w:divBdr>
        <w:top w:val="none" w:sz="0" w:space="0" w:color="auto"/>
        <w:left w:val="none" w:sz="0" w:space="0" w:color="auto"/>
        <w:bottom w:val="none" w:sz="0" w:space="0" w:color="auto"/>
        <w:right w:val="none" w:sz="0" w:space="0" w:color="auto"/>
      </w:divBdr>
      <w:divsChild>
        <w:div w:id="1856335487">
          <w:marLeft w:val="0"/>
          <w:marRight w:val="0"/>
          <w:marTop w:val="0"/>
          <w:marBottom w:val="0"/>
          <w:divBdr>
            <w:top w:val="none" w:sz="0" w:space="0" w:color="auto"/>
            <w:left w:val="none" w:sz="0" w:space="0" w:color="auto"/>
            <w:bottom w:val="none" w:sz="0" w:space="0" w:color="auto"/>
            <w:right w:val="none" w:sz="0" w:space="0" w:color="auto"/>
          </w:divBdr>
        </w:div>
        <w:div w:id="360976576">
          <w:marLeft w:val="0"/>
          <w:marRight w:val="0"/>
          <w:marTop w:val="0"/>
          <w:marBottom w:val="0"/>
          <w:divBdr>
            <w:top w:val="none" w:sz="0" w:space="0" w:color="auto"/>
            <w:left w:val="none" w:sz="0" w:space="0" w:color="auto"/>
            <w:bottom w:val="none" w:sz="0" w:space="0" w:color="auto"/>
            <w:right w:val="none" w:sz="0" w:space="0" w:color="auto"/>
          </w:divBdr>
        </w:div>
      </w:divsChild>
    </w:div>
    <w:div w:id="491796381">
      <w:bodyDiv w:val="1"/>
      <w:marLeft w:val="0"/>
      <w:marRight w:val="0"/>
      <w:marTop w:val="0"/>
      <w:marBottom w:val="0"/>
      <w:divBdr>
        <w:top w:val="none" w:sz="0" w:space="0" w:color="auto"/>
        <w:left w:val="none" w:sz="0" w:space="0" w:color="auto"/>
        <w:bottom w:val="none" w:sz="0" w:space="0" w:color="auto"/>
        <w:right w:val="none" w:sz="0" w:space="0" w:color="auto"/>
      </w:divBdr>
    </w:div>
    <w:div w:id="504243732">
      <w:bodyDiv w:val="1"/>
      <w:marLeft w:val="0"/>
      <w:marRight w:val="0"/>
      <w:marTop w:val="0"/>
      <w:marBottom w:val="0"/>
      <w:divBdr>
        <w:top w:val="none" w:sz="0" w:space="0" w:color="auto"/>
        <w:left w:val="none" w:sz="0" w:space="0" w:color="auto"/>
        <w:bottom w:val="none" w:sz="0" w:space="0" w:color="auto"/>
        <w:right w:val="none" w:sz="0" w:space="0" w:color="auto"/>
      </w:divBdr>
    </w:div>
    <w:div w:id="507139757">
      <w:bodyDiv w:val="1"/>
      <w:marLeft w:val="0"/>
      <w:marRight w:val="0"/>
      <w:marTop w:val="0"/>
      <w:marBottom w:val="0"/>
      <w:divBdr>
        <w:top w:val="none" w:sz="0" w:space="0" w:color="auto"/>
        <w:left w:val="none" w:sz="0" w:space="0" w:color="auto"/>
        <w:bottom w:val="none" w:sz="0" w:space="0" w:color="auto"/>
        <w:right w:val="none" w:sz="0" w:space="0" w:color="auto"/>
      </w:divBdr>
    </w:div>
    <w:div w:id="508839539">
      <w:bodyDiv w:val="1"/>
      <w:marLeft w:val="0"/>
      <w:marRight w:val="0"/>
      <w:marTop w:val="0"/>
      <w:marBottom w:val="0"/>
      <w:divBdr>
        <w:top w:val="none" w:sz="0" w:space="0" w:color="auto"/>
        <w:left w:val="none" w:sz="0" w:space="0" w:color="auto"/>
        <w:bottom w:val="none" w:sz="0" w:space="0" w:color="auto"/>
        <w:right w:val="none" w:sz="0" w:space="0" w:color="auto"/>
      </w:divBdr>
    </w:div>
    <w:div w:id="516117621">
      <w:bodyDiv w:val="1"/>
      <w:marLeft w:val="0"/>
      <w:marRight w:val="0"/>
      <w:marTop w:val="0"/>
      <w:marBottom w:val="0"/>
      <w:divBdr>
        <w:top w:val="none" w:sz="0" w:space="0" w:color="auto"/>
        <w:left w:val="none" w:sz="0" w:space="0" w:color="auto"/>
        <w:bottom w:val="none" w:sz="0" w:space="0" w:color="auto"/>
        <w:right w:val="none" w:sz="0" w:space="0" w:color="auto"/>
      </w:divBdr>
    </w:div>
    <w:div w:id="533344409">
      <w:bodyDiv w:val="1"/>
      <w:marLeft w:val="0"/>
      <w:marRight w:val="0"/>
      <w:marTop w:val="0"/>
      <w:marBottom w:val="0"/>
      <w:divBdr>
        <w:top w:val="none" w:sz="0" w:space="0" w:color="auto"/>
        <w:left w:val="none" w:sz="0" w:space="0" w:color="auto"/>
        <w:bottom w:val="none" w:sz="0" w:space="0" w:color="auto"/>
        <w:right w:val="none" w:sz="0" w:space="0" w:color="auto"/>
      </w:divBdr>
    </w:div>
    <w:div w:id="534389393">
      <w:bodyDiv w:val="1"/>
      <w:marLeft w:val="0"/>
      <w:marRight w:val="0"/>
      <w:marTop w:val="0"/>
      <w:marBottom w:val="0"/>
      <w:divBdr>
        <w:top w:val="none" w:sz="0" w:space="0" w:color="auto"/>
        <w:left w:val="none" w:sz="0" w:space="0" w:color="auto"/>
        <w:bottom w:val="none" w:sz="0" w:space="0" w:color="auto"/>
        <w:right w:val="none" w:sz="0" w:space="0" w:color="auto"/>
      </w:divBdr>
    </w:div>
    <w:div w:id="537358406">
      <w:bodyDiv w:val="1"/>
      <w:marLeft w:val="0"/>
      <w:marRight w:val="0"/>
      <w:marTop w:val="0"/>
      <w:marBottom w:val="0"/>
      <w:divBdr>
        <w:top w:val="none" w:sz="0" w:space="0" w:color="auto"/>
        <w:left w:val="none" w:sz="0" w:space="0" w:color="auto"/>
        <w:bottom w:val="none" w:sz="0" w:space="0" w:color="auto"/>
        <w:right w:val="none" w:sz="0" w:space="0" w:color="auto"/>
      </w:divBdr>
    </w:div>
    <w:div w:id="539361868">
      <w:bodyDiv w:val="1"/>
      <w:marLeft w:val="0"/>
      <w:marRight w:val="0"/>
      <w:marTop w:val="0"/>
      <w:marBottom w:val="0"/>
      <w:divBdr>
        <w:top w:val="none" w:sz="0" w:space="0" w:color="auto"/>
        <w:left w:val="none" w:sz="0" w:space="0" w:color="auto"/>
        <w:bottom w:val="none" w:sz="0" w:space="0" w:color="auto"/>
        <w:right w:val="none" w:sz="0" w:space="0" w:color="auto"/>
      </w:divBdr>
    </w:div>
    <w:div w:id="540291367">
      <w:bodyDiv w:val="1"/>
      <w:marLeft w:val="0"/>
      <w:marRight w:val="0"/>
      <w:marTop w:val="0"/>
      <w:marBottom w:val="0"/>
      <w:divBdr>
        <w:top w:val="none" w:sz="0" w:space="0" w:color="auto"/>
        <w:left w:val="none" w:sz="0" w:space="0" w:color="auto"/>
        <w:bottom w:val="none" w:sz="0" w:space="0" w:color="auto"/>
        <w:right w:val="none" w:sz="0" w:space="0" w:color="auto"/>
      </w:divBdr>
    </w:div>
    <w:div w:id="552079157">
      <w:bodyDiv w:val="1"/>
      <w:marLeft w:val="0"/>
      <w:marRight w:val="0"/>
      <w:marTop w:val="0"/>
      <w:marBottom w:val="0"/>
      <w:divBdr>
        <w:top w:val="none" w:sz="0" w:space="0" w:color="auto"/>
        <w:left w:val="none" w:sz="0" w:space="0" w:color="auto"/>
        <w:bottom w:val="none" w:sz="0" w:space="0" w:color="auto"/>
        <w:right w:val="none" w:sz="0" w:space="0" w:color="auto"/>
      </w:divBdr>
    </w:div>
    <w:div w:id="559290037">
      <w:bodyDiv w:val="1"/>
      <w:marLeft w:val="0"/>
      <w:marRight w:val="0"/>
      <w:marTop w:val="0"/>
      <w:marBottom w:val="0"/>
      <w:divBdr>
        <w:top w:val="none" w:sz="0" w:space="0" w:color="auto"/>
        <w:left w:val="none" w:sz="0" w:space="0" w:color="auto"/>
        <w:bottom w:val="none" w:sz="0" w:space="0" w:color="auto"/>
        <w:right w:val="none" w:sz="0" w:space="0" w:color="auto"/>
      </w:divBdr>
    </w:div>
    <w:div w:id="561520488">
      <w:bodyDiv w:val="1"/>
      <w:marLeft w:val="0"/>
      <w:marRight w:val="0"/>
      <w:marTop w:val="0"/>
      <w:marBottom w:val="0"/>
      <w:divBdr>
        <w:top w:val="none" w:sz="0" w:space="0" w:color="auto"/>
        <w:left w:val="none" w:sz="0" w:space="0" w:color="auto"/>
        <w:bottom w:val="none" w:sz="0" w:space="0" w:color="auto"/>
        <w:right w:val="none" w:sz="0" w:space="0" w:color="auto"/>
      </w:divBdr>
    </w:div>
    <w:div w:id="563759491">
      <w:bodyDiv w:val="1"/>
      <w:marLeft w:val="0"/>
      <w:marRight w:val="0"/>
      <w:marTop w:val="0"/>
      <w:marBottom w:val="0"/>
      <w:divBdr>
        <w:top w:val="none" w:sz="0" w:space="0" w:color="auto"/>
        <w:left w:val="none" w:sz="0" w:space="0" w:color="auto"/>
        <w:bottom w:val="none" w:sz="0" w:space="0" w:color="auto"/>
        <w:right w:val="none" w:sz="0" w:space="0" w:color="auto"/>
      </w:divBdr>
    </w:div>
    <w:div w:id="575091231">
      <w:bodyDiv w:val="1"/>
      <w:marLeft w:val="0"/>
      <w:marRight w:val="0"/>
      <w:marTop w:val="0"/>
      <w:marBottom w:val="0"/>
      <w:divBdr>
        <w:top w:val="none" w:sz="0" w:space="0" w:color="auto"/>
        <w:left w:val="none" w:sz="0" w:space="0" w:color="auto"/>
        <w:bottom w:val="none" w:sz="0" w:space="0" w:color="auto"/>
        <w:right w:val="none" w:sz="0" w:space="0" w:color="auto"/>
      </w:divBdr>
    </w:div>
    <w:div w:id="575406950">
      <w:bodyDiv w:val="1"/>
      <w:marLeft w:val="0"/>
      <w:marRight w:val="0"/>
      <w:marTop w:val="0"/>
      <w:marBottom w:val="0"/>
      <w:divBdr>
        <w:top w:val="none" w:sz="0" w:space="0" w:color="auto"/>
        <w:left w:val="none" w:sz="0" w:space="0" w:color="auto"/>
        <w:bottom w:val="none" w:sz="0" w:space="0" w:color="auto"/>
        <w:right w:val="none" w:sz="0" w:space="0" w:color="auto"/>
      </w:divBdr>
    </w:div>
    <w:div w:id="577639054">
      <w:bodyDiv w:val="1"/>
      <w:marLeft w:val="0"/>
      <w:marRight w:val="0"/>
      <w:marTop w:val="0"/>
      <w:marBottom w:val="0"/>
      <w:divBdr>
        <w:top w:val="none" w:sz="0" w:space="0" w:color="auto"/>
        <w:left w:val="none" w:sz="0" w:space="0" w:color="auto"/>
        <w:bottom w:val="none" w:sz="0" w:space="0" w:color="auto"/>
        <w:right w:val="none" w:sz="0" w:space="0" w:color="auto"/>
      </w:divBdr>
    </w:div>
    <w:div w:id="578104498">
      <w:bodyDiv w:val="1"/>
      <w:marLeft w:val="0"/>
      <w:marRight w:val="0"/>
      <w:marTop w:val="0"/>
      <w:marBottom w:val="0"/>
      <w:divBdr>
        <w:top w:val="none" w:sz="0" w:space="0" w:color="auto"/>
        <w:left w:val="none" w:sz="0" w:space="0" w:color="auto"/>
        <w:bottom w:val="none" w:sz="0" w:space="0" w:color="auto"/>
        <w:right w:val="none" w:sz="0" w:space="0" w:color="auto"/>
      </w:divBdr>
    </w:div>
    <w:div w:id="581108184">
      <w:bodyDiv w:val="1"/>
      <w:marLeft w:val="0"/>
      <w:marRight w:val="0"/>
      <w:marTop w:val="0"/>
      <w:marBottom w:val="0"/>
      <w:divBdr>
        <w:top w:val="none" w:sz="0" w:space="0" w:color="auto"/>
        <w:left w:val="none" w:sz="0" w:space="0" w:color="auto"/>
        <w:bottom w:val="none" w:sz="0" w:space="0" w:color="auto"/>
        <w:right w:val="none" w:sz="0" w:space="0" w:color="auto"/>
      </w:divBdr>
    </w:div>
    <w:div w:id="587622182">
      <w:bodyDiv w:val="1"/>
      <w:marLeft w:val="0"/>
      <w:marRight w:val="0"/>
      <w:marTop w:val="0"/>
      <w:marBottom w:val="0"/>
      <w:divBdr>
        <w:top w:val="none" w:sz="0" w:space="0" w:color="auto"/>
        <w:left w:val="none" w:sz="0" w:space="0" w:color="auto"/>
        <w:bottom w:val="none" w:sz="0" w:space="0" w:color="auto"/>
        <w:right w:val="none" w:sz="0" w:space="0" w:color="auto"/>
      </w:divBdr>
    </w:div>
    <w:div w:id="595132995">
      <w:bodyDiv w:val="1"/>
      <w:marLeft w:val="0"/>
      <w:marRight w:val="0"/>
      <w:marTop w:val="0"/>
      <w:marBottom w:val="0"/>
      <w:divBdr>
        <w:top w:val="none" w:sz="0" w:space="0" w:color="auto"/>
        <w:left w:val="none" w:sz="0" w:space="0" w:color="auto"/>
        <w:bottom w:val="none" w:sz="0" w:space="0" w:color="auto"/>
        <w:right w:val="none" w:sz="0" w:space="0" w:color="auto"/>
      </w:divBdr>
    </w:div>
    <w:div w:id="597640244">
      <w:bodyDiv w:val="1"/>
      <w:marLeft w:val="0"/>
      <w:marRight w:val="0"/>
      <w:marTop w:val="0"/>
      <w:marBottom w:val="0"/>
      <w:divBdr>
        <w:top w:val="none" w:sz="0" w:space="0" w:color="auto"/>
        <w:left w:val="none" w:sz="0" w:space="0" w:color="auto"/>
        <w:bottom w:val="none" w:sz="0" w:space="0" w:color="auto"/>
        <w:right w:val="none" w:sz="0" w:space="0" w:color="auto"/>
      </w:divBdr>
    </w:div>
    <w:div w:id="597981758">
      <w:bodyDiv w:val="1"/>
      <w:marLeft w:val="0"/>
      <w:marRight w:val="0"/>
      <w:marTop w:val="0"/>
      <w:marBottom w:val="0"/>
      <w:divBdr>
        <w:top w:val="none" w:sz="0" w:space="0" w:color="auto"/>
        <w:left w:val="none" w:sz="0" w:space="0" w:color="auto"/>
        <w:bottom w:val="none" w:sz="0" w:space="0" w:color="auto"/>
        <w:right w:val="none" w:sz="0" w:space="0" w:color="auto"/>
      </w:divBdr>
    </w:div>
    <w:div w:id="602611013">
      <w:bodyDiv w:val="1"/>
      <w:marLeft w:val="0"/>
      <w:marRight w:val="0"/>
      <w:marTop w:val="0"/>
      <w:marBottom w:val="0"/>
      <w:divBdr>
        <w:top w:val="none" w:sz="0" w:space="0" w:color="auto"/>
        <w:left w:val="none" w:sz="0" w:space="0" w:color="auto"/>
        <w:bottom w:val="none" w:sz="0" w:space="0" w:color="auto"/>
        <w:right w:val="none" w:sz="0" w:space="0" w:color="auto"/>
      </w:divBdr>
    </w:div>
    <w:div w:id="607389268">
      <w:bodyDiv w:val="1"/>
      <w:marLeft w:val="0"/>
      <w:marRight w:val="0"/>
      <w:marTop w:val="0"/>
      <w:marBottom w:val="0"/>
      <w:divBdr>
        <w:top w:val="none" w:sz="0" w:space="0" w:color="auto"/>
        <w:left w:val="none" w:sz="0" w:space="0" w:color="auto"/>
        <w:bottom w:val="none" w:sz="0" w:space="0" w:color="auto"/>
        <w:right w:val="none" w:sz="0" w:space="0" w:color="auto"/>
      </w:divBdr>
    </w:div>
    <w:div w:id="609748122">
      <w:bodyDiv w:val="1"/>
      <w:marLeft w:val="0"/>
      <w:marRight w:val="0"/>
      <w:marTop w:val="0"/>
      <w:marBottom w:val="0"/>
      <w:divBdr>
        <w:top w:val="none" w:sz="0" w:space="0" w:color="auto"/>
        <w:left w:val="none" w:sz="0" w:space="0" w:color="auto"/>
        <w:bottom w:val="none" w:sz="0" w:space="0" w:color="auto"/>
        <w:right w:val="none" w:sz="0" w:space="0" w:color="auto"/>
      </w:divBdr>
    </w:div>
    <w:div w:id="612176424">
      <w:bodyDiv w:val="1"/>
      <w:marLeft w:val="0"/>
      <w:marRight w:val="0"/>
      <w:marTop w:val="0"/>
      <w:marBottom w:val="0"/>
      <w:divBdr>
        <w:top w:val="none" w:sz="0" w:space="0" w:color="auto"/>
        <w:left w:val="none" w:sz="0" w:space="0" w:color="auto"/>
        <w:bottom w:val="none" w:sz="0" w:space="0" w:color="auto"/>
        <w:right w:val="none" w:sz="0" w:space="0" w:color="auto"/>
      </w:divBdr>
    </w:div>
    <w:div w:id="614020602">
      <w:bodyDiv w:val="1"/>
      <w:marLeft w:val="0"/>
      <w:marRight w:val="0"/>
      <w:marTop w:val="0"/>
      <w:marBottom w:val="0"/>
      <w:divBdr>
        <w:top w:val="none" w:sz="0" w:space="0" w:color="auto"/>
        <w:left w:val="none" w:sz="0" w:space="0" w:color="auto"/>
        <w:bottom w:val="none" w:sz="0" w:space="0" w:color="auto"/>
        <w:right w:val="none" w:sz="0" w:space="0" w:color="auto"/>
      </w:divBdr>
    </w:div>
    <w:div w:id="614287265">
      <w:bodyDiv w:val="1"/>
      <w:marLeft w:val="0"/>
      <w:marRight w:val="0"/>
      <w:marTop w:val="0"/>
      <w:marBottom w:val="0"/>
      <w:divBdr>
        <w:top w:val="none" w:sz="0" w:space="0" w:color="auto"/>
        <w:left w:val="none" w:sz="0" w:space="0" w:color="auto"/>
        <w:bottom w:val="none" w:sz="0" w:space="0" w:color="auto"/>
        <w:right w:val="none" w:sz="0" w:space="0" w:color="auto"/>
      </w:divBdr>
    </w:div>
    <w:div w:id="620846413">
      <w:bodyDiv w:val="1"/>
      <w:marLeft w:val="0"/>
      <w:marRight w:val="0"/>
      <w:marTop w:val="0"/>
      <w:marBottom w:val="0"/>
      <w:divBdr>
        <w:top w:val="none" w:sz="0" w:space="0" w:color="auto"/>
        <w:left w:val="none" w:sz="0" w:space="0" w:color="auto"/>
        <w:bottom w:val="none" w:sz="0" w:space="0" w:color="auto"/>
        <w:right w:val="none" w:sz="0" w:space="0" w:color="auto"/>
      </w:divBdr>
    </w:div>
    <w:div w:id="622152737">
      <w:bodyDiv w:val="1"/>
      <w:marLeft w:val="0"/>
      <w:marRight w:val="0"/>
      <w:marTop w:val="0"/>
      <w:marBottom w:val="0"/>
      <w:divBdr>
        <w:top w:val="none" w:sz="0" w:space="0" w:color="auto"/>
        <w:left w:val="none" w:sz="0" w:space="0" w:color="auto"/>
        <w:bottom w:val="none" w:sz="0" w:space="0" w:color="auto"/>
        <w:right w:val="none" w:sz="0" w:space="0" w:color="auto"/>
      </w:divBdr>
    </w:div>
    <w:div w:id="629285570">
      <w:bodyDiv w:val="1"/>
      <w:marLeft w:val="0"/>
      <w:marRight w:val="0"/>
      <w:marTop w:val="0"/>
      <w:marBottom w:val="0"/>
      <w:divBdr>
        <w:top w:val="none" w:sz="0" w:space="0" w:color="auto"/>
        <w:left w:val="none" w:sz="0" w:space="0" w:color="auto"/>
        <w:bottom w:val="none" w:sz="0" w:space="0" w:color="auto"/>
        <w:right w:val="none" w:sz="0" w:space="0" w:color="auto"/>
      </w:divBdr>
    </w:div>
    <w:div w:id="629436030">
      <w:bodyDiv w:val="1"/>
      <w:marLeft w:val="0"/>
      <w:marRight w:val="0"/>
      <w:marTop w:val="0"/>
      <w:marBottom w:val="0"/>
      <w:divBdr>
        <w:top w:val="none" w:sz="0" w:space="0" w:color="auto"/>
        <w:left w:val="none" w:sz="0" w:space="0" w:color="auto"/>
        <w:bottom w:val="none" w:sz="0" w:space="0" w:color="auto"/>
        <w:right w:val="none" w:sz="0" w:space="0" w:color="auto"/>
      </w:divBdr>
    </w:div>
    <w:div w:id="630984844">
      <w:bodyDiv w:val="1"/>
      <w:marLeft w:val="0"/>
      <w:marRight w:val="0"/>
      <w:marTop w:val="0"/>
      <w:marBottom w:val="0"/>
      <w:divBdr>
        <w:top w:val="none" w:sz="0" w:space="0" w:color="auto"/>
        <w:left w:val="none" w:sz="0" w:space="0" w:color="auto"/>
        <w:bottom w:val="none" w:sz="0" w:space="0" w:color="auto"/>
        <w:right w:val="none" w:sz="0" w:space="0" w:color="auto"/>
      </w:divBdr>
    </w:div>
    <w:div w:id="650521970">
      <w:bodyDiv w:val="1"/>
      <w:marLeft w:val="0"/>
      <w:marRight w:val="0"/>
      <w:marTop w:val="0"/>
      <w:marBottom w:val="0"/>
      <w:divBdr>
        <w:top w:val="none" w:sz="0" w:space="0" w:color="auto"/>
        <w:left w:val="none" w:sz="0" w:space="0" w:color="auto"/>
        <w:bottom w:val="none" w:sz="0" w:space="0" w:color="auto"/>
        <w:right w:val="none" w:sz="0" w:space="0" w:color="auto"/>
      </w:divBdr>
    </w:div>
    <w:div w:id="653605662">
      <w:bodyDiv w:val="1"/>
      <w:marLeft w:val="0"/>
      <w:marRight w:val="0"/>
      <w:marTop w:val="0"/>
      <w:marBottom w:val="0"/>
      <w:divBdr>
        <w:top w:val="none" w:sz="0" w:space="0" w:color="auto"/>
        <w:left w:val="none" w:sz="0" w:space="0" w:color="auto"/>
        <w:bottom w:val="none" w:sz="0" w:space="0" w:color="auto"/>
        <w:right w:val="none" w:sz="0" w:space="0" w:color="auto"/>
      </w:divBdr>
    </w:div>
    <w:div w:id="662512233">
      <w:bodyDiv w:val="1"/>
      <w:marLeft w:val="0"/>
      <w:marRight w:val="0"/>
      <w:marTop w:val="0"/>
      <w:marBottom w:val="0"/>
      <w:divBdr>
        <w:top w:val="none" w:sz="0" w:space="0" w:color="auto"/>
        <w:left w:val="none" w:sz="0" w:space="0" w:color="auto"/>
        <w:bottom w:val="none" w:sz="0" w:space="0" w:color="auto"/>
        <w:right w:val="none" w:sz="0" w:space="0" w:color="auto"/>
      </w:divBdr>
    </w:div>
    <w:div w:id="665330444">
      <w:bodyDiv w:val="1"/>
      <w:marLeft w:val="0"/>
      <w:marRight w:val="0"/>
      <w:marTop w:val="0"/>
      <w:marBottom w:val="0"/>
      <w:divBdr>
        <w:top w:val="none" w:sz="0" w:space="0" w:color="auto"/>
        <w:left w:val="none" w:sz="0" w:space="0" w:color="auto"/>
        <w:bottom w:val="none" w:sz="0" w:space="0" w:color="auto"/>
        <w:right w:val="none" w:sz="0" w:space="0" w:color="auto"/>
      </w:divBdr>
    </w:div>
    <w:div w:id="673338061">
      <w:bodyDiv w:val="1"/>
      <w:marLeft w:val="0"/>
      <w:marRight w:val="0"/>
      <w:marTop w:val="0"/>
      <w:marBottom w:val="0"/>
      <w:divBdr>
        <w:top w:val="none" w:sz="0" w:space="0" w:color="auto"/>
        <w:left w:val="none" w:sz="0" w:space="0" w:color="auto"/>
        <w:bottom w:val="none" w:sz="0" w:space="0" w:color="auto"/>
        <w:right w:val="none" w:sz="0" w:space="0" w:color="auto"/>
      </w:divBdr>
    </w:div>
    <w:div w:id="687633429">
      <w:bodyDiv w:val="1"/>
      <w:marLeft w:val="0"/>
      <w:marRight w:val="0"/>
      <w:marTop w:val="0"/>
      <w:marBottom w:val="0"/>
      <w:divBdr>
        <w:top w:val="none" w:sz="0" w:space="0" w:color="auto"/>
        <w:left w:val="none" w:sz="0" w:space="0" w:color="auto"/>
        <w:bottom w:val="none" w:sz="0" w:space="0" w:color="auto"/>
        <w:right w:val="none" w:sz="0" w:space="0" w:color="auto"/>
      </w:divBdr>
    </w:div>
    <w:div w:id="688682571">
      <w:bodyDiv w:val="1"/>
      <w:marLeft w:val="0"/>
      <w:marRight w:val="0"/>
      <w:marTop w:val="0"/>
      <w:marBottom w:val="0"/>
      <w:divBdr>
        <w:top w:val="none" w:sz="0" w:space="0" w:color="auto"/>
        <w:left w:val="none" w:sz="0" w:space="0" w:color="auto"/>
        <w:bottom w:val="none" w:sz="0" w:space="0" w:color="auto"/>
        <w:right w:val="none" w:sz="0" w:space="0" w:color="auto"/>
      </w:divBdr>
    </w:div>
    <w:div w:id="701784739">
      <w:bodyDiv w:val="1"/>
      <w:marLeft w:val="0"/>
      <w:marRight w:val="0"/>
      <w:marTop w:val="0"/>
      <w:marBottom w:val="0"/>
      <w:divBdr>
        <w:top w:val="none" w:sz="0" w:space="0" w:color="auto"/>
        <w:left w:val="none" w:sz="0" w:space="0" w:color="auto"/>
        <w:bottom w:val="none" w:sz="0" w:space="0" w:color="auto"/>
        <w:right w:val="none" w:sz="0" w:space="0" w:color="auto"/>
      </w:divBdr>
    </w:div>
    <w:div w:id="707534027">
      <w:bodyDiv w:val="1"/>
      <w:marLeft w:val="0"/>
      <w:marRight w:val="0"/>
      <w:marTop w:val="0"/>
      <w:marBottom w:val="0"/>
      <w:divBdr>
        <w:top w:val="none" w:sz="0" w:space="0" w:color="auto"/>
        <w:left w:val="none" w:sz="0" w:space="0" w:color="auto"/>
        <w:bottom w:val="none" w:sz="0" w:space="0" w:color="auto"/>
        <w:right w:val="none" w:sz="0" w:space="0" w:color="auto"/>
      </w:divBdr>
    </w:div>
    <w:div w:id="738752747">
      <w:bodyDiv w:val="1"/>
      <w:marLeft w:val="0"/>
      <w:marRight w:val="0"/>
      <w:marTop w:val="0"/>
      <w:marBottom w:val="0"/>
      <w:divBdr>
        <w:top w:val="none" w:sz="0" w:space="0" w:color="auto"/>
        <w:left w:val="none" w:sz="0" w:space="0" w:color="auto"/>
        <w:bottom w:val="none" w:sz="0" w:space="0" w:color="auto"/>
        <w:right w:val="none" w:sz="0" w:space="0" w:color="auto"/>
      </w:divBdr>
    </w:div>
    <w:div w:id="746340832">
      <w:bodyDiv w:val="1"/>
      <w:marLeft w:val="0"/>
      <w:marRight w:val="0"/>
      <w:marTop w:val="0"/>
      <w:marBottom w:val="0"/>
      <w:divBdr>
        <w:top w:val="none" w:sz="0" w:space="0" w:color="auto"/>
        <w:left w:val="none" w:sz="0" w:space="0" w:color="auto"/>
        <w:bottom w:val="none" w:sz="0" w:space="0" w:color="auto"/>
        <w:right w:val="none" w:sz="0" w:space="0" w:color="auto"/>
      </w:divBdr>
    </w:div>
    <w:div w:id="750395372">
      <w:bodyDiv w:val="1"/>
      <w:marLeft w:val="0"/>
      <w:marRight w:val="0"/>
      <w:marTop w:val="0"/>
      <w:marBottom w:val="0"/>
      <w:divBdr>
        <w:top w:val="none" w:sz="0" w:space="0" w:color="auto"/>
        <w:left w:val="none" w:sz="0" w:space="0" w:color="auto"/>
        <w:bottom w:val="none" w:sz="0" w:space="0" w:color="auto"/>
        <w:right w:val="none" w:sz="0" w:space="0" w:color="auto"/>
      </w:divBdr>
    </w:div>
    <w:div w:id="752894882">
      <w:bodyDiv w:val="1"/>
      <w:marLeft w:val="0"/>
      <w:marRight w:val="0"/>
      <w:marTop w:val="0"/>
      <w:marBottom w:val="0"/>
      <w:divBdr>
        <w:top w:val="none" w:sz="0" w:space="0" w:color="auto"/>
        <w:left w:val="none" w:sz="0" w:space="0" w:color="auto"/>
        <w:bottom w:val="none" w:sz="0" w:space="0" w:color="auto"/>
        <w:right w:val="none" w:sz="0" w:space="0" w:color="auto"/>
      </w:divBdr>
    </w:div>
    <w:div w:id="758603363">
      <w:bodyDiv w:val="1"/>
      <w:marLeft w:val="0"/>
      <w:marRight w:val="0"/>
      <w:marTop w:val="0"/>
      <w:marBottom w:val="0"/>
      <w:divBdr>
        <w:top w:val="none" w:sz="0" w:space="0" w:color="auto"/>
        <w:left w:val="none" w:sz="0" w:space="0" w:color="auto"/>
        <w:bottom w:val="none" w:sz="0" w:space="0" w:color="auto"/>
        <w:right w:val="none" w:sz="0" w:space="0" w:color="auto"/>
      </w:divBdr>
    </w:div>
    <w:div w:id="766001645">
      <w:bodyDiv w:val="1"/>
      <w:marLeft w:val="0"/>
      <w:marRight w:val="0"/>
      <w:marTop w:val="0"/>
      <w:marBottom w:val="0"/>
      <w:divBdr>
        <w:top w:val="none" w:sz="0" w:space="0" w:color="auto"/>
        <w:left w:val="none" w:sz="0" w:space="0" w:color="auto"/>
        <w:bottom w:val="none" w:sz="0" w:space="0" w:color="auto"/>
        <w:right w:val="none" w:sz="0" w:space="0" w:color="auto"/>
      </w:divBdr>
    </w:div>
    <w:div w:id="770248521">
      <w:bodyDiv w:val="1"/>
      <w:marLeft w:val="0"/>
      <w:marRight w:val="0"/>
      <w:marTop w:val="0"/>
      <w:marBottom w:val="0"/>
      <w:divBdr>
        <w:top w:val="none" w:sz="0" w:space="0" w:color="auto"/>
        <w:left w:val="none" w:sz="0" w:space="0" w:color="auto"/>
        <w:bottom w:val="none" w:sz="0" w:space="0" w:color="auto"/>
        <w:right w:val="none" w:sz="0" w:space="0" w:color="auto"/>
      </w:divBdr>
    </w:div>
    <w:div w:id="780105083">
      <w:bodyDiv w:val="1"/>
      <w:marLeft w:val="0"/>
      <w:marRight w:val="0"/>
      <w:marTop w:val="0"/>
      <w:marBottom w:val="0"/>
      <w:divBdr>
        <w:top w:val="none" w:sz="0" w:space="0" w:color="auto"/>
        <w:left w:val="none" w:sz="0" w:space="0" w:color="auto"/>
        <w:bottom w:val="none" w:sz="0" w:space="0" w:color="auto"/>
        <w:right w:val="none" w:sz="0" w:space="0" w:color="auto"/>
      </w:divBdr>
    </w:div>
    <w:div w:id="783110025">
      <w:bodyDiv w:val="1"/>
      <w:marLeft w:val="0"/>
      <w:marRight w:val="0"/>
      <w:marTop w:val="0"/>
      <w:marBottom w:val="0"/>
      <w:divBdr>
        <w:top w:val="none" w:sz="0" w:space="0" w:color="auto"/>
        <w:left w:val="none" w:sz="0" w:space="0" w:color="auto"/>
        <w:bottom w:val="none" w:sz="0" w:space="0" w:color="auto"/>
        <w:right w:val="none" w:sz="0" w:space="0" w:color="auto"/>
      </w:divBdr>
    </w:div>
    <w:div w:id="786705591">
      <w:bodyDiv w:val="1"/>
      <w:marLeft w:val="0"/>
      <w:marRight w:val="0"/>
      <w:marTop w:val="0"/>
      <w:marBottom w:val="0"/>
      <w:divBdr>
        <w:top w:val="none" w:sz="0" w:space="0" w:color="auto"/>
        <w:left w:val="none" w:sz="0" w:space="0" w:color="auto"/>
        <w:bottom w:val="none" w:sz="0" w:space="0" w:color="auto"/>
        <w:right w:val="none" w:sz="0" w:space="0" w:color="auto"/>
      </w:divBdr>
    </w:div>
    <w:div w:id="787506722">
      <w:bodyDiv w:val="1"/>
      <w:marLeft w:val="0"/>
      <w:marRight w:val="0"/>
      <w:marTop w:val="0"/>
      <w:marBottom w:val="0"/>
      <w:divBdr>
        <w:top w:val="none" w:sz="0" w:space="0" w:color="auto"/>
        <w:left w:val="none" w:sz="0" w:space="0" w:color="auto"/>
        <w:bottom w:val="none" w:sz="0" w:space="0" w:color="auto"/>
        <w:right w:val="none" w:sz="0" w:space="0" w:color="auto"/>
      </w:divBdr>
    </w:div>
    <w:div w:id="791486425">
      <w:bodyDiv w:val="1"/>
      <w:marLeft w:val="0"/>
      <w:marRight w:val="0"/>
      <w:marTop w:val="0"/>
      <w:marBottom w:val="0"/>
      <w:divBdr>
        <w:top w:val="none" w:sz="0" w:space="0" w:color="auto"/>
        <w:left w:val="none" w:sz="0" w:space="0" w:color="auto"/>
        <w:bottom w:val="none" w:sz="0" w:space="0" w:color="auto"/>
        <w:right w:val="none" w:sz="0" w:space="0" w:color="auto"/>
      </w:divBdr>
    </w:div>
    <w:div w:id="799037309">
      <w:bodyDiv w:val="1"/>
      <w:marLeft w:val="0"/>
      <w:marRight w:val="0"/>
      <w:marTop w:val="0"/>
      <w:marBottom w:val="0"/>
      <w:divBdr>
        <w:top w:val="none" w:sz="0" w:space="0" w:color="auto"/>
        <w:left w:val="none" w:sz="0" w:space="0" w:color="auto"/>
        <w:bottom w:val="none" w:sz="0" w:space="0" w:color="auto"/>
        <w:right w:val="none" w:sz="0" w:space="0" w:color="auto"/>
      </w:divBdr>
    </w:div>
    <w:div w:id="804465719">
      <w:bodyDiv w:val="1"/>
      <w:marLeft w:val="0"/>
      <w:marRight w:val="0"/>
      <w:marTop w:val="0"/>
      <w:marBottom w:val="0"/>
      <w:divBdr>
        <w:top w:val="none" w:sz="0" w:space="0" w:color="auto"/>
        <w:left w:val="none" w:sz="0" w:space="0" w:color="auto"/>
        <w:bottom w:val="none" w:sz="0" w:space="0" w:color="auto"/>
        <w:right w:val="none" w:sz="0" w:space="0" w:color="auto"/>
      </w:divBdr>
    </w:div>
    <w:div w:id="807403892">
      <w:bodyDiv w:val="1"/>
      <w:marLeft w:val="0"/>
      <w:marRight w:val="0"/>
      <w:marTop w:val="0"/>
      <w:marBottom w:val="0"/>
      <w:divBdr>
        <w:top w:val="none" w:sz="0" w:space="0" w:color="auto"/>
        <w:left w:val="none" w:sz="0" w:space="0" w:color="auto"/>
        <w:bottom w:val="none" w:sz="0" w:space="0" w:color="auto"/>
        <w:right w:val="none" w:sz="0" w:space="0" w:color="auto"/>
      </w:divBdr>
    </w:div>
    <w:div w:id="810025630">
      <w:bodyDiv w:val="1"/>
      <w:marLeft w:val="0"/>
      <w:marRight w:val="0"/>
      <w:marTop w:val="0"/>
      <w:marBottom w:val="0"/>
      <w:divBdr>
        <w:top w:val="none" w:sz="0" w:space="0" w:color="auto"/>
        <w:left w:val="none" w:sz="0" w:space="0" w:color="auto"/>
        <w:bottom w:val="none" w:sz="0" w:space="0" w:color="auto"/>
        <w:right w:val="none" w:sz="0" w:space="0" w:color="auto"/>
      </w:divBdr>
    </w:div>
    <w:div w:id="814881266">
      <w:bodyDiv w:val="1"/>
      <w:marLeft w:val="0"/>
      <w:marRight w:val="0"/>
      <w:marTop w:val="0"/>
      <w:marBottom w:val="0"/>
      <w:divBdr>
        <w:top w:val="none" w:sz="0" w:space="0" w:color="auto"/>
        <w:left w:val="none" w:sz="0" w:space="0" w:color="auto"/>
        <w:bottom w:val="none" w:sz="0" w:space="0" w:color="auto"/>
        <w:right w:val="none" w:sz="0" w:space="0" w:color="auto"/>
      </w:divBdr>
    </w:div>
    <w:div w:id="821969473">
      <w:bodyDiv w:val="1"/>
      <w:marLeft w:val="0"/>
      <w:marRight w:val="0"/>
      <w:marTop w:val="0"/>
      <w:marBottom w:val="0"/>
      <w:divBdr>
        <w:top w:val="none" w:sz="0" w:space="0" w:color="auto"/>
        <w:left w:val="none" w:sz="0" w:space="0" w:color="auto"/>
        <w:bottom w:val="none" w:sz="0" w:space="0" w:color="auto"/>
        <w:right w:val="none" w:sz="0" w:space="0" w:color="auto"/>
      </w:divBdr>
    </w:div>
    <w:div w:id="826046161">
      <w:bodyDiv w:val="1"/>
      <w:marLeft w:val="0"/>
      <w:marRight w:val="0"/>
      <w:marTop w:val="0"/>
      <w:marBottom w:val="0"/>
      <w:divBdr>
        <w:top w:val="none" w:sz="0" w:space="0" w:color="auto"/>
        <w:left w:val="none" w:sz="0" w:space="0" w:color="auto"/>
        <w:bottom w:val="none" w:sz="0" w:space="0" w:color="auto"/>
        <w:right w:val="none" w:sz="0" w:space="0" w:color="auto"/>
      </w:divBdr>
    </w:div>
    <w:div w:id="830676682">
      <w:bodyDiv w:val="1"/>
      <w:marLeft w:val="0"/>
      <w:marRight w:val="0"/>
      <w:marTop w:val="0"/>
      <w:marBottom w:val="0"/>
      <w:divBdr>
        <w:top w:val="none" w:sz="0" w:space="0" w:color="auto"/>
        <w:left w:val="none" w:sz="0" w:space="0" w:color="auto"/>
        <w:bottom w:val="none" w:sz="0" w:space="0" w:color="auto"/>
        <w:right w:val="none" w:sz="0" w:space="0" w:color="auto"/>
      </w:divBdr>
      <w:divsChild>
        <w:div w:id="292366073">
          <w:marLeft w:val="0"/>
          <w:marRight w:val="0"/>
          <w:marTop w:val="0"/>
          <w:marBottom w:val="0"/>
          <w:divBdr>
            <w:top w:val="none" w:sz="0" w:space="0" w:color="auto"/>
            <w:left w:val="none" w:sz="0" w:space="0" w:color="auto"/>
            <w:bottom w:val="none" w:sz="0" w:space="0" w:color="auto"/>
            <w:right w:val="none" w:sz="0" w:space="0" w:color="auto"/>
          </w:divBdr>
        </w:div>
        <w:div w:id="903564936">
          <w:marLeft w:val="0"/>
          <w:marRight w:val="0"/>
          <w:marTop w:val="0"/>
          <w:marBottom w:val="0"/>
          <w:divBdr>
            <w:top w:val="none" w:sz="0" w:space="0" w:color="auto"/>
            <w:left w:val="none" w:sz="0" w:space="0" w:color="auto"/>
            <w:bottom w:val="none" w:sz="0" w:space="0" w:color="auto"/>
            <w:right w:val="none" w:sz="0" w:space="0" w:color="auto"/>
          </w:divBdr>
        </w:div>
      </w:divsChild>
    </w:div>
    <w:div w:id="830869745">
      <w:bodyDiv w:val="1"/>
      <w:marLeft w:val="0"/>
      <w:marRight w:val="0"/>
      <w:marTop w:val="0"/>
      <w:marBottom w:val="0"/>
      <w:divBdr>
        <w:top w:val="none" w:sz="0" w:space="0" w:color="auto"/>
        <w:left w:val="none" w:sz="0" w:space="0" w:color="auto"/>
        <w:bottom w:val="none" w:sz="0" w:space="0" w:color="auto"/>
        <w:right w:val="none" w:sz="0" w:space="0" w:color="auto"/>
      </w:divBdr>
    </w:div>
    <w:div w:id="847989932">
      <w:bodyDiv w:val="1"/>
      <w:marLeft w:val="0"/>
      <w:marRight w:val="0"/>
      <w:marTop w:val="0"/>
      <w:marBottom w:val="0"/>
      <w:divBdr>
        <w:top w:val="none" w:sz="0" w:space="0" w:color="auto"/>
        <w:left w:val="none" w:sz="0" w:space="0" w:color="auto"/>
        <w:bottom w:val="none" w:sz="0" w:space="0" w:color="auto"/>
        <w:right w:val="none" w:sz="0" w:space="0" w:color="auto"/>
      </w:divBdr>
    </w:div>
    <w:div w:id="849292343">
      <w:bodyDiv w:val="1"/>
      <w:marLeft w:val="0"/>
      <w:marRight w:val="0"/>
      <w:marTop w:val="0"/>
      <w:marBottom w:val="0"/>
      <w:divBdr>
        <w:top w:val="none" w:sz="0" w:space="0" w:color="auto"/>
        <w:left w:val="none" w:sz="0" w:space="0" w:color="auto"/>
        <w:bottom w:val="none" w:sz="0" w:space="0" w:color="auto"/>
        <w:right w:val="none" w:sz="0" w:space="0" w:color="auto"/>
      </w:divBdr>
    </w:div>
    <w:div w:id="858742176">
      <w:bodyDiv w:val="1"/>
      <w:marLeft w:val="0"/>
      <w:marRight w:val="0"/>
      <w:marTop w:val="0"/>
      <w:marBottom w:val="0"/>
      <w:divBdr>
        <w:top w:val="none" w:sz="0" w:space="0" w:color="auto"/>
        <w:left w:val="none" w:sz="0" w:space="0" w:color="auto"/>
        <w:bottom w:val="none" w:sz="0" w:space="0" w:color="auto"/>
        <w:right w:val="none" w:sz="0" w:space="0" w:color="auto"/>
      </w:divBdr>
    </w:div>
    <w:div w:id="860507881">
      <w:bodyDiv w:val="1"/>
      <w:marLeft w:val="0"/>
      <w:marRight w:val="0"/>
      <w:marTop w:val="0"/>
      <w:marBottom w:val="0"/>
      <w:divBdr>
        <w:top w:val="none" w:sz="0" w:space="0" w:color="auto"/>
        <w:left w:val="none" w:sz="0" w:space="0" w:color="auto"/>
        <w:bottom w:val="none" w:sz="0" w:space="0" w:color="auto"/>
        <w:right w:val="none" w:sz="0" w:space="0" w:color="auto"/>
      </w:divBdr>
    </w:div>
    <w:div w:id="875313393">
      <w:bodyDiv w:val="1"/>
      <w:marLeft w:val="0"/>
      <w:marRight w:val="0"/>
      <w:marTop w:val="0"/>
      <w:marBottom w:val="0"/>
      <w:divBdr>
        <w:top w:val="none" w:sz="0" w:space="0" w:color="auto"/>
        <w:left w:val="none" w:sz="0" w:space="0" w:color="auto"/>
        <w:bottom w:val="none" w:sz="0" w:space="0" w:color="auto"/>
        <w:right w:val="none" w:sz="0" w:space="0" w:color="auto"/>
      </w:divBdr>
    </w:div>
    <w:div w:id="878591363">
      <w:bodyDiv w:val="1"/>
      <w:marLeft w:val="0"/>
      <w:marRight w:val="0"/>
      <w:marTop w:val="0"/>
      <w:marBottom w:val="0"/>
      <w:divBdr>
        <w:top w:val="none" w:sz="0" w:space="0" w:color="auto"/>
        <w:left w:val="none" w:sz="0" w:space="0" w:color="auto"/>
        <w:bottom w:val="none" w:sz="0" w:space="0" w:color="auto"/>
        <w:right w:val="none" w:sz="0" w:space="0" w:color="auto"/>
      </w:divBdr>
    </w:div>
    <w:div w:id="891117831">
      <w:bodyDiv w:val="1"/>
      <w:marLeft w:val="0"/>
      <w:marRight w:val="0"/>
      <w:marTop w:val="0"/>
      <w:marBottom w:val="0"/>
      <w:divBdr>
        <w:top w:val="none" w:sz="0" w:space="0" w:color="auto"/>
        <w:left w:val="none" w:sz="0" w:space="0" w:color="auto"/>
        <w:bottom w:val="none" w:sz="0" w:space="0" w:color="auto"/>
        <w:right w:val="none" w:sz="0" w:space="0" w:color="auto"/>
      </w:divBdr>
    </w:div>
    <w:div w:id="892892496">
      <w:bodyDiv w:val="1"/>
      <w:marLeft w:val="0"/>
      <w:marRight w:val="0"/>
      <w:marTop w:val="0"/>
      <w:marBottom w:val="0"/>
      <w:divBdr>
        <w:top w:val="none" w:sz="0" w:space="0" w:color="auto"/>
        <w:left w:val="none" w:sz="0" w:space="0" w:color="auto"/>
        <w:bottom w:val="none" w:sz="0" w:space="0" w:color="auto"/>
        <w:right w:val="none" w:sz="0" w:space="0" w:color="auto"/>
      </w:divBdr>
    </w:div>
    <w:div w:id="892934371">
      <w:bodyDiv w:val="1"/>
      <w:marLeft w:val="0"/>
      <w:marRight w:val="0"/>
      <w:marTop w:val="0"/>
      <w:marBottom w:val="0"/>
      <w:divBdr>
        <w:top w:val="none" w:sz="0" w:space="0" w:color="auto"/>
        <w:left w:val="none" w:sz="0" w:space="0" w:color="auto"/>
        <w:bottom w:val="none" w:sz="0" w:space="0" w:color="auto"/>
        <w:right w:val="none" w:sz="0" w:space="0" w:color="auto"/>
      </w:divBdr>
    </w:div>
    <w:div w:id="895359742">
      <w:bodyDiv w:val="1"/>
      <w:marLeft w:val="0"/>
      <w:marRight w:val="0"/>
      <w:marTop w:val="0"/>
      <w:marBottom w:val="0"/>
      <w:divBdr>
        <w:top w:val="none" w:sz="0" w:space="0" w:color="auto"/>
        <w:left w:val="none" w:sz="0" w:space="0" w:color="auto"/>
        <w:bottom w:val="none" w:sz="0" w:space="0" w:color="auto"/>
        <w:right w:val="none" w:sz="0" w:space="0" w:color="auto"/>
      </w:divBdr>
    </w:div>
    <w:div w:id="898396531">
      <w:bodyDiv w:val="1"/>
      <w:marLeft w:val="0"/>
      <w:marRight w:val="0"/>
      <w:marTop w:val="0"/>
      <w:marBottom w:val="0"/>
      <w:divBdr>
        <w:top w:val="none" w:sz="0" w:space="0" w:color="auto"/>
        <w:left w:val="none" w:sz="0" w:space="0" w:color="auto"/>
        <w:bottom w:val="none" w:sz="0" w:space="0" w:color="auto"/>
        <w:right w:val="none" w:sz="0" w:space="0" w:color="auto"/>
      </w:divBdr>
    </w:div>
    <w:div w:id="904993239">
      <w:bodyDiv w:val="1"/>
      <w:marLeft w:val="0"/>
      <w:marRight w:val="0"/>
      <w:marTop w:val="0"/>
      <w:marBottom w:val="0"/>
      <w:divBdr>
        <w:top w:val="none" w:sz="0" w:space="0" w:color="auto"/>
        <w:left w:val="none" w:sz="0" w:space="0" w:color="auto"/>
        <w:bottom w:val="none" w:sz="0" w:space="0" w:color="auto"/>
        <w:right w:val="none" w:sz="0" w:space="0" w:color="auto"/>
      </w:divBdr>
    </w:div>
    <w:div w:id="910231364">
      <w:bodyDiv w:val="1"/>
      <w:marLeft w:val="0"/>
      <w:marRight w:val="0"/>
      <w:marTop w:val="0"/>
      <w:marBottom w:val="0"/>
      <w:divBdr>
        <w:top w:val="none" w:sz="0" w:space="0" w:color="auto"/>
        <w:left w:val="none" w:sz="0" w:space="0" w:color="auto"/>
        <w:bottom w:val="none" w:sz="0" w:space="0" w:color="auto"/>
        <w:right w:val="none" w:sz="0" w:space="0" w:color="auto"/>
      </w:divBdr>
    </w:div>
    <w:div w:id="919558441">
      <w:bodyDiv w:val="1"/>
      <w:marLeft w:val="0"/>
      <w:marRight w:val="0"/>
      <w:marTop w:val="0"/>
      <w:marBottom w:val="0"/>
      <w:divBdr>
        <w:top w:val="none" w:sz="0" w:space="0" w:color="auto"/>
        <w:left w:val="none" w:sz="0" w:space="0" w:color="auto"/>
        <w:bottom w:val="none" w:sz="0" w:space="0" w:color="auto"/>
        <w:right w:val="none" w:sz="0" w:space="0" w:color="auto"/>
      </w:divBdr>
    </w:div>
    <w:div w:id="921644287">
      <w:bodyDiv w:val="1"/>
      <w:marLeft w:val="0"/>
      <w:marRight w:val="0"/>
      <w:marTop w:val="0"/>
      <w:marBottom w:val="0"/>
      <w:divBdr>
        <w:top w:val="none" w:sz="0" w:space="0" w:color="auto"/>
        <w:left w:val="none" w:sz="0" w:space="0" w:color="auto"/>
        <w:bottom w:val="none" w:sz="0" w:space="0" w:color="auto"/>
        <w:right w:val="none" w:sz="0" w:space="0" w:color="auto"/>
      </w:divBdr>
    </w:div>
    <w:div w:id="923758075">
      <w:bodyDiv w:val="1"/>
      <w:marLeft w:val="0"/>
      <w:marRight w:val="0"/>
      <w:marTop w:val="0"/>
      <w:marBottom w:val="0"/>
      <w:divBdr>
        <w:top w:val="none" w:sz="0" w:space="0" w:color="auto"/>
        <w:left w:val="none" w:sz="0" w:space="0" w:color="auto"/>
        <w:bottom w:val="none" w:sz="0" w:space="0" w:color="auto"/>
        <w:right w:val="none" w:sz="0" w:space="0" w:color="auto"/>
      </w:divBdr>
    </w:div>
    <w:div w:id="928002866">
      <w:bodyDiv w:val="1"/>
      <w:marLeft w:val="0"/>
      <w:marRight w:val="0"/>
      <w:marTop w:val="0"/>
      <w:marBottom w:val="0"/>
      <w:divBdr>
        <w:top w:val="none" w:sz="0" w:space="0" w:color="auto"/>
        <w:left w:val="none" w:sz="0" w:space="0" w:color="auto"/>
        <w:bottom w:val="none" w:sz="0" w:space="0" w:color="auto"/>
        <w:right w:val="none" w:sz="0" w:space="0" w:color="auto"/>
      </w:divBdr>
    </w:div>
    <w:div w:id="932976038">
      <w:bodyDiv w:val="1"/>
      <w:marLeft w:val="0"/>
      <w:marRight w:val="0"/>
      <w:marTop w:val="0"/>
      <w:marBottom w:val="0"/>
      <w:divBdr>
        <w:top w:val="none" w:sz="0" w:space="0" w:color="auto"/>
        <w:left w:val="none" w:sz="0" w:space="0" w:color="auto"/>
        <w:bottom w:val="none" w:sz="0" w:space="0" w:color="auto"/>
        <w:right w:val="none" w:sz="0" w:space="0" w:color="auto"/>
      </w:divBdr>
    </w:div>
    <w:div w:id="935671579">
      <w:bodyDiv w:val="1"/>
      <w:marLeft w:val="0"/>
      <w:marRight w:val="0"/>
      <w:marTop w:val="0"/>
      <w:marBottom w:val="0"/>
      <w:divBdr>
        <w:top w:val="none" w:sz="0" w:space="0" w:color="auto"/>
        <w:left w:val="none" w:sz="0" w:space="0" w:color="auto"/>
        <w:bottom w:val="none" w:sz="0" w:space="0" w:color="auto"/>
        <w:right w:val="none" w:sz="0" w:space="0" w:color="auto"/>
      </w:divBdr>
    </w:div>
    <w:div w:id="937101340">
      <w:bodyDiv w:val="1"/>
      <w:marLeft w:val="0"/>
      <w:marRight w:val="0"/>
      <w:marTop w:val="0"/>
      <w:marBottom w:val="0"/>
      <w:divBdr>
        <w:top w:val="none" w:sz="0" w:space="0" w:color="auto"/>
        <w:left w:val="none" w:sz="0" w:space="0" w:color="auto"/>
        <w:bottom w:val="none" w:sz="0" w:space="0" w:color="auto"/>
        <w:right w:val="none" w:sz="0" w:space="0" w:color="auto"/>
      </w:divBdr>
    </w:div>
    <w:div w:id="937324459">
      <w:bodyDiv w:val="1"/>
      <w:marLeft w:val="0"/>
      <w:marRight w:val="0"/>
      <w:marTop w:val="0"/>
      <w:marBottom w:val="0"/>
      <w:divBdr>
        <w:top w:val="none" w:sz="0" w:space="0" w:color="auto"/>
        <w:left w:val="none" w:sz="0" w:space="0" w:color="auto"/>
        <w:bottom w:val="none" w:sz="0" w:space="0" w:color="auto"/>
        <w:right w:val="none" w:sz="0" w:space="0" w:color="auto"/>
      </w:divBdr>
    </w:div>
    <w:div w:id="949773966">
      <w:bodyDiv w:val="1"/>
      <w:marLeft w:val="0"/>
      <w:marRight w:val="0"/>
      <w:marTop w:val="0"/>
      <w:marBottom w:val="0"/>
      <w:divBdr>
        <w:top w:val="none" w:sz="0" w:space="0" w:color="auto"/>
        <w:left w:val="none" w:sz="0" w:space="0" w:color="auto"/>
        <w:bottom w:val="none" w:sz="0" w:space="0" w:color="auto"/>
        <w:right w:val="none" w:sz="0" w:space="0" w:color="auto"/>
      </w:divBdr>
    </w:div>
    <w:div w:id="958418814">
      <w:bodyDiv w:val="1"/>
      <w:marLeft w:val="0"/>
      <w:marRight w:val="0"/>
      <w:marTop w:val="0"/>
      <w:marBottom w:val="0"/>
      <w:divBdr>
        <w:top w:val="none" w:sz="0" w:space="0" w:color="auto"/>
        <w:left w:val="none" w:sz="0" w:space="0" w:color="auto"/>
        <w:bottom w:val="none" w:sz="0" w:space="0" w:color="auto"/>
        <w:right w:val="none" w:sz="0" w:space="0" w:color="auto"/>
      </w:divBdr>
    </w:div>
    <w:div w:id="959192363">
      <w:bodyDiv w:val="1"/>
      <w:marLeft w:val="0"/>
      <w:marRight w:val="0"/>
      <w:marTop w:val="0"/>
      <w:marBottom w:val="0"/>
      <w:divBdr>
        <w:top w:val="none" w:sz="0" w:space="0" w:color="auto"/>
        <w:left w:val="none" w:sz="0" w:space="0" w:color="auto"/>
        <w:bottom w:val="none" w:sz="0" w:space="0" w:color="auto"/>
        <w:right w:val="none" w:sz="0" w:space="0" w:color="auto"/>
      </w:divBdr>
    </w:div>
    <w:div w:id="966544809">
      <w:bodyDiv w:val="1"/>
      <w:marLeft w:val="0"/>
      <w:marRight w:val="0"/>
      <w:marTop w:val="0"/>
      <w:marBottom w:val="0"/>
      <w:divBdr>
        <w:top w:val="none" w:sz="0" w:space="0" w:color="auto"/>
        <w:left w:val="none" w:sz="0" w:space="0" w:color="auto"/>
        <w:bottom w:val="none" w:sz="0" w:space="0" w:color="auto"/>
        <w:right w:val="none" w:sz="0" w:space="0" w:color="auto"/>
      </w:divBdr>
    </w:div>
    <w:div w:id="969553885">
      <w:bodyDiv w:val="1"/>
      <w:marLeft w:val="0"/>
      <w:marRight w:val="0"/>
      <w:marTop w:val="0"/>
      <w:marBottom w:val="0"/>
      <w:divBdr>
        <w:top w:val="none" w:sz="0" w:space="0" w:color="auto"/>
        <w:left w:val="none" w:sz="0" w:space="0" w:color="auto"/>
        <w:bottom w:val="none" w:sz="0" w:space="0" w:color="auto"/>
        <w:right w:val="none" w:sz="0" w:space="0" w:color="auto"/>
      </w:divBdr>
    </w:div>
    <w:div w:id="974263850">
      <w:bodyDiv w:val="1"/>
      <w:marLeft w:val="0"/>
      <w:marRight w:val="0"/>
      <w:marTop w:val="0"/>
      <w:marBottom w:val="0"/>
      <w:divBdr>
        <w:top w:val="none" w:sz="0" w:space="0" w:color="auto"/>
        <w:left w:val="none" w:sz="0" w:space="0" w:color="auto"/>
        <w:bottom w:val="none" w:sz="0" w:space="0" w:color="auto"/>
        <w:right w:val="none" w:sz="0" w:space="0" w:color="auto"/>
      </w:divBdr>
    </w:div>
    <w:div w:id="979074361">
      <w:bodyDiv w:val="1"/>
      <w:marLeft w:val="0"/>
      <w:marRight w:val="0"/>
      <w:marTop w:val="0"/>
      <w:marBottom w:val="0"/>
      <w:divBdr>
        <w:top w:val="none" w:sz="0" w:space="0" w:color="auto"/>
        <w:left w:val="none" w:sz="0" w:space="0" w:color="auto"/>
        <w:bottom w:val="none" w:sz="0" w:space="0" w:color="auto"/>
        <w:right w:val="none" w:sz="0" w:space="0" w:color="auto"/>
      </w:divBdr>
    </w:div>
    <w:div w:id="981540957">
      <w:bodyDiv w:val="1"/>
      <w:marLeft w:val="0"/>
      <w:marRight w:val="0"/>
      <w:marTop w:val="0"/>
      <w:marBottom w:val="0"/>
      <w:divBdr>
        <w:top w:val="none" w:sz="0" w:space="0" w:color="auto"/>
        <w:left w:val="none" w:sz="0" w:space="0" w:color="auto"/>
        <w:bottom w:val="none" w:sz="0" w:space="0" w:color="auto"/>
        <w:right w:val="none" w:sz="0" w:space="0" w:color="auto"/>
      </w:divBdr>
    </w:div>
    <w:div w:id="986201869">
      <w:bodyDiv w:val="1"/>
      <w:marLeft w:val="0"/>
      <w:marRight w:val="0"/>
      <w:marTop w:val="0"/>
      <w:marBottom w:val="0"/>
      <w:divBdr>
        <w:top w:val="none" w:sz="0" w:space="0" w:color="auto"/>
        <w:left w:val="none" w:sz="0" w:space="0" w:color="auto"/>
        <w:bottom w:val="none" w:sz="0" w:space="0" w:color="auto"/>
        <w:right w:val="none" w:sz="0" w:space="0" w:color="auto"/>
      </w:divBdr>
    </w:div>
    <w:div w:id="995458378">
      <w:bodyDiv w:val="1"/>
      <w:marLeft w:val="0"/>
      <w:marRight w:val="0"/>
      <w:marTop w:val="0"/>
      <w:marBottom w:val="0"/>
      <w:divBdr>
        <w:top w:val="none" w:sz="0" w:space="0" w:color="auto"/>
        <w:left w:val="none" w:sz="0" w:space="0" w:color="auto"/>
        <w:bottom w:val="none" w:sz="0" w:space="0" w:color="auto"/>
        <w:right w:val="none" w:sz="0" w:space="0" w:color="auto"/>
      </w:divBdr>
    </w:div>
    <w:div w:id="1012145884">
      <w:bodyDiv w:val="1"/>
      <w:marLeft w:val="0"/>
      <w:marRight w:val="0"/>
      <w:marTop w:val="0"/>
      <w:marBottom w:val="0"/>
      <w:divBdr>
        <w:top w:val="none" w:sz="0" w:space="0" w:color="auto"/>
        <w:left w:val="none" w:sz="0" w:space="0" w:color="auto"/>
        <w:bottom w:val="none" w:sz="0" w:space="0" w:color="auto"/>
        <w:right w:val="none" w:sz="0" w:space="0" w:color="auto"/>
      </w:divBdr>
    </w:div>
    <w:div w:id="1014847532">
      <w:bodyDiv w:val="1"/>
      <w:marLeft w:val="0"/>
      <w:marRight w:val="0"/>
      <w:marTop w:val="0"/>
      <w:marBottom w:val="0"/>
      <w:divBdr>
        <w:top w:val="none" w:sz="0" w:space="0" w:color="auto"/>
        <w:left w:val="none" w:sz="0" w:space="0" w:color="auto"/>
        <w:bottom w:val="none" w:sz="0" w:space="0" w:color="auto"/>
        <w:right w:val="none" w:sz="0" w:space="0" w:color="auto"/>
      </w:divBdr>
    </w:div>
    <w:div w:id="1030640732">
      <w:bodyDiv w:val="1"/>
      <w:marLeft w:val="0"/>
      <w:marRight w:val="0"/>
      <w:marTop w:val="0"/>
      <w:marBottom w:val="0"/>
      <w:divBdr>
        <w:top w:val="none" w:sz="0" w:space="0" w:color="auto"/>
        <w:left w:val="none" w:sz="0" w:space="0" w:color="auto"/>
        <w:bottom w:val="none" w:sz="0" w:space="0" w:color="auto"/>
        <w:right w:val="none" w:sz="0" w:space="0" w:color="auto"/>
      </w:divBdr>
    </w:div>
    <w:div w:id="1039621608">
      <w:bodyDiv w:val="1"/>
      <w:marLeft w:val="0"/>
      <w:marRight w:val="0"/>
      <w:marTop w:val="0"/>
      <w:marBottom w:val="0"/>
      <w:divBdr>
        <w:top w:val="none" w:sz="0" w:space="0" w:color="auto"/>
        <w:left w:val="none" w:sz="0" w:space="0" w:color="auto"/>
        <w:bottom w:val="none" w:sz="0" w:space="0" w:color="auto"/>
        <w:right w:val="none" w:sz="0" w:space="0" w:color="auto"/>
      </w:divBdr>
    </w:div>
    <w:div w:id="1055199199">
      <w:bodyDiv w:val="1"/>
      <w:marLeft w:val="0"/>
      <w:marRight w:val="0"/>
      <w:marTop w:val="0"/>
      <w:marBottom w:val="0"/>
      <w:divBdr>
        <w:top w:val="none" w:sz="0" w:space="0" w:color="auto"/>
        <w:left w:val="none" w:sz="0" w:space="0" w:color="auto"/>
        <w:bottom w:val="none" w:sz="0" w:space="0" w:color="auto"/>
        <w:right w:val="none" w:sz="0" w:space="0" w:color="auto"/>
      </w:divBdr>
    </w:div>
    <w:div w:id="1056709310">
      <w:bodyDiv w:val="1"/>
      <w:marLeft w:val="0"/>
      <w:marRight w:val="0"/>
      <w:marTop w:val="0"/>
      <w:marBottom w:val="0"/>
      <w:divBdr>
        <w:top w:val="none" w:sz="0" w:space="0" w:color="auto"/>
        <w:left w:val="none" w:sz="0" w:space="0" w:color="auto"/>
        <w:bottom w:val="none" w:sz="0" w:space="0" w:color="auto"/>
        <w:right w:val="none" w:sz="0" w:space="0" w:color="auto"/>
      </w:divBdr>
    </w:div>
    <w:div w:id="1061976862">
      <w:bodyDiv w:val="1"/>
      <w:marLeft w:val="0"/>
      <w:marRight w:val="0"/>
      <w:marTop w:val="0"/>
      <w:marBottom w:val="0"/>
      <w:divBdr>
        <w:top w:val="none" w:sz="0" w:space="0" w:color="auto"/>
        <w:left w:val="none" w:sz="0" w:space="0" w:color="auto"/>
        <w:bottom w:val="none" w:sz="0" w:space="0" w:color="auto"/>
        <w:right w:val="none" w:sz="0" w:space="0" w:color="auto"/>
      </w:divBdr>
    </w:div>
    <w:div w:id="1069040361">
      <w:bodyDiv w:val="1"/>
      <w:marLeft w:val="0"/>
      <w:marRight w:val="0"/>
      <w:marTop w:val="0"/>
      <w:marBottom w:val="0"/>
      <w:divBdr>
        <w:top w:val="none" w:sz="0" w:space="0" w:color="auto"/>
        <w:left w:val="none" w:sz="0" w:space="0" w:color="auto"/>
        <w:bottom w:val="none" w:sz="0" w:space="0" w:color="auto"/>
        <w:right w:val="none" w:sz="0" w:space="0" w:color="auto"/>
      </w:divBdr>
    </w:div>
    <w:div w:id="1089690099">
      <w:bodyDiv w:val="1"/>
      <w:marLeft w:val="0"/>
      <w:marRight w:val="0"/>
      <w:marTop w:val="0"/>
      <w:marBottom w:val="0"/>
      <w:divBdr>
        <w:top w:val="none" w:sz="0" w:space="0" w:color="auto"/>
        <w:left w:val="none" w:sz="0" w:space="0" w:color="auto"/>
        <w:bottom w:val="none" w:sz="0" w:space="0" w:color="auto"/>
        <w:right w:val="none" w:sz="0" w:space="0" w:color="auto"/>
      </w:divBdr>
    </w:div>
    <w:div w:id="1092508323">
      <w:bodyDiv w:val="1"/>
      <w:marLeft w:val="0"/>
      <w:marRight w:val="0"/>
      <w:marTop w:val="0"/>
      <w:marBottom w:val="0"/>
      <w:divBdr>
        <w:top w:val="none" w:sz="0" w:space="0" w:color="auto"/>
        <w:left w:val="none" w:sz="0" w:space="0" w:color="auto"/>
        <w:bottom w:val="none" w:sz="0" w:space="0" w:color="auto"/>
        <w:right w:val="none" w:sz="0" w:space="0" w:color="auto"/>
      </w:divBdr>
    </w:div>
    <w:div w:id="1093473150">
      <w:bodyDiv w:val="1"/>
      <w:marLeft w:val="0"/>
      <w:marRight w:val="0"/>
      <w:marTop w:val="0"/>
      <w:marBottom w:val="0"/>
      <w:divBdr>
        <w:top w:val="none" w:sz="0" w:space="0" w:color="auto"/>
        <w:left w:val="none" w:sz="0" w:space="0" w:color="auto"/>
        <w:bottom w:val="none" w:sz="0" w:space="0" w:color="auto"/>
        <w:right w:val="none" w:sz="0" w:space="0" w:color="auto"/>
      </w:divBdr>
    </w:div>
    <w:div w:id="1100490108">
      <w:bodyDiv w:val="1"/>
      <w:marLeft w:val="0"/>
      <w:marRight w:val="0"/>
      <w:marTop w:val="0"/>
      <w:marBottom w:val="0"/>
      <w:divBdr>
        <w:top w:val="none" w:sz="0" w:space="0" w:color="auto"/>
        <w:left w:val="none" w:sz="0" w:space="0" w:color="auto"/>
        <w:bottom w:val="none" w:sz="0" w:space="0" w:color="auto"/>
        <w:right w:val="none" w:sz="0" w:space="0" w:color="auto"/>
      </w:divBdr>
    </w:div>
    <w:div w:id="1103651409">
      <w:bodyDiv w:val="1"/>
      <w:marLeft w:val="0"/>
      <w:marRight w:val="0"/>
      <w:marTop w:val="0"/>
      <w:marBottom w:val="0"/>
      <w:divBdr>
        <w:top w:val="none" w:sz="0" w:space="0" w:color="auto"/>
        <w:left w:val="none" w:sz="0" w:space="0" w:color="auto"/>
        <w:bottom w:val="none" w:sz="0" w:space="0" w:color="auto"/>
        <w:right w:val="none" w:sz="0" w:space="0" w:color="auto"/>
      </w:divBdr>
    </w:div>
    <w:div w:id="1116292204">
      <w:bodyDiv w:val="1"/>
      <w:marLeft w:val="0"/>
      <w:marRight w:val="0"/>
      <w:marTop w:val="0"/>
      <w:marBottom w:val="0"/>
      <w:divBdr>
        <w:top w:val="none" w:sz="0" w:space="0" w:color="auto"/>
        <w:left w:val="none" w:sz="0" w:space="0" w:color="auto"/>
        <w:bottom w:val="none" w:sz="0" w:space="0" w:color="auto"/>
        <w:right w:val="none" w:sz="0" w:space="0" w:color="auto"/>
      </w:divBdr>
    </w:div>
    <w:div w:id="1125385879">
      <w:bodyDiv w:val="1"/>
      <w:marLeft w:val="0"/>
      <w:marRight w:val="0"/>
      <w:marTop w:val="0"/>
      <w:marBottom w:val="0"/>
      <w:divBdr>
        <w:top w:val="none" w:sz="0" w:space="0" w:color="auto"/>
        <w:left w:val="none" w:sz="0" w:space="0" w:color="auto"/>
        <w:bottom w:val="none" w:sz="0" w:space="0" w:color="auto"/>
        <w:right w:val="none" w:sz="0" w:space="0" w:color="auto"/>
      </w:divBdr>
    </w:div>
    <w:div w:id="1136682815">
      <w:bodyDiv w:val="1"/>
      <w:marLeft w:val="0"/>
      <w:marRight w:val="0"/>
      <w:marTop w:val="0"/>
      <w:marBottom w:val="0"/>
      <w:divBdr>
        <w:top w:val="none" w:sz="0" w:space="0" w:color="auto"/>
        <w:left w:val="none" w:sz="0" w:space="0" w:color="auto"/>
        <w:bottom w:val="none" w:sz="0" w:space="0" w:color="auto"/>
        <w:right w:val="none" w:sz="0" w:space="0" w:color="auto"/>
      </w:divBdr>
    </w:div>
    <w:div w:id="1153763441">
      <w:bodyDiv w:val="1"/>
      <w:marLeft w:val="0"/>
      <w:marRight w:val="0"/>
      <w:marTop w:val="0"/>
      <w:marBottom w:val="0"/>
      <w:divBdr>
        <w:top w:val="none" w:sz="0" w:space="0" w:color="auto"/>
        <w:left w:val="none" w:sz="0" w:space="0" w:color="auto"/>
        <w:bottom w:val="none" w:sz="0" w:space="0" w:color="auto"/>
        <w:right w:val="none" w:sz="0" w:space="0" w:color="auto"/>
      </w:divBdr>
    </w:div>
    <w:div w:id="1155218742">
      <w:bodyDiv w:val="1"/>
      <w:marLeft w:val="0"/>
      <w:marRight w:val="0"/>
      <w:marTop w:val="0"/>
      <w:marBottom w:val="0"/>
      <w:divBdr>
        <w:top w:val="none" w:sz="0" w:space="0" w:color="auto"/>
        <w:left w:val="none" w:sz="0" w:space="0" w:color="auto"/>
        <w:bottom w:val="none" w:sz="0" w:space="0" w:color="auto"/>
        <w:right w:val="none" w:sz="0" w:space="0" w:color="auto"/>
      </w:divBdr>
    </w:div>
    <w:div w:id="1157578129">
      <w:bodyDiv w:val="1"/>
      <w:marLeft w:val="0"/>
      <w:marRight w:val="0"/>
      <w:marTop w:val="0"/>
      <w:marBottom w:val="0"/>
      <w:divBdr>
        <w:top w:val="none" w:sz="0" w:space="0" w:color="auto"/>
        <w:left w:val="none" w:sz="0" w:space="0" w:color="auto"/>
        <w:bottom w:val="none" w:sz="0" w:space="0" w:color="auto"/>
        <w:right w:val="none" w:sz="0" w:space="0" w:color="auto"/>
      </w:divBdr>
    </w:div>
    <w:div w:id="1159883442">
      <w:bodyDiv w:val="1"/>
      <w:marLeft w:val="0"/>
      <w:marRight w:val="0"/>
      <w:marTop w:val="0"/>
      <w:marBottom w:val="0"/>
      <w:divBdr>
        <w:top w:val="none" w:sz="0" w:space="0" w:color="auto"/>
        <w:left w:val="none" w:sz="0" w:space="0" w:color="auto"/>
        <w:bottom w:val="none" w:sz="0" w:space="0" w:color="auto"/>
        <w:right w:val="none" w:sz="0" w:space="0" w:color="auto"/>
      </w:divBdr>
    </w:div>
    <w:div w:id="1167862295">
      <w:bodyDiv w:val="1"/>
      <w:marLeft w:val="0"/>
      <w:marRight w:val="0"/>
      <w:marTop w:val="0"/>
      <w:marBottom w:val="0"/>
      <w:divBdr>
        <w:top w:val="none" w:sz="0" w:space="0" w:color="auto"/>
        <w:left w:val="none" w:sz="0" w:space="0" w:color="auto"/>
        <w:bottom w:val="none" w:sz="0" w:space="0" w:color="auto"/>
        <w:right w:val="none" w:sz="0" w:space="0" w:color="auto"/>
      </w:divBdr>
    </w:div>
    <w:div w:id="1170175675">
      <w:bodyDiv w:val="1"/>
      <w:marLeft w:val="0"/>
      <w:marRight w:val="0"/>
      <w:marTop w:val="0"/>
      <w:marBottom w:val="0"/>
      <w:divBdr>
        <w:top w:val="none" w:sz="0" w:space="0" w:color="auto"/>
        <w:left w:val="none" w:sz="0" w:space="0" w:color="auto"/>
        <w:bottom w:val="none" w:sz="0" w:space="0" w:color="auto"/>
        <w:right w:val="none" w:sz="0" w:space="0" w:color="auto"/>
      </w:divBdr>
    </w:div>
    <w:div w:id="1172066215">
      <w:bodyDiv w:val="1"/>
      <w:marLeft w:val="0"/>
      <w:marRight w:val="0"/>
      <w:marTop w:val="0"/>
      <w:marBottom w:val="0"/>
      <w:divBdr>
        <w:top w:val="none" w:sz="0" w:space="0" w:color="auto"/>
        <w:left w:val="none" w:sz="0" w:space="0" w:color="auto"/>
        <w:bottom w:val="none" w:sz="0" w:space="0" w:color="auto"/>
        <w:right w:val="none" w:sz="0" w:space="0" w:color="auto"/>
      </w:divBdr>
    </w:div>
    <w:div w:id="1176114898">
      <w:bodyDiv w:val="1"/>
      <w:marLeft w:val="0"/>
      <w:marRight w:val="0"/>
      <w:marTop w:val="0"/>
      <w:marBottom w:val="0"/>
      <w:divBdr>
        <w:top w:val="none" w:sz="0" w:space="0" w:color="auto"/>
        <w:left w:val="none" w:sz="0" w:space="0" w:color="auto"/>
        <w:bottom w:val="none" w:sz="0" w:space="0" w:color="auto"/>
        <w:right w:val="none" w:sz="0" w:space="0" w:color="auto"/>
      </w:divBdr>
    </w:div>
    <w:div w:id="1176730979">
      <w:bodyDiv w:val="1"/>
      <w:marLeft w:val="0"/>
      <w:marRight w:val="0"/>
      <w:marTop w:val="0"/>
      <w:marBottom w:val="0"/>
      <w:divBdr>
        <w:top w:val="none" w:sz="0" w:space="0" w:color="auto"/>
        <w:left w:val="none" w:sz="0" w:space="0" w:color="auto"/>
        <w:bottom w:val="none" w:sz="0" w:space="0" w:color="auto"/>
        <w:right w:val="none" w:sz="0" w:space="0" w:color="auto"/>
      </w:divBdr>
    </w:div>
    <w:div w:id="1177381960">
      <w:bodyDiv w:val="1"/>
      <w:marLeft w:val="0"/>
      <w:marRight w:val="0"/>
      <w:marTop w:val="0"/>
      <w:marBottom w:val="0"/>
      <w:divBdr>
        <w:top w:val="none" w:sz="0" w:space="0" w:color="auto"/>
        <w:left w:val="none" w:sz="0" w:space="0" w:color="auto"/>
        <w:bottom w:val="none" w:sz="0" w:space="0" w:color="auto"/>
        <w:right w:val="none" w:sz="0" w:space="0" w:color="auto"/>
      </w:divBdr>
    </w:div>
    <w:div w:id="1179927450">
      <w:bodyDiv w:val="1"/>
      <w:marLeft w:val="0"/>
      <w:marRight w:val="0"/>
      <w:marTop w:val="0"/>
      <w:marBottom w:val="0"/>
      <w:divBdr>
        <w:top w:val="none" w:sz="0" w:space="0" w:color="auto"/>
        <w:left w:val="none" w:sz="0" w:space="0" w:color="auto"/>
        <w:bottom w:val="none" w:sz="0" w:space="0" w:color="auto"/>
        <w:right w:val="none" w:sz="0" w:space="0" w:color="auto"/>
      </w:divBdr>
    </w:div>
    <w:div w:id="1192303301">
      <w:bodyDiv w:val="1"/>
      <w:marLeft w:val="0"/>
      <w:marRight w:val="0"/>
      <w:marTop w:val="0"/>
      <w:marBottom w:val="0"/>
      <w:divBdr>
        <w:top w:val="none" w:sz="0" w:space="0" w:color="auto"/>
        <w:left w:val="none" w:sz="0" w:space="0" w:color="auto"/>
        <w:bottom w:val="none" w:sz="0" w:space="0" w:color="auto"/>
        <w:right w:val="none" w:sz="0" w:space="0" w:color="auto"/>
      </w:divBdr>
    </w:div>
    <w:div w:id="1198391921">
      <w:bodyDiv w:val="1"/>
      <w:marLeft w:val="0"/>
      <w:marRight w:val="0"/>
      <w:marTop w:val="0"/>
      <w:marBottom w:val="0"/>
      <w:divBdr>
        <w:top w:val="none" w:sz="0" w:space="0" w:color="auto"/>
        <w:left w:val="none" w:sz="0" w:space="0" w:color="auto"/>
        <w:bottom w:val="none" w:sz="0" w:space="0" w:color="auto"/>
        <w:right w:val="none" w:sz="0" w:space="0" w:color="auto"/>
      </w:divBdr>
    </w:div>
    <w:div w:id="1202936299">
      <w:bodyDiv w:val="1"/>
      <w:marLeft w:val="0"/>
      <w:marRight w:val="0"/>
      <w:marTop w:val="0"/>
      <w:marBottom w:val="0"/>
      <w:divBdr>
        <w:top w:val="none" w:sz="0" w:space="0" w:color="auto"/>
        <w:left w:val="none" w:sz="0" w:space="0" w:color="auto"/>
        <w:bottom w:val="none" w:sz="0" w:space="0" w:color="auto"/>
        <w:right w:val="none" w:sz="0" w:space="0" w:color="auto"/>
      </w:divBdr>
    </w:div>
    <w:div w:id="1206524504">
      <w:bodyDiv w:val="1"/>
      <w:marLeft w:val="0"/>
      <w:marRight w:val="0"/>
      <w:marTop w:val="0"/>
      <w:marBottom w:val="0"/>
      <w:divBdr>
        <w:top w:val="none" w:sz="0" w:space="0" w:color="auto"/>
        <w:left w:val="none" w:sz="0" w:space="0" w:color="auto"/>
        <w:bottom w:val="none" w:sz="0" w:space="0" w:color="auto"/>
        <w:right w:val="none" w:sz="0" w:space="0" w:color="auto"/>
      </w:divBdr>
    </w:div>
    <w:div w:id="1220509083">
      <w:bodyDiv w:val="1"/>
      <w:marLeft w:val="0"/>
      <w:marRight w:val="0"/>
      <w:marTop w:val="0"/>
      <w:marBottom w:val="0"/>
      <w:divBdr>
        <w:top w:val="none" w:sz="0" w:space="0" w:color="auto"/>
        <w:left w:val="none" w:sz="0" w:space="0" w:color="auto"/>
        <w:bottom w:val="none" w:sz="0" w:space="0" w:color="auto"/>
        <w:right w:val="none" w:sz="0" w:space="0" w:color="auto"/>
      </w:divBdr>
    </w:div>
    <w:div w:id="1230844848">
      <w:bodyDiv w:val="1"/>
      <w:marLeft w:val="0"/>
      <w:marRight w:val="0"/>
      <w:marTop w:val="0"/>
      <w:marBottom w:val="0"/>
      <w:divBdr>
        <w:top w:val="none" w:sz="0" w:space="0" w:color="auto"/>
        <w:left w:val="none" w:sz="0" w:space="0" w:color="auto"/>
        <w:bottom w:val="none" w:sz="0" w:space="0" w:color="auto"/>
        <w:right w:val="none" w:sz="0" w:space="0" w:color="auto"/>
      </w:divBdr>
    </w:div>
    <w:div w:id="1232425943">
      <w:bodyDiv w:val="1"/>
      <w:marLeft w:val="0"/>
      <w:marRight w:val="0"/>
      <w:marTop w:val="0"/>
      <w:marBottom w:val="0"/>
      <w:divBdr>
        <w:top w:val="none" w:sz="0" w:space="0" w:color="auto"/>
        <w:left w:val="none" w:sz="0" w:space="0" w:color="auto"/>
        <w:bottom w:val="none" w:sz="0" w:space="0" w:color="auto"/>
        <w:right w:val="none" w:sz="0" w:space="0" w:color="auto"/>
      </w:divBdr>
    </w:div>
    <w:div w:id="1241331617">
      <w:bodyDiv w:val="1"/>
      <w:marLeft w:val="0"/>
      <w:marRight w:val="0"/>
      <w:marTop w:val="0"/>
      <w:marBottom w:val="0"/>
      <w:divBdr>
        <w:top w:val="none" w:sz="0" w:space="0" w:color="auto"/>
        <w:left w:val="none" w:sz="0" w:space="0" w:color="auto"/>
        <w:bottom w:val="none" w:sz="0" w:space="0" w:color="auto"/>
        <w:right w:val="none" w:sz="0" w:space="0" w:color="auto"/>
      </w:divBdr>
    </w:div>
    <w:div w:id="1266378662">
      <w:bodyDiv w:val="1"/>
      <w:marLeft w:val="0"/>
      <w:marRight w:val="0"/>
      <w:marTop w:val="0"/>
      <w:marBottom w:val="0"/>
      <w:divBdr>
        <w:top w:val="none" w:sz="0" w:space="0" w:color="auto"/>
        <w:left w:val="none" w:sz="0" w:space="0" w:color="auto"/>
        <w:bottom w:val="none" w:sz="0" w:space="0" w:color="auto"/>
        <w:right w:val="none" w:sz="0" w:space="0" w:color="auto"/>
      </w:divBdr>
    </w:div>
    <w:div w:id="1267810535">
      <w:bodyDiv w:val="1"/>
      <w:marLeft w:val="0"/>
      <w:marRight w:val="0"/>
      <w:marTop w:val="0"/>
      <w:marBottom w:val="0"/>
      <w:divBdr>
        <w:top w:val="none" w:sz="0" w:space="0" w:color="auto"/>
        <w:left w:val="none" w:sz="0" w:space="0" w:color="auto"/>
        <w:bottom w:val="none" w:sz="0" w:space="0" w:color="auto"/>
        <w:right w:val="none" w:sz="0" w:space="0" w:color="auto"/>
      </w:divBdr>
    </w:div>
    <w:div w:id="1275163905">
      <w:bodyDiv w:val="1"/>
      <w:marLeft w:val="0"/>
      <w:marRight w:val="0"/>
      <w:marTop w:val="0"/>
      <w:marBottom w:val="0"/>
      <w:divBdr>
        <w:top w:val="none" w:sz="0" w:space="0" w:color="auto"/>
        <w:left w:val="none" w:sz="0" w:space="0" w:color="auto"/>
        <w:bottom w:val="none" w:sz="0" w:space="0" w:color="auto"/>
        <w:right w:val="none" w:sz="0" w:space="0" w:color="auto"/>
      </w:divBdr>
    </w:div>
    <w:div w:id="1282876650">
      <w:bodyDiv w:val="1"/>
      <w:marLeft w:val="0"/>
      <w:marRight w:val="0"/>
      <w:marTop w:val="0"/>
      <w:marBottom w:val="0"/>
      <w:divBdr>
        <w:top w:val="none" w:sz="0" w:space="0" w:color="auto"/>
        <w:left w:val="none" w:sz="0" w:space="0" w:color="auto"/>
        <w:bottom w:val="none" w:sz="0" w:space="0" w:color="auto"/>
        <w:right w:val="none" w:sz="0" w:space="0" w:color="auto"/>
      </w:divBdr>
    </w:div>
    <w:div w:id="1285499934">
      <w:bodyDiv w:val="1"/>
      <w:marLeft w:val="0"/>
      <w:marRight w:val="0"/>
      <w:marTop w:val="0"/>
      <w:marBottom w:val="0"/>
      <w:divBdr>
        <w:top w:val="none" w:sz="0" w:space="0" w:color="auto"/>
        <w:left w:val="none" w:sz="0" w:space="0" w:color="auto"/>
        <w:bottom w:val="none" w:sz="0" w:space="0" w:color="auto"/>
        <w:right w:val="none" w:sz="0" w:space="0" w:color="auto"/>
      </w:divBdr>
    </w:div>
    <w:div w:id="1289320529">
      <w:bodyDiv w:val="1"/>
      <w:marLeft w:val="0"/>
      <w:marRight w:val="0"/>
      <w:marTop w:val="0"/>
      <w:marBottom w:val="0"/>
      <w:divBdr>
        <w:top w:val="none" w:sz="0" w:space="0" w:color="auto"/>
        <w:left w:val="none" w:sz="0" w:space="0" w:color="auto"/>
        <w:bottom w:val="none" w:sz="0" w:space="0" w:color="auto"/>
        <w:right w:val="none" w:sz="0" w:space="0" w:color="auto"/>
      </w:divBdr>
    </w:div>
    <w:div w:id="1289359817">
      <w:bodyDiv w:val="1"/>
      <w:marLeft w:val="0"/>
      <w:marRight w:val="0"/>
      <w:marTop w:val="0"/>
      <w:marBottom w:val="0"/>
      <w:divBdr>
        <w:top w:val="none" w:sz="0" w:space="0" w:color="auto"/>
        <w:left w:val="none" w:sz="0" w:space="0" w:color="auto"/>
        <w:bottom w:val="none" w:sz="0" w:space="0" w:color="auto"/>
        <w:right w:val="none" w:sz="0" w:space="0" w:color="auto"/>
      </w:divBdr>
    </w:div>
    <w:div w:id="1308827245">
      <w:bodyDiv w:val="1"/>
      <w:marLeft w:val="0"/>
      <w:marRight w:val="0"/>
      <w:marTop w:val="0"/>
      <w:marBottom w:val="0"/>
      <w:divBdr>
        <w:top w:val="none" w:sz="0" w:space="0" w:color="auto"/>
        <w:left w:val="none" w:sz="0" w:space="0" w:color="auto"/>
        <w:bottom w:val="none" w:sz="0" w:space="0" w:color="auto"/>
        <w:right w:val="none" w:sz="0" w:space="0" w:color="auto"/>
      </w:divBdr>
    </w:div>
    <w:div w:id="1309626347">
      <w:bodyDiv w:val="1"/>
      <w:marLeft w:val="0"/>
      <w:marRight w:val="0"/>
      <w:marTop w:val="0"/>
      <w:marBottom w:val="0"/>
      <w:divBdr>
        <w:top w:val="none" w:sz="0" w:space="0" w:color="auto"/>
        <w:left w:val="none" w:sz="0" w:space="0" w:color="auto"/>
        <w:bottom w:val="none" w:sz="0" w:space="0" w:color="auto"/>
        <w:right w:val="none" w:sz="0" w:space="0" w:color="auto"/>
      </w:divBdr>
    </w:div>
    <w:div w:id="1334723545">
      <w:bodyDiv w:val="1"/>
      <w:marLeft w:val="0"/>
      <w:marRight w:val="0"/>
      <w:marTop w:val="0"/>
      <w:marBottom w:val="0"/>
      <w:divBdr>
        <w:top w:val="none" w:sz="0" w:space="0" w:color="auto"/>
        <w:left w:val="none" w:sz="0" w:space="0" w:color="auto"/>
        <w:bottom w:val="none" w:sz="0" w:space="0" w:color="auto"/>
        <w:right w:val="none" w:sz="0" w:space="0" w:color="auto"/>
      </w:divBdr>
    </w:div>
    <w:div w:id="1338724855">
      <w:bodyDiv w:val="1"/>
      <w:marLeft w:val="0"/>
      <w:marRight w:val="0"/>
      <w:marTop w:val="0"/>
      <w:marBottom w:val="0"/>
      <w:divBdr>
        <w:top w:val="none" w:sz="0" w:space="0" w:color="auto"/>
        <w:left w:val="none" w:sz="0" w:space="0" w:color="auto"/>
        <w:bottom w:val="none" w:sz="0" w:space="0" w:color="auto"/>
        <w:right w:val="none" w:sz="0" w:space="0" w:color="auto"/>
      </w:divBdr>
    </w:div>
    <w:div w:id="1342393664">
      <w:bodyDiv w:val="1"/>
      <w:marLeft w:val="0"/>
      <w:marRight w:val="0"/>
      <w:marTop w:val="0"/>
      <w:marBottom w:val="0"/>
      <w:divBdr>
        <w:top w:val="none" w:sz="0" w:space="0" w:color="auto"/>
        <w:left w:val="none" w:sz="0" w:space="0" w:color="auto"/>
        <w:bottom w:val="none" w:sz="0" w:space="0" w:color="auto"/>
        <w:right w:val="none" w:sz="0" w:space="0" w:color="auto"/>
      </w:divBdr>
    </w:div>
    <w:div w:id="1343126129">
      <w:bodyDiv w:val="1"/>
      <w:marLeft w:val="0"/>
      <w:marRight w:val="0"/>
      <w:marTop w:val="0"/>
      <w:marBottom w:val="0"/>
      <w:divBdr>
        <w:top w:val="none" w:sz="0" w:space="0" w:color="auto"/>
        <w:left w:val="none" w:sz="0" w:space="0" w:color="auto"/>
        <w:bottom w:val="none" w:sz="0" w:space="0" w:color="auto"/>
        <w:right w:val="none" w:sz="0" w:space="0" w:color="auto"/>
      </w:divBdr>
    </w:div>
    <w:div w:id="1349598073">
      <w:bodyDiv w:val="1"/>
      <w:marLeft w:val="0"/>
      <w:marRight w:val="0"/>
      <w:marTop w:val="0"/>
      <w:marBottom w:val="0"/>
      <w:divBdr>
        <w:top w:val="none" w:sz="0" w:space="0" w:color="auto"/>
        <w:left w:val="none" w:sz="0" w:space="0" w:color="auto"/>
        <w:bottom w:val="none" w:sz="0" w:space="0" w:color="auto"/>
        <w:right w:val="none" w:sz="0" w:space="0" w:color="auto"/>
      </w:divBdr>
    </w:div>
    <w:div w:id="1363285542">
      <w:bodyDiv w:val="1"/>
      <w:marLeft w:val="0"/>
      <w:marRight w:val="0"/>
      <w:marTop w:val="0"/>
      <w:marBottom w:val="0"/>
      <w:divBdr>
        <w:top w:val="none" w:sz="0" w:space="0" w:color="auto"/>
        <w:left w:val="none" w:sz="0" w:space="0" w:color="auto"/>
        <w:bottom w:val="none" w:sz="0" w:space="0" w:color="auto"/>
        <w:right w:val="none" w:sz="0" w:space="0" w:color="auto"/>
      </w:divBdr>
    </w:div>
    <w:div w:id="1373269849">
      <w:bodyDiv w:val="1"/>
      <w:marLeft w:val="0"/>
      <w:marRight w:val="0"/>
      <w:marTop w:val="0"/>
      <w:marBottom w:val="0"/>
      <w:divBdr>
        <w:top w:val="none" w:sz="0" w:space="0" w:color="auto"/>
        <w:left w:val="none" w:sz="0" w:space="0" w:color="auto"/>
        <w:bottom w:val="none" w:sz="0" w:space="0" w:color="auto"/>
        <w:right w:val="none" w:sz="0" w:space="0" w:color="auto"/>
      </w:divBdr>
    </w:div>
    <w:div w:id="1374423077">
      <w:bodyDiv w:val="1"/>
      <w:marLeft w:val="0"/>
      <w:marRight w:val="0"/>
      <w:marTop w:val="0"/>
      <w:marBottom w:val="0"/>
      <w:divBdr>
        <w:top w:val="none" w:sz="0" w:space="0" w:color="auto"/>
        <w:left w:val="none" w:sz="0" w:space="0" w:color="auto"/>
        <w:bottom w:val="none" w:sz="0" w:space="0" w:color="auto"/>
        <w:right w:val="none" w:sz="0" w:space="0" w:color="auto"/>
      </w:divBdr>
    </w:div>
    <w:div w:id="1377271763">
      <w:bodyDiv w:val="1"/>
      <w:marLeft w:val="0"/>
      <w:marRight w:val="0"/>
      <w:marTop w:val="0"/>
      <w:marBottom w:val="0"/>
      <w:divBdr>
        <w:top w:val="none" w:sz="0" w:space="0" w:color="auto"/>
        <w:left w:val="none" w:sz="0" w:space="0" w:color="auto"/>
        <w:bottom w:val="none" w:sz="0" w:space="0" w:color="auto"/>
        <w:right w:val="none" w:sz="0" w:space="0" w:color="auto"/>
      </w:divBdr>
    </w:div>
    <w:div w:id="1384333001">
      <w:bodyDiv w:val="1"/>
      <w:marLeft w:val="0"/>
      <w:marRight w:val="0"/>
      <w:marTop w:val="0"/>
      <w:marBottom w:val="0"/>
      <w:divBdr>
        <w:top w:val="none" w:sz="0" w:space="0" w:color="auto"/>
        <w:left w:val="none" w:sz="0" w:space="0" w:color="auto"/>
        <w:bottom w:val="none" w:sz="0" w:space="0" w:color="auto"/>
        <w:right w:val="none" w:sz="0" w:space="0" w:color="auto"/>
      </w:divBdr>
    </w:div>
    <w:div w:id="1388721282">
      <w:bodyDiv w:val="1"/>
      <w:marLeft w:val="0"/>
      <w:marRight w:val="0"/>
      <w:marTop w:val="0"/>
      <w:marBottom w:val="0"/>
      <w:divBdr>
        <w:top w:val="none" w:sz="0" w:space="0" w:color="auto"/>
        <w:left w:val="none" w:sz="0" w:space="0" w:color="auto"/>
        <w:bottom w:val="none" w:sz="0" w:space="0" w:color="auto"/>
        <w:right w:val="none" w:sz="0" w:space="0" w:color="auto"/>
      </w:divBdr>
    </w:div>
    <w:div w:id="1400591519">
      <w:bodyDiv w:val="1"/>
      <w:marLeft w:val="0"/>
      <w:marRight w:val="0"/>
      <w:marTop w:val="0"/>
      <w:marBottom w:val="0"/>
      <w:divBdr>
        <w:top w:val="none" w:sz="0" w:space="0" w:color="auto"/>
        <w:left w:val="none" w:sz="0" w:space="0" w:color="auto"/>
        <w:bottom w:val="none" w:sz="0" w:space="0" w:color="auto"/>
        <w:right w:val="none" w:sz="0" w:space="0" w:color="auto"/>
      </w:divBdr>
    </w:div>
    <w:div w:id="1401900118">
      <w:bodyDiv w:val="1"/>
      <w:marLeft w:val="0"/>
      <w:marRight w:val="0"/>
      <w:marTop w:val="0"/>
      <w:marBottom w:val="0"/>
      <w:divBdr>
        <w:top w:val="none" w:sz="0" w:space="0" w:color="auto"/>
        <w:left w:val="none" w:sz="0" w:space="0" w:color="auto"/>
        <w:bottom w:val="none" w:sz="0" w:space="0" w:color="auto"/>
        <w:right w:val="none" w:sz="0" w:space="0" w:color="auto"/>
      </w:divBdr>
    </w:div>
    <w:div w:id="1418400202">
      <w:bodyDiv w:val="1"/>
      <w:marLeft w:val="0"/>
      <w:marRight w:val="0"/>
      <w:marTop w:val="0"/>
      <w:marBottom w:val="0"/>
      <w:divBdr>
        <w:top w:val="none" w:sz="0" w:space="0" w:color="auto"/>
        <w:left w:val="none" w:sz="0" w:space="0" w:color="auto"/>
        <w:bottom w:val="none" w:sz="0" w:space="0" w:color="auto"/>
        <w:right w:val="none" w:sz="0" w:space="0" w:color="auto"/>
      </w:divBdr>
    </w:div>
    <w:div w:id="1423721581">
      <w:bodyDiv w:val="1"/>
      <w:marLeft w:val="0"/>
      <w:marRight w:val="0"/>
      <w:marTop w:val="0"/>
      <w:marBottom w:val="0"/>
      <w:divBdr>
        <w:top w:val="none" w:sz="0" w:space="0" w:color="auto"/>
        <w:left w:val="none" w:sz="0" w:space="0" w:color="auto"/>
        <w:bottom w:val="none" w:sz="0" w:space="0" w:color="auto"/>
        <w:right w:val="none" w:sz="0" w:space="0" w:color="auto"/>
      </w:divBdr>
    </w:div>
    <w:div w:id="1429934653">
      <w:bodyDiv w:val="1"/>
      <w:marLeft w:val="0"/>
      <w:marRight w:val="0"/>
      <w:marTop w:val="0"/>
      <w:marBottom w:val="0"/>
      <w:divBdr>
        <w:top w:val="none" w:sz="0" w:space="0" w:color="auto"/>
        <w:left w:val="none" w:sz="0" w:space="0" w:color="auto"/>
        <w:bottom w:val="none" w:sz="0" w:space="0" w:color="auto"/>
        <w:right w:val="none" w:sz="0" w:space="0" w:color="auto"/>
      </w:divBdr>
    </w:div>
    <w:div w:id="1431198373">
      <w:bodyDiv w:val="1"/>
      <w:marLeft w:val="0"/>
      <w:marRight w:val="0"/>
      <w:marTop w:val="0"/>
      <w:marBottom w:val="0"/>
      <w:divBdr>
        <w:top w:val="none" w:sz="0" w:space="0" w:color="auto"/>
        <w:left w:val="none" w:sz="0" w:space="0" w:color="auto"/>
        <w:bottom w:val="none" w:sz="0" w:space="0" w:color="auto"/>
        <w:right w:val="none" w:sz="0" w:space="0" w:color="auto"/>
      </w:divBdr>
    </w:div>
    <w:div w:id="1432312378">
      <w:bodyDiv w:val="1"/>
      <w:marLeft w:val="0"/>
      <w:marRight w:val="0"/>
      <w:marTop w:val="0"/>
      <w:marBottom w:val="0"/>
      <w:divBdr>
        <w:top w:val="none" w:sz="0" w:space="0" w:color="auto"/>
        <w:left w:val="none" w:sz="0" w:space="0" w:color="auto"/>
        <w:bottom w:val="none" w:sz="0" w:space="0" w:color="auto"/>
        <w:right w:val="none" w:sz="0" w:space="0" w:color="auto"/>
      </w:divBdr>
    </w:div>
    <w:div w:id="1434352995">
      <w:bodyDiv w:val="1"/>
      <w:marLeft w:val="0"/>
      <w:marRight w:val="0"/>
      <w:marTop w:val="0"/>
      <w:marBottom w:val="0"/>
      <w:divBdr>
        <w:top w:val="none" w:sz="0" w:space="0" w:color="auto"/>
        <w:left w:val="none" w:sz="0" w:space="0" w:color="auto"/>
        <w:bottom w:val="none" w:sz="0" w:space="0" w:color="auto"/>
        <w:right w:val="none" w:sz="0" w:space="0" w:color="auto"/>
      </w:divBdr>
    </w:div>
    <w:div w:id="1435249623">
      <w:bodyDiv w:val="1"/>
      <w:marLeft w:val="0"/>
      <w:marRight w:val="0"/>
      <w:marTop w:val="0"/>
      <w:marBottom w:val="0"/>
      <w:divBdr>
        <w:top w:val="none" w:sz="0" w:space="0" w:color="auto"/>
        <w:left w:val="none" w:sz="0" w:space="0" w:color="auto"/>
        <w:bottom w:val="none" w:sz="0" w:space="0" w:color="auto"/>
        <w:right w:val="none" w:sz="0" w:space="0" w:color="auto"/>
      </w:divBdr>
    </w:div>
    <w:div w:id="1439570002">
      <w:bodyDiv w:val="1"/>
      <w:marLeft w:val="0"/>
      <w:marRight w:val="0"/>
      <w:marTop w:val="0"/>
      <w:marBottom w:val="0"/>
      <w:divBdr>
        <w:top w:val="none" w:sz="0" w:space="0" w:color="auto"/>
        <w:left w:val="none" w:sz="0" w:space="0" w:color="auto"/>
        <w:bottom w:val="none" w:sz="0" w:space="0" w:color="auto"/>
        <w:right w:val="none" w:sz="0" w:space="0" w:color="auto"/>
      </w:divBdr>
    </w:div>
    <w:div w:id="1445341028">
      <w:bodyDiv w:val="1"/>
      <w:marLeft w:val="0"/>
      <w:marRight w:val="0"/>
      <w:marTop w:val="0"/>
      <w:marBottom w:val="0"/>
      <w:divBdr>
        <w:top w:val="none" w:sz="0" w:space="0" w:color="auto"/>
        <w:left w:val="none" w:sz="0" w:space="0" w:color="auto"/>
        <w:bottom w:val="none" w:sz="0" w:space="0" w:color="auto"/>
        <w:right w:val="none" w:sz="0" w:space="0" w:color="auto"/>
      </w:divBdr>
    </w:div>
    <w:div w:id="1449471647">
      <w:bodyDiv w:val="1"/>
      <w:marLeft w:val="0"/>
      <w:marRight w:val="0"/>
      <w:marTop w:val="0"/>
      <w:marBottom w:val="0"/>
      <w:divBdr>
        <w:top w:val="none" w:sz="0" w:space="0" w:color="auto"/>
        <w:left w:val="none" w:sz="0" w:space="0" w:color="auto"/>
        <w:bottom w:val="none" w:sz="0" w:space="0" w:color="auto"/>
        <w:right w:val="none" w:sz="0" w:space="0" w:color="auto"/>
      </w:divBdr>
    </w:div>
    <w:div w:id="1463381358">
      <w:bodyDiv w:val="1"/>
      <w:marLeft w:val="0"/>
      <w:marRight w:val="0"/>
      <w:marTop w:val="0"/>
      <w:marBottom w:val="0"/>
      <w:divBdr>
        <w:top w:val="none" w:sz="0" w:space="0" w:color="auto"/>
        <w:left w:val="none" w:sz="0" w:space="0" w:color="auto"/>
        <w:bottom w:val="none" w:sz="0" w:space="0" w:color="auto"/>
        <w:right w:val="none" w:sz="0" w:space="0" w:color="auto"/>
      </w:divBdr>
    </w:div>
    <w:div w:id="1469860474">
      <w:bodyDiv w:val="1"/>
      <w:marLeft w:val="0"/>
      <w:marRight w:val="0"/>
      <w:marTop w:val="0"/>
      <w:marBottom w:val="0"/>
      <w:divBdr>
        <w:top w:val="none" w:sz="0" w:space="0" w:color="auto"/>
        <w:left w:val="none" w:sz="0" w:space="0" w:color="auto"/>
        <w:bottom w:val="none" w:sz="0" w:space="0" w:color="auto"/>
        <w:right w:val="none" w:sz="0" w:space="0" w:color="auto"/>
      </w:divBdr>
    </w:div>
    <w:div w:id="1473525691">
      <w:bodyDiv w:val="1"/>
      <w:marLeft w:val="0"/>
      <w:marRight w:val="0"/>
      <w:marTop w:val="0"/>
      <w:marBottom w:val="0"/>
      <w:divBdr>
        <w:top w:val="none" w:sz="0" w:space="0" w:color="auto"/>
        <w:left w:val="none" w:sz="0" w:space="0" w:color="auto"/>
        <w:bottom w:val="none" w:sz="0" w:space="0" w:color="auto"/>
        <w:right w:val="none" w:sz="0" w:space="0" w:color="auto"/>
      </w:divBdr>
    </w:div>
    <w:div w:id="1478842531">
      <w:bodyDiv w:val="1"/>
      <w:marLeft w:val="0"/>
      <w:marRight w:val="0"/>
      <w:marTop w:val="0"/>
      <w:marBottom w:val="0"/>
      <w:divBdr>
        <w:top w:val="none" w:sz="0" w:space="0" w:color="auto"/>
        <w:left w:val="none" w:sz="0" w:space="0" w:color="auto"/>
        <w:bottom w:val="none" w:sz="0" w:space="0" w:color="auto"/>
        <w:right w:val="none" w:sz="0" w:space="0" w:color="auto"/>
      </w:divBdr>
    </w:div>
    <w:div w:id="1479491739">
      <w:bodyDiv w:val="1"/>
      <w:marLeft w:val="0"/>
      <w:marRight w:val="0"/>
      <w:marTop w:val="0"/>
      <w:marBottom w:val="0"/>
      <w:divBdr>
        <w:top w:val="none" w:sz="0" w:space="0" w:color="auto"/>
        <w:left w:val="none" w:sz="0" w:space="0" w:color="auto"/>
        <w:bottom w:val="none" w:sz="0" w:space="0" w:color="auto"/>
        <w:right w:val="none" w:sz="0" w:space="0" w:color="auto"/>
      </w:divBdr>
    </w:div>
    <w:div w:id="1483963028">
      <w:bodyDiv w:val="1"/>
      <w:marLeft w:val="0"/>
      <w:marRight w:val="0"/>
      <w:marTop w:val="0"/>
      <w:marBottom w:val="0"/>
      <w:divBdr>
        <w:top w:val="none" w:sz="0" w:space="0" w:color="auto"/>
        <w:left w:val="none" w:sz="0" w:space="0" w:color="auto"/>
        <w:bottom w:val="none" w:sz="0" w:space="0" w:color="auto"/>
        <w:right w:val="none" w:sz="0" w:space="0" w:color="auto"/>
      </w:divBdr>
    </w:div>
    <w:div w:id="1487892816">
      <w:bodyDiv w:val="1"/>
      <w:marLeft w:val="0"/>
      <w:marRight w:val="0"/>
      <w:marTop w:val="0"/>
      <w:marBottom w:val="0"/>
      <w:divBdr>
        <w:top w:val="none" w:sz="0" w:space="0" w:color="auto"/>
        <w:left w:val="none" w:sz="0" w:space="0" w:color="auto"/>
        <w:bottom w:val="none" w:sz="0" w:space="0" w:color="auto"/>
        <w:right w:val="none" w:sz="0" w:space="0" w:color="auto"/>
      </w:divBdr>
    </w:div>
    <w:div w:id="1490512752">
      <w:bodyDiv w:val="1"/>
      <w:marLeft w:val="0"/>
      <w:marRight w:val="0"/>
      <w:marTop w:val="0"/>
      <w:marBottom w:val="0"/>
      <w:divBdr>
        <w:top w:val="none" w:sz="0" w:space="0" w:color="auto"/>
        <w:left w:val="none" w:sz="0" w:space="0" w:color="auto"/>
        <w:bottom w:val="none" w:sz="0" w:space="0" w:color="auto"/>
        <w:right w:val="none" w:sz="0" w:space="0" w:color="auto"/>
      </w:divBdr>
    </w:div>
    <w:div w:id="1500847819">
      <w:bodyDiv w:val="1"/>
      <w:marLeft w:val="0"/>
      <w:marRight w:val="0"/>
      <w:marTop w:val="0"/>
      <w:marBottom w:val="0"/>
      <w:divBdr>
        <w:top w:val="none" w:sz="0" w:space="0" w:color="auto"/>
        <w:left w:val="none" w:sz="0" w:space="0" w:color="auto"/>
        <w:bottom w:val="none" w:sz="0" w:space="0" w:color="auto"/>
        <w:right w:val="none" w:sz="0" w:space="0" w:color="auto"/>
      </w:divBdr>
    </w:div>
    <w:div w:id="1505128264">
      <w:bodyDiv w:val="1"/>
      <w:marLeft w:val="0"/>
      <w:marRight w:val="0"/>
      <w:marTop w:val="0"/>
      <w:marBottom w:val="0"/>
      <w:divBdr>
        <w:top w:val="none" w:sz="0" w:space="0" w:color="auto"/>
        <w:left w:val="none" w:sz="0" w:space="0" w:color="auto"/>
        <w:bottom w:val="none" w:sz="0" w:space="0" w:color="auto"/>
        <w:right w:val="none" w:sz="0" w:space="0" w:color="auto"/>
      </w:divBdr>
    </w:div>
    <w:div w:id="1512406654">
      <w:bodyDiv w:val="1"/>
      <w:marLeft w:val="0"/>
      <w:marRight w:val="0"/>
      <w:marTop w:val="0"/>
      <w:marBottom w:val="0"/>
      <w:divBdr>
        <w:top w:val="none" w:sz="0" w:space="0" w:color="auto"/>
        <w:left w:val="none" w:sz="0" w:space="0" w:color="auto"/>
        <w:bottom w:val="none" w:sz="0" w:space="0" w:color="auto"/>
        <w:right w:val="none" w:sz="0" w:space="0" w:color="auto"/>
      </w:divBdr>
    </w:div>
    <w:div w:id="1517309078">
      <w:bodyDiv w:val="1"/>
      <w:marLeft w:val="0"/>
      <w:marRight w:val="0"/>
      <w:marTop w:val="0"/>
      <w:marBottom w:val="0"/>
      <w:divBdr>
        <w:top w:val="none" w:sz="0" w:space="0" w:color="auto"/>
        <w:left w:val="none" w:sz="0" w:space="0" w:color="auto"/>
        <w:bottom w:val="none" w:sz="0" w:space="0" w:color="auto"/>
        <w:right w:val="none" w:sz="0" w:space="0" w:color="auto"/>
      </w:divBdr>
    </w:div>
    <w:div w:id="1520117752">
      <w:bodyDiv w:val="1"/>
      <w:marLeft w:val="0"/>
      <w:marRight w:val="0"/>
      <w:marTop w:val="0"/>
      <w:marBottom w:val="0"/>
      <w:divBdr>
        <w:top w:val="none" w:sz="0" w:space="0" w:color="auto"/>
        <w:left w:val="none" w:sz="0" w:space="0" w:color="auto"/>
        <w:bottom w:val="none" w:sz="0" w:space="0" w:color="auto"/>
        <w:right w:val="none" w:sz="0" w:space="0" w:color="auto"/>
      </w:divBdr>
    </w:div>
    <w:div w:id="1529221062">
      <w:bodyDiv w:val="1"/>
      <w:marLeft w:val="0"/>
      <w:marRight w:val="0"/>
      <w:marTop w:val="0"/>
      <w:marBottom w:val="0"/>
      <w:divBdr>
        <w:top w:val="none" w:sz="0" w:space="0" w:color="auto"/>
        <w:left w:val="none" w:sz="0" w:space="0" w:color="auto"/>
        <w:bottom w:val="none" w:sz="0" w:space="0" w:color="auto"/>
        <w:right w:val="none" w:sz="0" w:space="0" w:color="auto"/>
      </w:divBdr>
    </w:div>
    <w:div w:id="1530143429">
      <w:bodyDiv w:val="1"/>
      <w:marLeft w:val="0"/>
      <w:marRight w:val="0"/>
      <w:marTop w:val="0"/>
      <w:marBottom w:val="0"/>
      <w:divBdr>
        <w:top w:val="none" w:sz="0" w:space="0" w:color="auto"/>
        <w:left w:val="none" w:sz="0" w:space="0" w:color="auto"/>
        <w:bottom w:val="none" w:sz="0" w:space="0" w:color="auto"/>
        <w:right w:val="none" w:sz="0" w:space="0" w:color="auto"/>
      </w:divBdr>
    </w:div>
    <w:div w:id="1530606853">
      <w:bodyDiv w:val="1"/>
      <w:marLeft w:val="0"/>
      <w:marRight w:val="0"/>
      <w:marTop w:val="0"/>
      <w:marBottom w:val="0"/>
      <w:divBdr>
        <w:top w:val="none" w:sz="0" w:space="0" w:color="auto"/>
        <w:left w:val="none" w:sz="0" w:space="0" w:color="auto"/>
        <w:bottom w:val="none" w:sz="0" w:space="0" w:color="auto"/>
        <w:right w:val="none" w:sz="0" w:space="0" w:color="auto"/>
      </w:divBdr>
    </w:div>
    <w:div w:id="1532642760">
      <w:bodyDiv w:val="1"/>
      <w:marLeft w:val="0"/>
      <w:marRight w:val="0"/>
      <w:marTop w:val="0"/>
      <w:marBottom w:val="0"/>
      <w:divBdr>
        <w:top w:val="none" w:sz="0" w:space="0" w:color="auto"/>
        <w:left w:val="none" w:sz="0" w:space="0" w:color="auto"/>
        <w:bottom w:val="none" w:sz="0" w:space="0" w:color="auto"/>
        <w:right w:val="none" w:sz="0" w:space="0" w:color="auto"/>
      </w:divBdr>
    </w:div>
    <w:div w:id="1551385512">
      <w:bodyDiv w:val="1"/>
      <w:marLeft w:val="0"/>
      <w:marRight w:val="0"/>
      <w:marTop w:val="0"/>
      <w:marBottom w:val="0"/>
      <w:divBdr>
        <w:top w:val="none" w:sz="0" w:space="0" w:color="auto"/>
        <w:left w:val="none" w:sz="0" w:space="0" w:color="auto"/>
        <w:bottom w:val="none" w:sz="0" w:space="0" w:color="auto"/>
        <w:right w:val="none" w:sz="0" w:space="0" w:color="auto"/>
      </w:divBdr>
    </w:div>
    <w:div w:id="1554660664">
      <w:bodyDiv w:val="1"/>
      <w:marLeft w:val="0"/>
      <w:marRight w:val="0"/>
      <w:marTop w:val="0"/>
      <w:marBottom w:val="0"/>
      <w:divBdr>
        <w:top w:val="none" w:sz="0" w:space="0" w:color="auto"/>
        <w:left w:val="none" w:sz="0" w:space="0" w:color="auto"/>
        <w:bottom w:val="none" w:sz="0" w:space="0" w:color="auto"/>
        <w:right w:val="none" w:sz="0" w:space="0" w:color="auto"/>
      </w:divBdr>
    </w:div>
    <w:div w:id="1559440528">
      <w:bodyDiv w:val="1"/>
      <w:marLeft w:val="0"/>
      <w:marRight w:val="0"/>
      <w:marTop w:val="0"/>
      <w:marBottom w:val="0"/>
      <w:divBdr>
        <w:top w:val="none" w:sz="0" w:space="0" w:color="auto"/>
        <w:left w:val="none" w:sz="0" w:space="0" w:color="auto"/>
        <w:bottom w:val="none" w:sz="0" w:space="0" w:color="auto"/>
        <w:right w:val="none" w:sz="0" w:space="0" w:color="auto"/>
      </w:divBdr>
    </w:div>
    <w:div w:id="1579293455">
      <w:bodyDiv w:val="1"/>
      <w:marLeft w:val="0"/>
      <w:marRight w:val="0"/>
      <w:marTop w:val="0"/>
      <w:marBottom w:val="0"/>
      <w:divBdr>
        <w:top w:val="none" w:sz="0" w:space="0" w:color="auto"/>
        <w:left w:val="none" w:sz="0" w:space="0" w:color="auto"/>
        <w:bottom w:val="none" w:sz="0" w:space="0" w:color="auto"/>
        <w:right w:val="none" w:sz="0" w:space="0" w:color="auto"/>
      </w:divBdr>
    </w:div>
    <w:div w:id="1580864309">
      <w:bodyDiv w:val="1"/>
      <w:marLeft w:val="0"/>
      <w:marRight w:val="0"/>
      <w:marTop w:val="0"/>
      <w:marBottom w:val="0"/>
      <w:divBdr>
        <w:top w:val="none" w:sz="0" w:space="0" w:color="auto"/>
        <w:left w:val="none" w:sz="0" w:space="0" w:color="auto"/>
        <w:bottom w:val="none" w:sz="0" w:space="0" w:color="auto"/>
        <w:right w:val="none" w:sz="0" w:space="0" w:color="auto"/>
      </w:divBdr>
    </w:div>
    <w:div w:id="1581058429">
      <w:bodyDiv w:val="1"/>
      <w:marLeft w:val="0"/>
      <w:marRight w:val="0"/>
      <w:marTop w:val="0"/>
      <w:marBottom w:val="0"/>
      <w:divBdr>
        <w:top w:val="none" w:sz="0" w:space="0" w:color="auto"/>
        <w:left w:val="none" w:sz="0" w:space="0" w:color="auto"/>
        <w:bottom w:val="none" w:sz="0" w:space="0" w:color="auto"/>
        <w:right w:val="none" w:sz="0" w:space="0" w:color="auto"/>
      </w:divBdr>
    </w:div>
    <w:div w:id="1587961905">
      <w:bodyDiv w:val="1"/>
      <w:marLeft w:val="0"/>
      <w:marRight w:val="0"/>
      <w:marTop w:val="0"/>
      <w:marBottom w:val="0"/>
      <w:divBdr>
        <w:top w:val="none" w:sz="0" w:space="0" w:color="auto"/>
        <w:left w:val="none" w:sz="0" w:space="0" w:color="auto"/>
        <w:bottom w:val="none" w:sz="0" w:space="0" w:color="auto"/>
        <w:right w:val="none" w:sz="0" w:space="0" w:color="auto"/>
      </w:divBdr>
    </w:div>
    <w:div w:id="1601335686">
      <w:bodyDiv w:val="1"/>
      <w:marLeft w:val="0"/>
      <w:marRight w:val="0"/>
      <w:marTop w:val="0"/>
      <w:marBottom w:val="0"/>
      <w:divBdr>
        <w:top w:val="none" w:sz="0" w:space="0" w:color="auto"/>
        <w:left w:val="none" w:sz="0" w:space="0" w:color="auto"/>
        <w:bottom w:val="none" w:sz="0" w:space="0" w:color="auto"/>
        <w:right w:val="none" w:sz="0" w:space="0" w:color="auto"/>
      </w:divBdr>
    </w:div>
    <w:div w:id="1617444154">
      <w:bodyDiv w:val="1"/>
      <w:marLeft w:val="0"/>
      <w:marRight w:val="0"/>
      <w:marTop w:val="0"/>
      <w:marBottom w:val="0"/>
      <w:divBdr>
        <w:top w:val="none" w:sz="0" w:space="0" w:color="auto"/>
        <w:left w:val="none" w:sz="0" w:space="0" w:color="auto"/>
        <w:bottom w:val="none" w:sz="0" w:space="0" w:color="auto"/>
        <w:right w:val="none" w:sz="0" w:space="0" w:color="auto"/>
      </w:divBdr>
    </w:div>
    <w:div w:id="1622689748">
      <w:bodyDiv w:val="1"/>
      <w:marLeft w:val="0"/>
      <w:marRight w:val="0"/>
      <w:marTop w:val="0"/>
      <w:marBottom w:val="0"/>
      <w:divBdr>
        <w:top w:val="none" w:sz="0" w:space="0" w:color="auto"/>
        <w:left w:val="none" w:sz="0" w:space="0" w:color="auto"/>
        <w:bottom w:val="none" w:sz="0" w:space="0" w:color="auto"/>
        <w:right w:val="none" w:sz="0" w:space="0" w:color="auto"/>
      </w:divBdr>
    </w:div>
    <w:div w:id="1642806723">
      <w:bodyDiv w:val="1"/>
      <w:marLeft w:val="0"/>
      <w:marRight w:val="0"/>
      <w:marTop w:val="0"/>
      <w:marBottom w:val="0"/>
      <w:divBdr>
        <w:top w:val="none" w:sz="0" w:space="0" w:color="auto"/>
        <w:left w:val="none" w:sz="0" w:space="0" w:color="auto"/>
        <w:bottom w:val="none" w:sz="0" w:space="0" w:color="auto"/>
        <w:right w:val="none" w:sz="0" w:space="0" w:color="auto"/>
      </w:divBdr>
    </w:div>
    <w:div w:id="1651055266">
      <w:bodyDiv w:val="1"/>
      <w:marLeft w:val="0"/>
      <w:marRight w:val="0"/>
      <w:marTop w:val="0"/>
      <w:marBottom w:val="0"/>
      <w:divBdr>
        <w:top w:val="none" w:sz="0" w:space="0" w:color="auto"/>
        <w:left w:val="none" w:sz="0" w:space="0" w:color="auto"/>
        <w:bottom w:val="none" w:sz="0" w:space="0" w:color="auto"/>
        <w:right w:val="none" w:sz="0" w:space="0" w:color="auto"/>
      </w:divBdr>
    </w:div>
    <w:div w:id="1655522371">
      <w:bodyDiv w:val="1"/>
      <w:marLeft w:val="0"/>
      <w:marRight w:val="0"/>
      <w:marTop w:val="0"/>
      <w:marBottom w:val="0"/>
      <w:divBdr>
        <w:top w:val="none" w:sz="0" w:space="0" w:color="auto"/>
        <w:left w:val="none" w:sz="0" w:space="0" w:color="auto"/>
        <w:bottom w:val="none" w:sz="0" w:space="0" w:color="auto"/>
        <w:right w:val="none" w:sz="0" w:space="0" w:color="auto"/>
      </w:divBdr>
    </w:div>
    <w:div w:id="1674991741">
      <w:bodyDiv w:val="1"/>
      <w:marLeft w:val="0"/>
      <w:marRight w:val="0"/>
      <w:marTop w:val="0"/>
      <w:marBottom w:val="0"/>
      <w:divBdr>
        <w:top w:val="none" w:sz="0" w:space="0" w:color="auto"/>
        <w:left w:val="none" w:sz="0" w:space="0" w:color="auto"/>
        <w:bottom w:val="none" w:sz="0" w:space="0" w:color="auto"/>
        <w:right w:val="none" w:sz="0" w:space="0" w:color="auto"/>
      </w:divBdr>
    </w:div>
    <w:div w:id="1691376785">
      <w:bodyDiv w:val="1"/>
      <w:marLeft w:val="0"/>
      <w:marRight w:val="0"/>
      <w:marTop w:val="0"/>
      <w:marBottom w:val="0"/>
      <w:divBdr>
        <w:top w:val="none" w:sz="0" w:space="0" w:color="auto"/>
        <w:left w:val="none" w:sz="0" w:space="0" w:color="auto"/>
        <w:bottom w:val="none" w:sz="0" w:space="0" w:color="auto"/>
        <w:right w:val="none" w:sz="0" w:space="0" w:color="auto"/>
      </w:divBdr>
    </w:div>
    <w:div w:id="1703895359">
      <w:bodyDiv w:val="1"/>
      <w:marLeft w:val="0"/>
      <w:marRight w:val="0"/>
      <w:marTop w:val="0"/>
      <w:marBottom w:val="0"/>
      <w:divBdr>
        <w:top w:val="none" w:sz="0" w:space="0" w:color="auto"/>
        <w:left w:val="none" w:sz="0" w:space="0" w:color="auto"/>
        <w:bottom w:val="none" w:sz="0" w:space="0" w:color="auto"/>
        <w:right w:val="none" w:sz="0" w:space="0" w:color="auto"/>
      </w:divBdr>
    </w:div>
    <w:div w:id="1713384843">
      <w:bodyDiv w:val="1"/>
      <w:marLeft w:val="0"/>
      <w:marRight w:val="0"/>
      <w:marTop w:val="0"/>
      <w:marBottom w:val="0"/>
      <w:divBdr>
        <w:top w:val="none" w:sz="0" w:space="0" w:color="auto"/>
        <w:left w:val="none" w:sz="0" w:space="0" w:color="auto"/>
        <w:bottom w:val="none" w:sz="0" w:space="0" w:color="auto"/>
        <w:right w:val="none" w:sz="0" w:space="0" w:color="auto"/>
      </w:divBdr>
    </w:div>
    <w:div w:id="1723823756">
      <w:bodyDiv w:val="1"/>
      <w:marLeft w:val="0"/>
      <w:marRight w:val="0"/>
      <w:marTop w:val="0"/>
      <w:marBottom w:val="0"/>
      <w:divBdr>
        <w:top w:val="none" w:sz="0" w:space="0" w:color="auto"/>
        <w:left w:val="none" w:sz="0" w:space="0" w:color="auto"/>
        <w:bottom w:val="none" w:sz="0" w:space="0" w:color="auto"/>
        <w:right w:val="none" w:sz="0" w:space="0" w:color="auto"/>
      </w:divBdr>
    </w:div>
    <w:div w:id="1729068348">
      <w:bodyDiv w:val="1"/>
      <w:marLeft w:val="0"/>
      <w:marRight w:val="0"/>
      <w:marTop w:val="0"/>
      <w:marBottom w:val="0"/>
      <w:divBdr>
        <w:top w:val="none" w:sz="0" w:space="0" w:color="auto"/>
        <w:left w:val="none" w:sz="0" w:space="0" w:color="auto"/>
        <w:bottom w:val="none" w:sz="0" w:space="0" w:color="auto"/>
        <w:right w:val="none" w:sz="0" w:space="0" w:color="auto"/>
      </w:divBdr>
    </w:div>
    <w:div w:id="1733037534">
      <w:bodyDiv w:val="1"/>
      <w:marLeft w:val="0"/>
      <w:marRight w:val="0"/>
      <w:marTop w:val="0"/>
      <w:marBottom w:val="0"/>
      <w:divBdr>
        <w:top w:val="none" w:sz="0" w:space="0" w:color="auto"/>
        <w:left w:val="none" w:sz="0" w:space="0" w:color="auto"/>
        <w:bottom w:val="none" w:sz="0" w:space="0" w:color="auto"/>
        <w:right w:val="none" w:sz="0" w:space="0" w:color="auto"/>
      </w:divBdr>
    </w:div>
    <w:div w:id="1733886240">
      <w:bodyDiv w:val="1"/>
      <w:marLeft w:val="0"/>
      <w:marRight w:val="0"/>
      <w:marTop w:val="0"/>
      <w:marBottom w:val="0"/>
      <w:divBdr>
        <w:top w:val="none" w:sz="0" w:space="0" w:color="auto"/>
        <w:left w:val="none" w:sz="0" w:space="0" w:color="auto"/>
        <w:bottom w:val="none" w:sz="0" w:space="0" w:color="auto"/>
        <w:right w:val="none" w:sz="0" w:space="0" w:color="auto"/>
      </w:divBdr>
    </w:div>
    <w:div w:id="1741098257">
      <w:bodyDiv w:val="1"/>
      <w:marLeft w:val="0"/>
      <w:marRight w:val="0"/>
      <w:marTop w:val="0"/>
      <w:marBottom w:val="0"/>
      <w:divBdr>
        <w:top w:val="none" w:sz="0" w:space="0" w:color="auto"/>
        <w:left w:val="none" w:sz="0" w:space="0" w:color="auto"/>
        <w:bottom w:val="none" w:sz="0" w:space="0" w:color="auto"/>
        <w:right w:val="none" w:sz="0" w:space="0" w:color="auto"/>
      </w:divBdr>
    </w:div>
    <w:div w:id="1773011500">
      <w:bodyDiv w:val="1"/>
      <w:marLeft w:val="0"/>
      <w:marRight w:val="0"/>
      <w:marTop w:val="0"/>
      <w:marBottom w:val="0"/>
      <w:divBdr>
        <w:top w:val="none" w:sz="0" w:space="0" w:color="auto"/>
        <w:left w:val="none" w:sz="0" w:space="0" w:color="auto"/>
        <w:bottom w:val="none" w:sz="0" w:space="0" w:color="auto"/>
        <w:right w:val="none" w:sz="0" w:space="0" w:color="auto"/>
      </w:divBdr>
    </w:div>
    <w:div w:id="1777410026">
      <w:bodyDiv w:val="1"/>
      <w:marLeft w:val="0"/>
      <w:marRight w:val="0"/>
      <w:marTop w:val="0"/>
      <w:marBottom w:val="0"/>
      <w:divBdr>
        <w:top w:val="none" w:sz="0" w:space="0" w:color="auto"/>
        <w:left w:val="none" w:sz="0" w:space="0" w:color="auto"/>
        <w:bottom w:val="none" w:sz="0" w:space="0" w:color="auto"/>
        <w:right w:val="none" w:sz="0" w:space="0" w:color="auto"/>
      </w:divBdr>
    </w:div>
    <w:div w:id="1784693822">
      <w:bodyDiv w:val="1"/>
      <w:marLeft w:val="0"/>
      <w:marRight w:val="0"/>
      <w:marTop w:val="0"/>
      <w:marBottom w:val="0"/>
      <w:divBdr>
        <w:top w:val="none" w:sz="0" w:space="0" w:color="auto"/>
        <w:left w:val="none" w:sz="0" w:space="0" w:color="auto"/>
        <w:bottom w:val="none" w:sz="0" w:space="0" w:color="auto"/>
        <w:right w:val="none" w:sz="0" w:space="0" w:color="auto"/>
      </w:divBdr>
    </w:div>
    <w:div w:id="1789617611">
      <w:bodyDiv w:val="1"/>
      <w:marLeft w:val="0"/>
      <w:marRight w:val="0"/>
      <w:marTop w:val="0"/>
      <w:marBottom w:val="0"/>
      <w:divBdr>
        <w:top w:val="none" w:sz="0" w:space="0" w:color="auto"/>
        <w:left w:val="none" w:sz="0" w:space="0" w:color="auto"/>
        <w:bottom w:val="none" w:sz="0" w:space="0" w:color="auto"/>
        <w:right w:val="none" w:sz="0" w:space="0" w:color="auto"/>
      </w:divBdr>
    </w:div>
    <w:div w:id="1804274082">
      <w:bodyDiv w:val="1"/>
      <w:marLeft w:val="0"/>
      <w:marRight w:val="0"/>
      <w:marTop w:val="0"/>
      <w:marBottom w:val="0"/>
      <w:divBdr>
        <w:top w:val="none" w:sz="0" w:space="0" w:color="auto"/>
        <w:left w:val="none" w:sz="0" w:space="0" w:color="auto"/>
        <w:bottom w:val="none" w:sz="0" w:space="0" w:color="auto"/>
        <w:right w:val="none" w:sz="0" w:space="0" w:color="auto"/>
      </w:divBdr>
    </w:div>
    <w:div w:id="1809663237">
      <w:bodyDiv w:val="1"/>
      <w:marLeft w:val="0"/>
      <w:marRight w:val="0"/>
      <w:marTop w:val="0"/>
      <w:marBottom w:val="0"/>
      <w:divBdr>
        <w:top w:val="none" w:sz="0" w:space="0" w:color="auto"/>
        <w:left w:val="none" w:sz="0" w:space="0" w:color="auto"/>
        <w:bottom w:val="none" w:sz="0" w:space="0" w:color="auto"/>
        <w:right w:val="none" w:sz="0" w:space="0" w:color="auto"/>
      </w:divBdr>
    </w:div>
    <w:div w:id="1822187346">
      <w:bodyDiv w:val="1"/>
      <w:marLeft w:val="0"/>
      <w:marRight w:val="0"/>
      <w:marTop w:val="0"/>
      <w:marBottom w:val="0"/>
      <w:divBdr>
        <w:top w:val="none" w:sz="0" w:space="0" w:color="auto"/>
        <w:left w:val="none" w:sz="0" w:space="0" w:color="auto"/>
        <w:bottom w:val="none" w:sz="0" w:space="0" w:color="auto"/>
        <w:right w:val="none" w:sz="0" w:space="0" w:color="auto"/>
      </w:divBdr>
    </w:div>
    <w:div w:id="1832139466">
      <w:bodyDiv w:val="1"/>
      <w:marLeft w:val="0"/>
      <w:marRight w:val="0"/>
      <w:marTop w:val="0"/>
      <w:marBottom w:val="0"/>
      <w:divBdr>
        <w:top w:val="none" w:sz="0" w:space="0" w:color="auto"/>
        <w:left w:val="none" w:sz="0" w:space="0" w:color="auto"/>
        <w:bottom w:val="none" w:sz="0" w:space="0" w:color="auto"/>
        <w:right w:val="none" w:sz="0" w:space="0" w:color="auto"/>
      </w:divBdr>
    </w:div>
    <w:div w:id="1833985466">
      <w:bodyDiv w:val="1"/>
      <w:marLeft w:val="0"/>
      <w:marRight w:val="0"/>
      <w:marTop w:val="0"/>
      <w:marBottom w:val="0"/>
      <w:divBdr>
        <w:top w:val="none" w:sz="0" w:space="0" w:color="auto"/>
        <w:left w:val="none" w:sz="0" w:space="0" w:color="auto"/>
        <w:bottom w:val="none" w:sz="0" w:space="0" w:color="auto"/>
        <w:right w:val="none" w:sz="0" w:space="0" w:color="auto"/>
      </w:divBdr>
    </w:div>
    <w:div w:id="1848397192">
      <w:bodyDiv w:val="1"/>
      <w:marLeft w:val="0"/>
      <w:marRight w:val="0"/>
      <w:marTop w:val="0"/>
      <w:marBottom w:val="0"/>
      <w:divBdr>
        <w:top w:val="none" w:sz="0" w:space="0" w:color="auto"/>
        <w:left w:val="none" w:sz="0" w:space="0" w:color="auto"/>
        <w:bottom w:val="none" w:sz="0" w:space="0" w:color="auto"/>
        <w:right w:val="none" w:sz="0" w:space="0" w:color="auto"/>
      </w:divBdr>
    </w:div>
    <w:div w:id="1855075209">
      <w:bodyDiv w:val="1"/>
      <w:marLeft w:val="0"/>
      <w:marRight w:val="0"/>
      <w:marTop w:val="0"/>
      <w:marBottom w:val="0"/>
      <w:divBdr>
        <w:top w:val="none" w:sz="0" w:space="0" w:color="auto"/>
        <w:left w:val="none" w:sz="0" w:space="0" w:color="auto"/>
        <w:bottom w:val="none" w:sz="0" w:space="0" w:color="auto"/>
        <w:right w:val="none" w:sz="0" w:space="0" w:color="auto"/>
      </w:divBdr>
    </w:div>
    <w:div w:id="1861234845">
      <w:bodyDiv w:val="1"/>
      <w:marLeft w:val="0"/>
      <w:marRight w:val="0"/>
      <w:marTop w:val="0"/>
      <w:marBottom w:val="0"/>
      <w:divBdr>
        <w:top w:val="none" w:sz="0" w:space="0" w:color="auto"/>
        <w:left w:val="none" w:sz="0" w:space="0" w:color="auto"/>
        <w:bottom w:val="none" w:sz="0" w:space="0" w:color="auto"/>
        <w:right w:val="none" w:sz="0" w:space="0" w:color="auto"/>
      </w:divBdr>
    </w:div>
    <w:div w:id="1863743826">
      <w:bodyDiv w:val="1"/>
      <w:marLeft w:val="0"/>
      <w:marRight w:val="0"/>
      <w:marTop w:val="0"/>
      <w:marBottom w:val="0"/>
      <w:divBdr>
        <w:top w:val="none" w:sz="0" w:space="0" w:color="auto"/>
        <w:left w:val="none" w:sz="0" w:space="0" w:color="auto"/>
        <w:bottom w:val="none" w:sz="0" w:space="0" w:color="auto"/>
        <w:right w:val="none" w:sz="0" w:space="0" w:color="auto"/>
      </w:divBdr>
    </w:div>
    <w:div w:id="1877817719">
      <w:bodyDiv w:val="1"/>
      <w:marLeft w:val="0"/>
      <w:marRight w:val="0"/>
      <w:marTop w:val="0"/>
      <w:marBottom w:val="0"/>
      <w:divBdr>
        <w:top w:val="none" w:sz="0" w:space="0" w:color="auto"/>
        <w:left w:val="none" w:sz="0" w:space="0" w:color="auto"/>
        <w:bottom w:val="none" w:sz="0" w:space="0" w:color="auto"/>
        <w:right w:val="none" w:sz="0" w:space="0" w:color="auto"/>
      </w:divBdr>
    </w:div>
    <w:div w:id="1878083193">
      <w:bodyDiv w:val="1"/>
      <w:marLeft w:val="0"/>
      <w:marRight w:val="0"/>
      <w:marTop w:val="0"/>
      <w:marBottom w:val="0"/>
      <w:divBdr>
        <w:top w:val="none" w:sz="0" w:space="0" w:color="auto"/>
        <w:left w:val="none" w:sz="0" w:space="0" w:color="auto"/>
        <w:bottom w:val="none" w:sz="0" w:space="0" w:color="auto"/>
        <w:right w:val="none" w:sz="0" w:space="0" w:color="auto"/>
      </w:divBdr>
    </w:div>
    <w:div w:id="1881552001">
      <w:bodyDiv w:val="1"/>
      <w:marLeft w:val="0"/>
      <w:marRight w:val="0"/>
      <w:marTop w:val="0"/>
      <w:marBottom w:val="0"/>
      <w:divBdr>
        <w:top w:val="none" w:sz="0" w:space="0" w:color="auto"/>
        <w:left w:val="none" w:sz="0" w:space="0" w:color="auto"/>
        <w:bottom w:val="none" w:sz="0" w:space="0" w:color="auto"/>
        <w:right w:val="none" w:sz="0" w:space="0" w:color="auto"/>
      </w:divBdr>
    </w:div>
    <w:div w:id="1884126404">
      <w:bodyDiv w:val="1"/>
      <w:marLeft w:val="0"/>
      <w:marRight w:val="0"/>
      <w:marTop w:val="0"/>
      <w:marBottom w:val="0"/>
      <w:divBdr>
        <w:top w:val="none" w:sz="0" w:space="0" w:color="auto"/>
        <w:left w:val="none" w:sz="0" w:space="0" w:color="auto"/>
        <w:bottom w:val="none" w:sz="0" w:space="0" w:color="auto"/>
        <w:right w:val="none" w:sz="0" w:space="0" w:color="auto"/>
      </w:divBdr>
    </w:div>
    <w:div w:id="1884367495">
      <w:bodyDiv w:val="1"/>
      <w:marLeft w:val="0"/>
      <w:marRight w:val="0"/>
      <w:marTop w:val="0"/>
      <w:marBottom w:val="0"/>
      <w:divBdr>
        <w:top w:val="none" w:sz="0" w:space="0" w:color="auto"/>
        <w:left w:val="none" w:sz="0" w:space="0" w:color="auto"/>
        <w:bottom w:val="none" w:sz="0" w:space="0" w:color="auto"/>
        <w:right w:val="none" w:sz="0" w:space="0" w:color="auto"/>
      </w:divBdr>
    </w:div>
    <w:div w:id="1884558507">
      <w:bodyDiv w:val="1"/>
      <w:marLeft w:val="0"/>
      <w:marRight w:val="0"/>
      <w:marTop w:val="0"/>
      <w:marBottom w:val="0"/>
      <w:divBdr>
        <w:top w:val="none" w:sz="0" w:space="0" w:color="auto"/>
        <w:left w:val="none" w:sz="0" w:space="0" w:color="auto"/>
        <w:bottom w:val="none" w:sz="0" w:space="0" w:color="auto"/>
        <w:right w:val="none" w:sz="0" w:space="0" w:color="auto"/>
      </w:divBdr>
    </w:div>
    <w:div w:id="1887059415">
      <w:bodyDiv w:val="1"/>
      <w:marLeft w:val="0"/>
      <w:marRight w:val="0"/>
      <w:marTop w:val="0"/>
      <w:marBottom w:val="0"/>
      <w:divBdr>
        <w:top w:val="none" w:sz="0" w:space="0" w:color="auto"/>
        <w:left w:val="none" w:sz="0" w:space="0" w:color="auto"/>
        <w:bottom w:val="none" w:sz="0" w:space="0" w:color="auto"/>
        <w:right w:val="none" w:sz="0" w:space="0" w:color="auto"/>
      </w:divBdr>
    </w:div>
    <w:div w:id="1921326760">
      <w:bodyDiv w:val="1"/>
      <w:marLeft w:val="0"/>
      <w:marRight w:val="0"/>
      <w:marTop w:val="0"/>
      <w:marBottom w:val="0"/>
      <w:divBdr>
        <w:top w:val="none" w:sz="0" w:space="0" w:color="auto"/>
        <w:left w:val="none" w:sz="0" w:space="0" w:color="auto"/>
        <w:bottom w:val="none" w:sz="0" w:space="0" w:color="auto"/>
        <w:right w:val="none" w:sz="0" w:space="0" w:color="auto"/>
      </w:divBdr>
    </w:div>
    <w:div w:id="1935818120">
      <w:bodyDiv w:val="1"/>
      <w:marLeft w:val="0"/>
      <w:marRight w:val="0"/>
      <w:marTop w:val="0"/>
      <w:marBottom w:val="0"/>
      <w:divBdr>
        <w:top w:val="none" w:sz="0" w:space="0" w:color="auto"/>
        <w:left w:val="none" w:sz="0" w:space="0" w:color="auto"/>
        <w:bottom w:val="none" w:sz="0" w:space="0" w:color="auto"/>
        <w:right w:val="none" w:sz="0" w:space="0" w:color="auto"/>
      </w:divBdr>
    </w:div>
    <w:div w:id="1936595557">
      <w:bodyDiv w:val="1"/>
      <w:marLeft w:val="0"/>
      <w:marRight w:val="0"/>
      <w:marTop w:val="0"/>
      <w:marBottom w:val="0"/>
      <w:divBdr>
        <w:top w:val="none" w:sz="0" w:space="0" w:color="auto"/>
        <w:left w:val="none" w:sz="0" w:space="0" w:color="auto"/>
        <w:bottom w:val="none" w:sz="0" w:space="0" w:color="auto"/>
        <w:right w:val="none" w:sz="0" w:space="0" w:color="auto"/>
      </w:divBdr>
    </w:div>
    <w:div w:id="1939827840">
      <w:bodyDiv w:val="1"/>
      <w:marLeft w:val="0"/>
      <w:marRight w:val="0"/>
      <w:marTop w:val="0"/>
      <w:marBottom w:val="0"/>
      <w:divBdr>
        <w:top w:val="none" w:sz="0" w:space="0" w:color="auto"/>
        <w:left w:val="none" w:sz="0" w:space="0" w:color="auto"/>
        <w:bottom w:val="none" w:sz="0" w:space="0" w:color="auto"/>
        <w:right w:val="none" w:sz="0" w:space="0" w:color="auto"/>
      </w:divBdr>
    </w:div>
    <w:div w:id="1949924196">
      <w:bodyDiv w:val="1"/>
      <w:marLeft w:val="0"/>
      <w:marRight w:val="0"/>
      <w:marTop w:val="0"/>
      <w:marBottom w:val="0"/>
      <w:divBdr>
        <w:top w:val="none" w:sz="0" w:space="0" w:color="auto"/>
        <w:left w:val="none" w:sz="0" w:space="0" w:color="auto"/>
        <w:bottom w:val="none" w:sz="0" w:space="0" w:color="auto"/>
        <w:right w:val="none" w:sz="0" w:space="0" w:color="auto"/>
      </w:divBdr>
    </w:div>
    <w:div w:id="1956475547">
      <w:bodyDiv w:val="1"/>
      <w:marLeft w:val="0"/>
      <w:marRight w:val="0"/>
      <w:marTop w:val="0"/>
      <w:marBottom w:val="0"/>
      <w:divBdr>
        <w:top w:val="none" w:sz="0" w:space="0" w:color="auto"/>
        <w:left w:val="none" w:sz="0" w:space="0" w:color="auto"/>
        <w:bottom w:val="none" w:sz="0" w:space="0" w:color="auto"/>
        <w:right w:val="none" w:sz="0" w:space="0" w:color="auto"/>
      </w:divBdr>
    </w:div>
    <w:div w:id="1967853680">
      <w:bodyDiv w:val="1"/>
      <w:marLeft w:val="0"/>
      <w:marRight w:val="0"/>
      <w:marTop w:val="0"/>
      <w:marBottom w:val="0"/>
      <w:divBdr>
        <w:top w:val="none" w:sz="0" w:space="0" w:color="auto"/>
        <w:left w:val="none" w:sz="0" w:space="0" w:color="auto"/>
        <w:bottom w:val="none" w:sz="0" w:space="0" w:color="auto"/>
        <w:right w:val="none" w:sz="0" w:space="0" w:color="auto"/>
      </w:divBdr>
    </w:div>
    <w:div w:id="1970472042">
      <w:bodyDiv w:val="1"/>
      <w:marLeft w:val="0"/>
      <w:marRight w:val="0"/>
      <w:marTop w:val="0"/>
      <w:marBottom w:val="0"/>
      <w:divBdr>
        <w:top w:val="none" w:sz="0" w:space="0" w:color="auto"/>
        <w:left w:val="none" w:sz="0" w:space="0" w:color="auto"/>
        <w:bottom w:val="none" w:sz="0" w:space="0" w:color="auto"/>
        <w:right w:val="none" w:sz="0" w:space="0" w:color="auto"/>
      </w:divBdr>
    </w:div>
    <w:div w:id="1974944585">
      <w:bodyDiv w:val="1"/>
      <w:marLeft w:val="0"/>
      <w:marRight w:val="0"/>
      <w:marTop w:val="0"/>
      <w:marBottom w:val="0"/>
      <w:divBdr>
        <w:top w:val="none" w:sz="0" w:space="0" w:color="auto"/>
        <w:left w:val="none" w:sz="0" w:space="0" w:color="auto"/>
        <w:bottom w:val="none" w:sz="0" w:space="0" w:color="auto"/>
        <w:right w:val="none" w:sz="0" w:space="0" w:color="auto"/>
      </w:divBdr>
    </w:div>
    <w:div w:id="1988627575">
      <w:bodyDiv w:val="1"/>
      <w:marLeft w:val="0"/>
      <w:marRight w:val="0"/>
      <w:marTop w:val="0"/>
      <w:marBottom w:val="0"/>
      <w:divBdr>
        <w:top w:val="none" w:sz="0" w:space="0" w:color="auto"/>
        <w:left w:val="none" w:sz="0" w:space="0" w:color="auto"/>
        <w:bottom w:val="none" w:sz="0" w:space="0" w:color="auto"/>
        <w:right w:val="none" w:sz="0" w:space="0" w:color="auto"/>
      </w:divBdr>
    </w:div>
    <w:div w:id="2007242738">
      <w:bodyDiv w:val="1"/>
      <w:marLeft w:val="0"/>
      <w:marRight w:val="0"/>
      <w:marTop w:val="0"/>
      <w:marBottom w:val="0"/>
      <w:divBdr>
        <w:top w:val="none" w:sz="0" w:space="0" w:color="auto"/>
        <w:left w:val="none" w:sz="0" w:space="0" w:color="auto"/>
        <w:bottom w:val="none" w:sz="0" w:space="0" w:color="auto"/>
        <w:right w:val="none" w:sz="0" w:space="0" w:color="auto"/>
      </w:divBdr>
    </w:div>
    <w:div w:id="2013603043">
      <w:bodyDiv w:val="1"/>
      <w:marLeft w:val="0"/>
      <w:marRight w:val="0"/>
      <w:marTop w:val="0"/>
      <w:marBottom w:val="0"/>
      <w:divBdr>
        <w:top w:val="none" w:sz="0" w:space="0" w:color="auto"/>
        <w:left w:val="none" w:sz="0" w:space="0" w:color="auto"/>
        <w:bottom w:val="none" w:sz="0" w:space="0" w:color="auto"/>
        <w:right w:val="none" w:sz="0" w:space="0" w:color="auto"/>
      </w:divBdr>
    </w:div>
    <w:div w:id="2019623777">
      <w:bodyDiv w:val="1"/>
      <w:marLeft w:val="0"/>
      <w:marRight w:val="0"/>
      <w:marTop w:val="0"/>
      <w:marBottom w:val="0"/>
      <w:divBdr>
        <w:top w:val="none" w:sz="0" w:space="0" w:color="auto"/>
        <w:left w:val="none" w:sz="0" w:space="0" w:color="auto"/>
        <w:bottom w:val="none" w:sz="0" w:space="0" w:color="auto"/>
        <w:right w:val="none" w:sz="0" w:space="0" w:color="auto"/>
      </w:divBdr>
    </w:div>
    <w:div w:id="2032492039">
      <w:bodyDiv w:val="1"/>
      <w:marLeft w:val="0"/>
      <w:marRight w:val="0"/>
      <w:marTop w:val="0"/>
      <w:marBottom w:val="0"/>
      <w:divBdr>
        <w:top w:val="none" w:sz="0" w:space="0" w:color="auto"/>
        <w:left w:val="none" w:sz="0" w:space="0" w:color="auto"/>
        <w:bottom w:val="none" w:sz="0" w:space="0" w:color="auto"/>
        <w:right w:val="none" w:sz="0" w:space="0" w:color="auto"/>
      </w:divBdr>
    </w:div>
    <w:div w:id="2033679404">
      <w:bodyDiv w:val="1"/>
      <w:marLeft w:val="0"/>
      <w:marRight w:val="0"/>
      <w:marTop w:val="0"/>
      <w:marBottom w:val="0"/>
      <w:divBdr>
        <w:top w:val="none" w:sz="0" w:space="0" w:color="auto"/>
        <w:left w:val="none" w:sz="0" w:space="0" w:color="auto"/>
        <w:bottom w:val="none" w:sz="0" w:space="0" w:color="auto"/>
        <w:right w:val="none" w:sz="0" w:space="0" w:color="auto"/>
      </w:divBdr>
    </w:div>
    <w:div w:id="2034570600">
      <w:bodyDiv w:val="1"/>
      <w:marLeft w:val="0"/>
      <w:marRight w:val="0"/>
      <w:marTop w:val="0"/>
      <w:marBottom w:val="0"/>
      <w:divBdr>
        <w:top w:val="none" w:sz="0" w:space="0" w:color="auto"/>
        <w:left w:val="none" w:sz="0" w:space="0" w:color="auto"/>
        <w:bottom w:val="none" w:sz="0" w:space="0" w:color="auto"/>
        <w:right w:val="none" w:sz="0" w:space="0" w:color="auto"/>
      </w:divBdr>
    </w:div>
    <w:div w:id="2035231325">
      <w:bodyDiv w:val="1"/>
      <w:marLeft w:val="0"/>
      <w:marRight w:val="0"/>
      <w:marTop w:val="0"/>
      <w:marBottom w:val="0"/>
      <w:divBdr>
        <w:top w:val="none" w:sz="0" w:space="0" w:color="auto"/>
        <w:left w:val="none" w:sz="0" w:space="0" w:color="auto"/>
        <w:bottom w:val="none" w:sz="0" w:space="0" w:color="auto"/>
        <w:right w:val="none" w:sz="0" w:space="0" w:color="auto"/>
      </w:divBdr>
    </w:div>
    <w:div w:id="2038922513">
      <w:bodyDiv w:val="1"/>
      <w:marLeft w:val="0"/>
      <w:marRight w:val="0"/>
      <w:marTop w:val="0"/>
      <w:marBottom w:val="0"/>
      <w:divBdr>
        <w:top w:val="none" w:sz="0" w:space="0" w:color="auto"/>
        <w:left w:val="none" w:sz="0" w:space="0" w:color="auto"/>
        <w:bottom w:val="none" w:sz="0" w:space="0" w:color="auto"/>
        <w:right w:val="none" w:sz="0" w:space="0" w:color="auto"/>
      </w:divBdr>
    </w:div>
    <w:div w:id="2067290313">
      <w:bodyDiv w:val="1"/>
      <w:marLeft w:val="0"/>
      <w:marRight w:val="0"/>
      <w:marTop w:val="0"/>
      <w:marBottom w:val="0"/>
      <w:divBdr>
        <w:top w:val="none" w:sz="0" w:space="0" w:color="auto"/>
        <w:left w:val="none" w:sz="0" w:space="0" w:color="auto"/>
        <w:bottom w:val="none" w:sz="0" w:space="0" w:color="auto"/>
        <w:right w:val="none" w:sz="0" w:space="0" w:color="auto"/>
      </w:divBdr>
    </w:div>
    <w:div w:id="2082096830">
      <w:bodyDiv w:val="1"/>
      <w:marLeft w:val="0"/>
      <w:marRight w:val="0"/>
      <w:marTop w:val="0"/>
      <w:marBottom w:val="0"/>
      <w:divBdr>
        <w:top w:val="none" w:sz="0" w:space="0" w:color="auto"/>
        <w:left w:val="none" w:sz="0" w:space="0" w:color="auto"/>
        <w:bottom w:val="none" w:sz="0" w:space="0" w:color="auto"/>
        <w:right w:val="none" w:sz="0" w:space="0" w:color="auto"/>
      </w:divBdr>
    </w:div>
    <w:div w:id="2094470581">
      <w:bodyDiv w:val="1"/>
      <w:marLeft w:val="0"/>
      <w:marRight w:val="0"/>
      <w:marTop w:val="0"/>
      <w:marBottom w:val="0"/>
      <w:divBdr>
        <w:top w:val="none" w:sz="0" w:space="0" w:color="auto"/>
        <w:left w:val="none" w:sz="0" w:space="0" w:color="auto"/>
        <w:bottom w:val="none" w:sz="0" w:space="0" w:color="auto"/>
        <w:right w:val="none" w:sz="0" w:space="0" w:color="auto"/>
      </w:divBdr>
    </w:div>
    <w:div w:id="2096785056">
      <w:bodyDiv w:val="1"/>
      <w:marLeft w:val="0"/>
      <w:marRight w:val="0"/>
      <w:marTop w:val="0"/>
      <w:marBottom w:val="0"/>
      <w:divBdr>
        <w:top w:val="none" w:sz="0" w:space="0" w:color="auto"/>
        <w:left w:val="none" w:sz="0" w:space="0" w:color="auto"/>
        <w:bottom w:val="none" w:sz="0" w:space="0" w:color="auto"/>
        <w:right w:val="none" w:sz="0" w:space="0" w:color="auto"/>
      </w:divBdr>
    </w:div>
    <w:div w:id="2103452386">
      <w:bodyDiv w:val="1"/>
      <w:marLeft w:val="0"/>
      <w:marRight w:val="0"/>
      <w:marTop w:val="0"/>
      <w:marBottom w:val="0"/>
      <w:divBdr>
        <w:top w:val="none" w:sz="0" w:space="0" w:color="auto"/>
        <w:left w:val="none" w:sz="0" w:space="0" w:color="auto"/>
        <w:bottom w:val="none" w:sz="0" w:space="0" w:color="auto"/>
        <w:right w:val="none" w:sz="0" w:space="0" w:color="auto"/>
      </w:divBdr>
    </w:div>
    <w:div w:id="2121758816">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 w:id="2122415947">
      <w:bodyDiv w:val="1"/>
      <w:marLeft w:val="0"/>
      <w:marRight w:val="0"/>
      <w:marTop w:val="0"/>
      <w:marBottom w:val="0"/>
      <w:divBdr>
        <w:top w:val="none" w:sz="0" w:space="0" w:color="auto"/>
        <w:left w:val="none" w:sz="0" w:space="0" w:color="auto"/>
        <w:bottom w:val="none" w:sz="0" w:space="0" w:color="auto"/>
        <w:right w:val="none" w:sz="0" w:space="0" w:color="auto"/>
      </w:divBdr>
    </w:div>
    <w:div w:id="2126077653">
      <w:bodyDiv w:val="1"/>
      <w:marLeft w:val="0"/>
      <w:marRight w:val="0"/>
      <w:marTop w:val="0"/>
      <w:marBottom w:val="0"/>
      <w:divBdr>
        <w:top w:val="none" w:sz="0" w:space="0" w:color="auto"/>
        <w:left w:val="none" w:sz="0" w:space="0" w:color="auto"/>
        <w:bottom w:val="none" w:sz="0" w:space="0" w:color="auto"/>
        <w:right w:val="none" w:sz="0" w:space="0" w:color="auto"/>
      </w:divBdr>
    </w:div>
    <w:div w:id="2129662374">
      <w:bodyDiv w:val="1"/>
      <w:marLeft w:val="0"/>
      <w:marRight w:val="0"/>
      <w:marTop w:val="0"/>
      <w:marBottom w:val="0"/>
      <w:divBdr>
        <w:top w:val="none" w:sz="0" w:space="0" w:color="auto"/>
        <w:left w:val="none" w:sz="0" w:space="0" w:color="auto"/>
        <w:bottom w:val="none" w:sz="0" w:space="0" w:color="auto"/>
        <w:right w:val="none" w:sz="0" w:space="0" w:color="auto"/>
      </w:divBdr>
    </w:div>
    <w:div w:id="2130539606">
      <w:bodyDiv w:val="1"/>
      <w:marLeft w:val="0"/>
      <w:marRight w:val="0"/>
      <w:marTop w:val="0"/>
      <w:marBottom w:val="0"/>
      <w:divBdr>
        <w:top w:val="none" w:sz="0" w:space="0" w:color="auto"/>
        <w:left w:val="none" w:sz="0" w:space="0" w:color="auto"/>
        <w:bottom w:val="none" w:sz="0" w:space="0" w:color="auto"/>
        <w:right w:val="none" w:sz="0" w:space="0" w:color="auto"/>
      </w:divBdr>
    </w:div>
    <w:div w:id="2135638166">
      <w:bodyDiv w:val="1"/>
      <w:marLeft w:val="0"/>
      <w:marRight w:val="0"/>
      <w:marTop w:val="0"/>
      <w:marBottom w:val="0"/>
      <w:divBdr>
        <w:top w:val="none" w:sz="0" w:space="0" w:color="auto"/>
        <w:left w:val="none" w:sz="0" w:space="0" w:color="auto"/>
        <w:bottom w:val="none" w:sz="0" w:space="0" w:color="auto"/>
        <w:right w:val="none" w:sz="0" w:space="0" w:color="auto"/>
      </w:divBdr>
    </w:div>
    <w:div w:id="214049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BE730-F09E-4B85-BD23-94D57DCC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229</Pages>
  <Words>24248</Words>
  <Characters>138217</Characters>
  <Application>Microsoft Office Word</Application>
  <DocSecurity>0</DocSecurity>
  <Lines>1151</Lines>
  <Paragraphs>324</Paragraphs>
  <ScaleCrop>false</ScaleCrop>
  <Company>Sky123.Org</Company>
  <LinksUpToDate>false</LinksUpToDate>
  <CharactersWithSpaces>162141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沈峰</cp:lastModifiedBy>
  <cp:revision>42</cp:revision>
  <dcterms:created xsi:type="dcterms:W3CDTF">2023-03-31T09:10:00Z</dcterms:created>
  <dcterms:modified xsi:type="dcterms:W3CDTF">2023-04-07T09:20:00Z</dcterms:modified>
</cp:coreProperties>
</file>